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
        <w:tblpPr w:leftFromText="180" w:rightFromText="180" w:vertAnchor="page" w:horzAnchor="page" w:tblpX="1794" w:tblpY="2233"/>
        <w:tblOverlap w:val="never"/>
        <w:tblW w:w="88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1"/>
        <w:gridCol w:w="1688"/>
        <w:gridCol w:w="1247"/>
        <w:gridCol w:w="41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1721" w:type="dxa"/>
            <w:vAlign w:val="center"/>
          </w:tcPr>
          <w:p>
            <w:pPr>
              <w:adjustRightInd w:val="0"/>
              <w:snapToGrid w:val="0"/>
              <w:spacing w:line="360" w:lineRule="auto"/>
              <w:jc w:val="both"/>
              <w:rPr>
                <w:rFonts w:hint="eastAsia" w:ascii="楷体" w:hAnsi="楷体" w:eastAsia="楷体"/>
                <w:snapToGrid w:val="0"/>
                <w:kern w:val="28"/>
                <w:sz w:val="28"/>
                <w:szCs w:val="28"/>
                <w:lang w:eastAsia="zh-CN"/>
              </w:rPr>
            </w:pPr>
            <w:r>
              <w:rPr>
                <w:rFonts w:hint="eastAsia" w:ascii="宋体" w:hAnsi="宋体" w:eastAsia="宋体"/>
                <w:snapToGrid w:val="0"/>
                <w:kern w:val="28"/>
                <w:sz w:val="21"/>
                <w:szCs w:val="28"/>
                <w:lang w:eastAsia="zh-CN"/>
              </w:rPr>
              <w:t>专利类型</w:t>
            </w:r>
          </w:p>
        </w:tc>
        <w:tc>
          <w:tcPr>
            <w:tcW w:w="1688" w:type="dxa"/>
            <w:vAlign w:val="center"/>
          </w:tcPr>
          <w:p>
            <w:r>
              <w:rPr>
                <w:rFonts w:ascii="宋体" w:hAnsi="宋体" w:eastAsia="宋体"/>
                <w:b w:val="0"/>
                <w:sz w:val="21"/>
              </w:rPr>
              <w:t>发明专利</w:t>
            </w:r>
          </w:p>
        </w:tc>
        <w:tc>
          <w:tcPr>
            <w:tcW w:w="1247" w:type="dxa"/>
            <w:vAlign w:val="center"/>
          </w:tcPr>
          <w:p>
            <w:pPr>
              <w:spacing w:line="360" w:lineRule="auto"/>
              <w:rPr>
                <w:rFonts w:hint="eastAsia" w:ascii="宋体" w:hAnsi="宋体" w:eastAsia="宋体"/>
                <w:b/>
                <w:bCs/>
                <w:sz w:val="24"/>
                <w:szCs w:val="24"/>
                <w:lang w:eastAsia="zh-CN"/>
              </w:rPr>
            </w:pPr>
            <w:r>
              <w:rPr>
                <w:rFonts w:hint="eastAsia" w:ascii="宋体" w:hAnsi="宋体" w:eastAsia="宋体"/>
                <w:b/>
                <w:bCs/>
                <w:sz w:val="21"/>
                <w:szCs w:val="24"/>
                <w:lang w:eastAsia="zh-CN"/>
              </w:rPr>
              <w:t>专利名称</w:t>
            </w:r>
          </w:p>
        </w:tc>
        <w:tc>
          <w:tcPr>
            <w:tcW w:w="4183" w:type="dxa"/>
            <w:vAlign w:val="center"/>
          </w:tcPr>
          <w:p>
            <w:r>
              <w:rPr>
                <w:rFonts w:ascii="宋体" w:hAnsi="宋体" w:eastAsia="宋体"/>
                <w:b w:val="0"/>
                <w:sz w:val="21"/>
              </w:rPr>
              <w:t>一种面向玉米冠下导航的感知质量约束路径跟踪方法及系统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1721" w:type="dxa"/>
            <w:vAlign w:val="center"/>
          </w:tcPr>
          <w:p>
            <w:pPr>
              <w:adjustRightInd w:val="0"/>
              <w:snapToGrid w:val="0"/>
              <w:spacing w:line="360" w:lineRule="auto"/>
              <w:jc w:val="both"/>
              <w:rPr>
                <w:rFonts w:hint="eastAsia" w:ascii="楷体" w:hAnsi="楷体" w:eastAsia="楷体"/>
                <w:snapToGrid w:val="0"/>
                <w:kern w:val="28"/>
                <w:sz w:val="28"/>
                <w:szCs w:val="28"/>
                <w:lang w:eastAsia="zh-CN"/>
              </w:rPr>
            </w:pPr>
            <w:r>
              <w:rPr>
                <w:rFonts w:hint="eastAsia" w:ascii="宋体" w:hAnsi="宋体" w:eastAsia="宋体"/>
                <w:snapToGrid w:val="0"/>
                <w:kern w:val="28"/>
                <w:sz w:val="21"/>
                <w:szCs w:val="28"/>
                <w:lang w:eastAsia="zh-CN"/>
              </w:rPr>
              <w:t>交底联系人</w:t>
            </w:r>
          </w:p>
        </w:tc>
        <w:tc>
          <w:tcPr>
            <w:tcW w:w="1688" w:type="dxa"/>
            <w:vAlign w:val="center"/>
          </w:tcPr>
          <w:p>
            <w:r>
              <w:rPr>
                <w:rFonts w:ascii="宋体" w:hAnsi="宋体" w:eastAsia="宋体"/>
                <w:b w:val="0"/>
                <w:sz w:val="21"/>
              </w:rPr>
              <w:t>待填写</w:t>
            </w:r>
          </w:p>
        </w:tc>
        <w:tc>
          <w:tcPr>
            <w:tcW w:w="1247" w:type="dxa"/>
            <w:vAlign w:val="center"/>
          </w:tcPr>
          <w:p>
            <w:pPr>
              <w:spacing w:line="360" w:lineRule="auto"/>
              <w:rPr>
                <w:rFonts w:hint="eastAsia" w:ascii="宋体" w:hAnsi="宋体" w:eastAsia="宋体"/>
                <w:b/>
                <w:bCs/>
                <w:sz w:val="24"/>
                <w:szCs w:val="24"/>
                <w:lang w:eastAsia="zh-CN"/>
              </w:rPr>
            </w:pPr>
            <w:r>
              <w:rPr>
                <w:rFonts w:hint="eastAsia" w:ascii="宋体" w:hAnsi="宋体" w:eastAsia="宋体"/>
                <w:b/>
                <w:bCs/>
                <w:sz w:val="21"/>
                <w:szCs w:val="24"/>
                <w:lang w:eastAsia="zh-CN"/>
              </w:rPr>
              <w:t>电话</w:t>
            </w:r>
          </w:p>
        </w:tc>
        <w:tc>
          <w:tcPr>
            <w:tcW w:w="4183" w:type="dxa"/>
            <w:vAlign w:val="center"/>
          </w:tcPr>
          <w:p>
            <w:r>
              <w:rPr>
                <w:rFonts w:ascii="宋体" w:hAnsi="宋体" w:eastAsia="宋体"/>
                <w:b w:val="0"/>
                <w:sz w:val="21"/>
              </w:rPr>
              <w:t>待填写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3409" w:type="dxa"/>
            <w:gridSpan w:val="2"/>
          </w:tcPr>
          <w:p>
            <w:r>
              <w:rPr>
                <w:rFonts w:ascii="宋体" w:hAnsi="宋体" w:eastAsia="宋体"/>
                <w:b/>
                <w:sz w:val="21"/>
              </w:rPr>
              <w:t>本发明技术涉及的应用领域：</w:t>
            </w:r>
          </w:p>
          <w:p>
            <w:r>
              <w:rPr>
                <w:rFonts w:ascii="宋体" w:hAnsi="宋体" w:eastAsia="宋体"/>
                <w:b w:val="0"/>
                <w:sz w:val="21"/>
              </w:rPr>
              <w:t>本发明属于农业机器人自主导航与路径跟踪控制技术领域，具体涉及农作物冠下无人运动平台在玉米行间环境中的中心线跟踪、感知质量评估、速度调节和安全停车控制。应用对象包括玉米冠下无人车、农田巡检机器人、植保平台、作物行间运输平台及其他需要在高秆作物冠下自主行驶的移动机器人。</w:t>
            </w:r>
          </w:p>
        </w:tc>
        <w:tc>
          <w:tcPr>
            <w:tcW w:w="5430" w:type="dxa"/>
            <w:gridSpan w:val="2"/>
          </w:tcPr>
          <w:p>
            <w:pPr>
              <w:tabs>
                <w:tab w:val="left" w:pos="5445"/>
              </w:tabs>
              <w:adjustRightInd w:val="0"/>
              <w:snapToGrid w:val="0"/>
              <w:spacing w:line="360" w:lineRule="auto"/>
              <w:rPr>
                <w:rFonts w:hint="eastAsia" w:ascii="宋体" w:hAnsi="宋体"/>
                <w:bCs/>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9" w:hRule="atLeast"/>
        </w:trPr>
        <w:tc>
          <w:tcPr>
            <w:tcW w:w="8839" w:type="dxa"/>
            <w:gridSpan w:val="4"/>
          </w:tcPr>
          <w:p>
            <w:r>
              <w:rPr>
                <w:rFonts w:ascii="宋体" w:hAnsi="宋体" w:eastAsia="宋体"/>
                <w:b/>
                <w:sz w:val="21"/>
              </w:rPr>
              <w:t>背景技术：</w:t>
            </w:r>
          </w:p>
          <w:p>
            <w:r>
              <w:rPr>
                <w:rFonts w:ascii="宋体" w:hAnsi="宋体" w:eastAsia="宋体"/>
                <w:b w:val="0"/>
                <w:sz w:val="21"/>
              </w:rPr>
              <w:t>玉米等高秆作物在生长中后期冠层茂密，叶片遮挡严重，卫星定位信号易受遮挡，视觉传感器容易受到光照变化、叶片遮挡、纹理复杂和阴影影响。车载激光雷达能够获取冠下植株结构信息，但在实际行间环境中，点云会受到叶片遮挡、植株缺失、行间杂散点、多行干扰和传感器视角变化影响，导致作物行中心线存在间歇性不稳定。</w:t>
            </w:r>
          </w:p>
          <w:p>
            <w:r>
              <w:rPr>
                <w:rFonts w:ascii="宋体" w:hAnsi="宋体" w:eastAsia="宋体"/>
                <w:b w:val="0"/>
                <w:sz w:val="21"/>
              </w:rPr>
              <w:t>现有农田导航方案通常将检测到的作物行中心线直接作为参考路径，然后采用 PID、纯跟踪或其他控制算法进行路径跟踪。该类方法普遍默认中心线可靠，但当作物行检测置信度下降、左右边界点云不足或通行空间变窄时，控制器仍可能继续跟踪不可靠路径，造成车辆抖动、频繁停车、偏离行间中心甚至碰撞风险。</w:t>
            </w:r>
          </w:p>
          <w:p>
            <w:r>
              <w:rPr>
                <w:rFonts w:ascii="宋体" w:hAnsi="宋体" w:eastAsia="宋体"/>
                <w:b w:val="0"/>
                <w:sz w:val="21"/>
              </w:rPr>
              <w:t>目前缺少一种将“中心线检测质量”和“路径跟踪控制”紧密耦合的方法，使无人平台能够在感知可靠时正常跟踪，在感知质量下降但尚未完全失效时降级跟踪，在安全裕度不足时主动停车。因此，需要提出一种适用于玉米冠下环境的感知质量约束路径跟踪方法，以提高冠下导航的连续性、安全性和鲁棒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4" w:hRule="atLeast"/>
        </w:trPr>
        <w:tc>
          <w:tcPr>
            <w:tcW w:w="8839" w:type="dxa"/>
            <w:gridSpan w:val="4"/>
          </w:tcPr>
          <w:p>
            <w:r>
              <w:rPr>
                <w:rFonts w:ascii="宋体" w:hAnsi="宋体" w:eastAsia="宋体"/>
                <w:b/>
                <w:sz w:val="21"/>
              </w:rPr>
              <w:t>二、技术内容：</w:t>
            </w:r>
          </w:p>
          <w:p>
            <w:r>
              <w:rPr>
                <w:rFonts w:ascii="宋体" w:hAnsi="宋体" w:eastAsia="宋体"/>
                <w:b w:val="0"/>
                <w:sz w:val="21"/>
              </w:rPr>
              <w:t>一、系统组成</w:t>
            </w:r>
          </w:p>
          <w:p>
            <w:r>
              <w:rPr>
                <w:rFonts w:ascii="宋体" w:hAnsi="宋体" w:eastAsia="宋体"/>
                <w:b w:val="0"/>
                <w:sz w:val="21"/>
              </w:rPr>
              <w:t>本发明系统包括环境感知模块、中心线提取模块、感知质量评估模块、路径跟踪控制模块和执行模块。环境感知模块获取车载激光雷达点云和里程计信息；中心线提取模块根据冠下点云生成作物行通行走廊中心线；感知质量评估模块计算走廊置信度和安全裕度；路径跟踪控制模块根据中心线、横向误差、航向误差、走廊置信度和安全裕度生成速度控制指令；执行模块根据速度指令驱动无人平台运动。</w:t>
            </w:r>
          </w:p>
          <w:p>
            <w:r>
              <w:rPr>
                <w:rFonts w:ascii="宋体" w:hAnsi="宋体" w:eastAsia="宋体"/>
                <w:b w:val="0"/>
                <w:sz w:val="21"/>
              </w:rPr>
              <w:t>二、中心线提取与质量评估</w:t>
            </w:r>
          </w:p>
          <w:p>
            <w:r>
              <w:rPr>
                <w:rFonts w:ascii="宋体" w:hAnsi="宋体" w:eastAsia="宋体"/>
                <w:b w:val="0"/>
                <w:sz w:val="21"/>
              </w:rPr>
              <w:t>车载激光雷达点云经过高度滤波、前方感兴趣区域滤波和地面投影后，得到冠下植株点云分布。通过左右作物行内侧边界选择、作物行方向估计和中心线生成，得到参考路径 /corn_row_center_line。根据左右边界点云数量、行距合理性、中心线连续性、走廊宽度变化和历史稳定性，计算走廊置信度 C。走廊置信度可表示为：C = w1Cp + w2Cw + w3Cs + w4Ch，其中 Cp 为点云数量置信度，Cw 为行距合理性置信度，Cs 为中心线连续性置信度，Ch 为历史稳定性置信度，wi 为权重系数。</w:t>
            </w:r>
          </w:p>
          <w:p>
            <w:r>
              <w:rPr>
                <w:rFonts w:ascii="宋体" w:hAnsi="宋体" w:eastAsia="宋体"/>
                <w:b w:val="0"/>
                <w:sz w:val="21"/>
              </w:rPr>
              <w:t>三、安全裕度计算</w:t>
            </w:r>
          </w:p>
          <w:p>
            <w:r>
              <w:rPr>
                <w:rFonts w:ascii="宋体" w:hAnsi="宋体" w:eastAsia="宋体"/>
                <w:b w:val="0"/>
                <w:sz w:val="21"/>
              </w:rPr>
              <w:t>根据左右作物行边界得到通行走廊宽度 W，设无人平台宽度为 B，则安全裕度 M = (W - B) / 2。安全裕度用于判断车辆与两侧作物行或障碍物之间的剩余安全空间。</w:t>
            </w:r>
          </w:p>
          <w:p>
            <w:r>
              <w:rPr>
                <w:rFonts w:ascii="宋体" w:hAnsi="宋体" w:eastAsia="宋体"/>
                <w:b w:val="0"/>
                <w:sz w:val="21"/>
              </w:rPr>
              <w:t>四、目标路径点选取</w:t>
            </w:r>
          </w:p>
          <w:p>
            <w:r>
              <w:rPr>
                <w:rFonts w:ascii="宋体" w:hAnsi="宋体" w:eastAsia="宋体"/>
                <w:b w:val="0"/>
                <w:sz w:val="21"/>
              </w:rPr>
              <w:t>在中心线上查找距离无人平台当前位置最近的路径点，并沿路径方向向前搜索预设距离 Ld，得到目标路径点 Pt(xt, yt)。该目标点作为路径跟踪控制的局部参考点。Ld 可以为固定前视距离，也可以根据路径曲率或车辆速度自适应调整。</w:t>
            </w:r>
          </w:p>
          <w:p>
            <w:r>
              <w:rPr>
                <w:rFonts w:ascii="宋体" w:hAnsi="宋体" w:eastAsia="宋体"/>
                <w:b w:val="0"/>
                <w:sz w:val="21"/>
              </w:rPr>
              <w:t>五、横向误差与航向误差计算</w:t>
            </w:r>
          </w:p>
          <w:p>
            <w:r>
              <w:rPr>
                <w:rFonts w:ascii="宋体" w:hAnsi="宋体" w:eastAsia="宋体"/>
                <w:b w:val="0"/>
                <w:sz w:val="21"/>
              </w:rPr>
              <w:t>设无人平台当前位姿为 Pr(xr, yr, ψ)，目标路径点为 Pt(xt, yt)，将目标点转换到车体坐标系：xv = cos(ψ)(xt - xr) + sin(ψ)(yt - yr)，yv = -sin(ψ)(xt - xr) + cos(ψ)(yt - yr)。横向误差 ey = yv，航向误差 eψ = atan2(yv, xv)。</w:t>
            </w:r>
          </w:p>
          <w:p>
            <w:r>
              <w:rPr>
                <w:rFonts w:ascii="宋体" w:hAnsi="宋体" w:eastAsia="宋体"/>
                <w:b w:val="0"/>
                <w:sz w:val="21"/>
              </w:rPr>
              <w:t>六、角速度控制</w:t>
            </w:r>
          </w:p>
          <w:p>
            <w:r>
              <w:rPr>
                <w:rFonts w:ascii="宋体" w:hAnsi="宋体" w:eastAsia="宋体"/>
                <w:b w:val="0"/>
                <w:sz w:val="21"/>
              </w:rPr>
              <w:t>分别根据横向误差和航向误差计算反馈控制项：uy = Kpy ey + Kiy∫eydt + Kdy dey/dt，uψ = Kpψ eψ + Kiψ∫eψdt + Kdψ deψ/dt。角速度控制量为：ω = sat(uy + uψ, -ωmax, ωmax)，其中 sat 为限幅函数。</w:t>
            </w:r>
          </w:p>
          <w:p>
            <w:r>
              <w:rPr>
                <w:rFonts w:ascii="宋体" w:hAnsi="宋体" w:eastAsia="宋体"/>
                <w:b w:val="0"/>
                <w:sz w:val="21"/>
              </w:rPr>
              <w:t>七、感知质量约束速度调节</w:t>
            </w:r>
          </w:p>
          <w:p>
            <w:r>
              <w:rPr>
                <w:rFonts w:ascii="宋体" w:hAnsi="宋体" w:eastAsia="宋体"/>
                <w:b w:val="0"/>
                <w:sz w:val="21"/>
              </w:rPr>
              <w:t>定义置信度因子 fc(C)=clamp(C, fmin, 1)，定义安全裕度因子 fm(M)：当 M &lt; Mstop 时 fm=0；当 Mstop ≤ M &lt; Mmid 时 fm=0.3；当 Mmid ≤ M &lt; Mhigh 时 fm=0.6；当 M ≥ Mhigh 时 fm=1。定义转向速度因子 ft(ω)=clamp(1 - 0.5|ω|/ωmax, 0.2, 1.0)。最终线速度为：v = vmax · fc(C) · fm(M) · ft(ω)。</w:t>
            </w:r>
          </w:p>
          <w:p>
            <w:r>
              <w:rPr>
                <w:rFonts w:ascii="宋体" w:hAnsi="宋体" w:eastAsia="宋体"/>
                <w:b w:val="0"/>
                <w:sz w:val="21"/>
              </w:rPr>
              <w:t>八、运行状态转换</w:t>
            </w:r>
          </w:p>
          <w:p>
            <w:r>
              <w:rPr>
                <w:rFonts w:ascii="宋体" w:hAnsi="宋体" w:eastAsia="宋体"/>
                <w:b w:val="0"/>
                <w:sz w:val="21"/>
              </w:rPr>
              <w:t>系统包括正常跟踪、降级跟踪和安全停车三种状态。当 C ≥ Clow 且安全裕度满足要求时，执行正常中心线跟踪；当 Cstop ≤ C &lt; Clow 或安全裕度偏低时，进入降级跟踪状态，使用历史可靠中心线作为临时参考路径并降低速度；当 C &lt; Cstop 或 M &lt; Mstop 时，进入安全停车状态并发布零速度指令。</w:t>
            </w:r>
          </w:p>
          <w:p>
            <w:r>
              <w:rPr>
                <w:rFonts w:ascii="宋体" w:hAnsi="宋体" w:eastAsia="宋体"/>
                <w:b w:val="0"/>
                <w:sz w:val="21"/>
              </w:rPr>
              <w:t>九、实验验证</w:t>
            </w:r>
          </w:p>
          <w:p>
            <w:r>
              <w:rPr>
                <w:rFonts w:ascii="宋体" w:hAnsi="宋体" w:eastAsia="宋体"/>
                <w:b w:val="0"/>
                <w:sz w:val="21"/>
              </w:rPr>
              <w:t>通过标准直线-圆弧-直线路径测试验证 PID 跟踪精度，通过玉米行仿真场景对比普通 PID 和质量感知 PID 的连续通行能力。实验指标包括行驶距离、终点横向误差、全程横向 RMSE、速度为零比例、中心线可用率、平均安全裕度和平均走廊置信度。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3" w:hRule="atLeast"/>
        </w:trPr>
        <w:tc>
          <w:tcPr>
            <w:tcW w:w="8839" w:type="dxa"/>
            <w:gridSpan w:val="4"/>
          </w:tcPr>
          <w:p>
            <w:r>
              <w:rPr>
                <w:rFonts w:ascii="宋体" w:hAnsi="宋体" w:eastAsia="宋体"/>
                <w:b/>
                <w:sz w:val="21"/>
              </w:rPr>
              <w:t>三、技术优势：</w:t>
            </w:r>
          </w:p>
          <w:p>
            <w:r>
              <w:rPr>
                <w:rFonts w:ascii="宋体" w:hAnsi="宋体" w:eastAsia="宋体"/>
                <w:b w:val="0"/>
                <w:sz w:val="21"/>
              </w:rPr>
              <w:t>1、本发明不仅使用作物行中心线几何信息进行跟踪，还将中心线可靠性和通行安全裕度引入控制决策，解决传统路径跟踪方法盲目跟踪不可靠中心线的问题。</w:t>
            </w:r>
          </w:p>
          <w:p>
            <w:r>
              <w:rPr>
                <w:rFonts w:ascii="宋体" w:hAnsi="宋体" w:eastAsia="宋体"/>
                <w:b w:val="0"/>
                <w:sz w:val="21"/>
              </w:rPr>
              <w:t>2、在冠下点云间歇缺失或中心线短时不稳定时，本发明可使用历史可靠中心线进行降级跟踪，减少不必要停车，提高连续通行能力。</w:t>
            </w:r>
          </w:p>
          <w:p>
            <w:r>
              <w:rPr>
                <w:rFonts w:ascii="宋体" w:hAnsi="宋体" w:eastAsia="宋体"/>
                <w:b w:val="0"/>
                <w:sz w:val="21"/>
              </w:rPr>
              <w:t>3、在通行空间不足或安全裕度过低时，本发明能够主动降速或停车，降低无人平台与作物行、障碍物发生碰撞的风险。</w:t>
            </w:r>
          </w:p>
          <w:p>
            <w:r>
              <w:rPr>
                <w:rFonts w:ascii="宋体" w:hAnsi="宋体" w:eastAsia="宋体"/>
                <w:b w:val="0"/>
                <w:sz w:val="21"/>
              </w:rPr>
              <w:t>4、本发明将横向误差和航向误差共同用于角速度控制，可在直线和曲线路径中保持较好的跟踪精度。</w:t>
            </w:r>
          </w:p>
          <w:p>
            <w:r>
              <w:rPr>
                <w:rFonts w:ascii="宋体" w:hAnsi="宋体" w:eastAsia="宋体"/>
                <w:b w:val="0"/>
                <w:sz w:val="21"/>
              </w:rPr>
              <w:t>5、实验结果表明，在保持相近横向跟踪精度的基础上，质量感知控制能够显著降低低质量感知阶段的停车比例，提高中心线可用率和平均安全裕度。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8" w:hRule="atLeast"/>
        </w:trPr>
        <w:tc>
          <w:tcPr>
            <w:tcW w:w="8839" w:type="dxa"/>
            <w:gridSpan w:val="4"/>
          </w:tcPr>
          <w:p>
            <w:r>
              <w:rPr>
                <w:rFonts w:ascii="宋体" w:hAnsi="宋体" w:eastAsia="宋体"/>
                <w:b/>
                <w:sz w:val="21"/>
              </w:rPr>
              <w:t>替代方案：</w:t>
            </w:r>
          </w:p>
          <w:p>
            <w:r>
              <w:rPr>
                <w:rFonts w:ascii="宋体" w:hAnsi="宋体" w:eastAsia="宋体"/>
                <w:b w:val="0"/>
                <w:sz w:val="21"/>
              </w:rPr>
              <w:t>1、传感器可以采用激光雷达、深度相机、毫米波雷达或多传感器融合方式。</w:t>
            </w:r>
          </w:p>
          <w:p>
            <w:r>
              <w:rPr>
                <w:rFonts w:ascii="宋体" w:hAnsi="宋体" w:eastAsia="宋体"/>
                <w:b w:val="0"/>
                <w:sz w:val="21"/>
              </w:rPr>
              <w:t>2、中心线提取方法可以采用点云聚类、RANSAC、霍夫变换、样条拟合、神经网络分割或多方法融合。</w:t>
            </w:r>
          </w:p>
          <w:p>
            <w:r>
              <w:rPr>
                <w:rFonts w:ascii="宋体" w:hAnsi="宋体" w:eastAsia="宋体"/>
                <w:b w:val="0"/>
                <w:sz w:val="21"/>
              </w:rPr>
              <w:t>3、路径跟踪控制器可以由 PID 替换或扩展为纯跟踪、Stanley、MPC、LQR 或曲率前馈控制器。</w:t>
            </w:r>
          </w:p>
          <w:p>
            <w:r>
              <w:rPr>
                <w:rFonts w:ascii="宋体" w:hAnsi="宋体" w:eastAsia="宋体"/>
                <w:b w:val="0"/>
                <w:sz w:val="21"/>
              </w:rPr>
              <w:t>4、走廊置信度可以根据点云数量、拟合残差、历史连续性、边界对称性、行距稳定性等不同指标加权得到。</w:t>
            </w:r>
          </w:p>
          <w:p>
            <w:r>
              <w:rPr>
                <w:rFonts w:ascii="宋体" w:hAnsi="宋体" w:eastAsia="宋体"/>
                <w:b w:val="0"/>
                <w:sz w:val="21"/>
              </w:rPr>
              <w:t>5、安全裕度阈值、置信度阈值和速度调节因子可以根据平台尺寸、作物行距、行驶速度和作业任务动态调整。</w:t>
            </w:r>
          </w:p>
          <w:p>
            <w:r>
              <w:rPr>
                <w:rFonts w:ascii="宋体" w:hAnsi="宋体" w:eastAsia="宋体"/>
                <w:b w:val="0"/>
                <w:sz w:val="21"/>
              </w:rPr>
              <w:t>6、可进一步引入曲率前馈项 ω = vκ + PID(ey, eψ)，或采用曲率自适应前视距离 Ld = Lmin + (Lmax - Lmin)exp(-k|κ|)。</w:t>
            </w:r>
          </w:p>
        </w:tc>
      </w:tr>
    </w:tbl>
    <w:p>
      <w:pPr>
        <w:ind w:firstLine="2650" w:firstLineChars="600"/>
        <w:jc w:val="both"/>
        <w:rPr>
          <w:b/>
          <w:bCs/>
          <w:sz w:val="44"/>
        </w:rPr>
      </w:pPr>
      <w:r>
        <w:rPr>
          <w:rFonts w:ascii="宋体" w:hAnsi="宋体" w:eastAsia="宋体"/>
          <w:b/>
          <w:bCs/>
          <w:sz w:val="21"/>
        </w:rPr>
        <w:t>技 术 交 底 书</w:t>
      </w:r>
    </w:p>
    <w:p>
      <w:pPr>
        <w:bidi w:val="0"/>
        <w:rPr>
          <w:rFonts w:asciiTheme="minorHAnsi" w:hAnsiTheme="minorHAnsi" w:eastAsiaTheme="minorEastAsia" w:cstheme="minorBidi"/>
          <w:kern w:val="2"/>
          <w:sz w:val="21"/>
          <w:szCs w:val="22"/>
          <w:lang w:val="en-US" w:eastAsia="zh-CN" w:bidi="ar-SA"/>
        </w:rPr>
      </w:pPr>
    </w:p>
    <w:p>
      <w:pPr>
        <w:bidi w:val="0"/>
        <w:jc w:val="left"/>
        <w:rPr>
          <w:rFonts w:hint="eastAsia"/>
          <w:lang w:val="en-US" w:eastAsia="zh-CN"/>
        </w:rPr>
      </w:pPr>
    </w:p>
    <w:tbl>
      <w:tblPr>
        <w:tblStyle w:val="2"/>
        <w:tblpPr w:leftFromText="180" w:rightFromText="180" w:vertAnchor="page" w:horzAnchor="page" w:tblpX="1794" w:tblpY="2233"/>
        <w:tblOverlap w:val="never"/>
        <w:tblW w:w="88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0" w:hRule="atLeast"/>
        </w:trPr>
        <w:tc>
          <w:tcPr>
            <w:tcW w:w="8839" w:type="dxa"/>
          </w:tcPr>
          <w:p>
            <w:r>
              <w:rPr>
                <w:rFonts w:ascii="宋体" w:hAnsi="宋体" w:eastAsia="宋体"/>
                <w:b/>
                <w:sz w:val="21"/>
              </w:rPr>
              <w:t>附图：</w:t>
            </w:r>
          </w:p>
          <w:p>
            <w:r>
              <w:rPr>
                <w:rFonts w:ascii="宋体" w:hAnsi="宋体" w:eastAsia="宋体"/>
                <w:b w:val="0"/>
                <w:sz w:val="21"/>
              </w:rPr>
              <w:t>建议提供以下附图：</w:t>
            </w:r>
          </w:p>
          <w:p>
            <w:r>
              <w:rPr>
                <w:rFonts w:ascii="宋体" w:hAnsi="宋体" w:eastAsia="宋体"/>
                <w:b w:val="0"/>
                <w:sz w:val="21"/>
              </w:rPr>
              <w:t>图1：感知质量约束路径跟踪方法总体流程图，包括点云输入、中心线提取、置信度/安全裕度计算、路径跟踪控制和速度输出。</w:t>
            </w:r>
          </w:p>
          <w:p>
            <w:r>
              <w:rPr>
                <w:rFonts w:ascii="宋体" w:hAnsi="宋体" w:eastAsia="宋体"/>
                <w:b w:val="0"/>
                <w:sz w:val="21"/>
              </w:rPr>
              <w:t>图2：系统结构框图，包括环境感知模块、中心线提取模块、感知质量评估模块、路径跟踪控制模块和执行模块。</w:t>
            </w:r>
          </w:p>
          <w:p>
            <w:r>
              <w:rPr>
                <w:rFonts w:ascii="宋体" w:hAnsi="宋体" w:eastAsia="宋体"/>
                <w:b w:val="0"/>
                <w:sz w:val="21"/>
              </w:rPr>
              <w:t>图3：横向误差和航向误差计算示意图，标注车辆位姿、目标路径点、横向误差 ey 和航向误差 eψ。</w:t>
            </w:r>
          </w:p>
          <w:p>
            <w:r>
              <w:rPr>
                <w:rFonts w:ascii="宋体" w:hAnsi="宋体" w:eastAsia="宋体"/>
                <w:b w:val="0"/>
                <w:sz w:val="21"/>
              </w:rPr>
              <w:t>图4：正常跟踪、降级跟踪和安全停车状态转换图，标注置信度阈值 Clow、Cstop 和安全裕度阈值 Mmid、Mstop。</w:t>
            </w:r>
          </w:p>
          <w:p>
            <w:r>
              <w:rPr>
                <w:rFonts w:ascii="宋体" w:hAnsi="宋体" w:eastAsia="宋体"/>
                <w:b w:val="0"/>
                <w:sz w:val="21"/>
              </w:rPr>
              <w:t>图5：走廊置信度和安全裕度参与速度调节的控制框图。</w:t>
            </w:r>
          </w:p>
          <w:p>
            <w:r>
              <w:rPr>
                <w:rFonts w:ascii="宋体" w:hAnsi="宋体" w:eastAsia="宋体"/>
                <w:b w:val="0"/>
                <w:sz w:val="21"/>
              </w:rPr>
              <w:t>图6：玉米冠下无人平台在行间导航场景中的应用示意图。</w:t>
            </w:r>
          </w:p>
        </w:tc>
      </w:tr>
    </w:tbl>
    <w:p>
      <w:pPr>
        <w:bidi w:val="0"/>
        <w:jc w:val="left"/>
        <w:rPr>
          <w:rFonts w:hint="eastAsia"/>
          <w:lang w:val="en-US" w:eastAsia="zh-CN"/>
        </w:rPr>
      </w:pPr>
    </w:p>
    <w:p>
      <w:pPr>
        <w:bidi w:val="0"/>
        <w:rPr>
          <w:rFonts w:hint="eastAsia" w:asciiTheme="minorHAnsi" w:hAnsiTheme="minorHAnsi" w:eastAsiaTheme="minorEastAsia" w:cstheme="minorBidi"/>
          <w:kern w:val="2"/>
          <w:sz w:val="21"/>
          <w:szCs w:val="22"/>
          <w:lang w:val="en-US" w:eastAsia="zh-CN" w:bidi="ar-SA"/>
        </w:rPr>
      </w:pPr>
    </w:p>
    <w:p>
      <w:pPr>
        <w:rPr>
          <w:rFonts w:hint="eastAsia" w:ascii="楷体" w:hAnsi="楷体" w:eastAsia="楷体"/>
          <w:snapToGrid w:val="0"/>
          <w:kern w:val="28"/>
          <w:sz w:val="30"/>
          <w:szCs w:val="30"/>
          <w:lang w:eastAsia="zh-CN"/>
        </w:rPr>
      </w:pPr>
      <w:r>
        <w:rPr>
          <w:rFonts w:hint="eastAsia" w:ascii="宋体" w:hAnsi="宋体" w:eastAsia="宋体"/>
          <w:snapToGrid w:val="0"/>
          <w:color w:val="FF0000"/>
          <w:kern w:val="28"/>
          <w:sz w:val="21"/>
          <w:szCs w:val="30"/>
          <w:lang w:eastAsia="zh-CN"/>
        </w:rPr>
        <w:t>交底书的目的：</w:t>
      </w:r>
      <w:r>
        <w:rPr>
          <w:rFonts w:hint="eastAsia" w:ascii="宋体" w:hAnsi="宋体" w:eastAsia="宋体"/>
          <w:snapToGrid w:val="0"/>
          <w:kern w:val="28"/>
          <w:sz w:val="21"/>
          <w:szCs w:val="30"/>
          <w:lang w:eastAsia="zh-CN"/>
        </w:rPr>
        <w:t>避免只给到专业关键词名称，范围宽泛，专利代理人按照自己的思路但肯定是往授权方面撰写，底稿出来后，企业再提出说与自己的产品技术不贴合，重新提供交底资料让代理师重新撰写，导致延误交稿和企业项目申报时间又没有效率。</w:t>
      </w:r>
    </w:p>
    <w:p>
      <w:pPr>
        <w:adjustRightInd w:val="0"/>
        <w:snapToGrid w:val="0"/>
        <w:spacing w:line="360" w:lineRule="auto"/>
        <w:rPr>
          <w:rFonts w:ascii="楷体" w:hAnsi="楷体" w:eastAsia="楷体"/>
          <w:snapToGrid w:val="0"/>
          <w:kern w:val="28"/>
          <w:sz w:val="30"/>
          <w:szCs w:val="30"/>
        </w:rPr>
      </w:pPr>
      <w:r>
        <w:rPr>
          <w:rFonts w:ascii="宋体" w:hAnsi="宋体" w:eastAsia="宋体"/>
          <w:snapToGrid w:val="0"/>
          <w:color w:val="FF0000"/>
          <w:kern w:val="28"/>
          <w:sz w:val="21"/>
          <w:szCs w:val="30"/>
        </w:rPr>
        <w:t>交底书注意事项：</w:t>
      </w:r>
    </w:p>
    <w:p>
      <w:pPr>
        <w:adjustRightInd w:val="0"/>
        <w:snapToGrid w:val="0"/>
        <w:spacing w:line="360" w:lineRule="auto"/>
        <w:rPr>
          <w:rFonts w:hint="eastAsia" w:ascii="楷体" w:hAnsi="楷体" w:eastAsia="楷体"/>
          <w:snapToGrid w:val="0"/>
          <w:kern w:val="28"/>
          <w:sz w:val="30"/>
          <w:szCs w:val="30"/>
          <w:lang w:val="en-US" w:eastAsia="zh-CN"/>
        </w:rPr>
      </w:pPr>
      <w:r>
        <w:rPr>
          <w:rFonts w:hint="eastAsia" w:ascii="宋体" w:hAnsi="宋体" w:eastAsia="宋体"/>
          <w:snapToGrid w:val="0"/>
          <w:kern w:val="28"/>
          <w:sz w:val="21"/>
          <w:szCs w:val="30"/>
          <w:lang w:val="en-US" w:eastAsia="zh-CN"/>
        </w:rPr>
        <w:t>1、交底书项目中没有的可以不用提供</w:t>
      </w:r>
    </w:p>
    <w:p>
      <w:pPr>
        <w:adjustRightInd w:val="0"/>
        <w:snapToGrid w:val="0"/>
        <w:spacing w:line="360" w:lineRule="auto"/>
        <w:rPr>
          <w:rFonts w:ascii="楷体" w:hAnsi="楷体" w:eastAsia="楷体"/>
          <w:snapToGrid w:val="0"/>
          <w:kern w:val="28"/>
          <w:sz w:val="30"/>
          <w:szCs w:val="30"/>
        </w:rPr>
      </w:pPr>
      <w:r>
        <w:rPr>
          <w:rFonts w:hint="eastAsia" w:ascii="宋体" w:hAnsi="宋体" w:eastAsia="宋体"/>
          <w:snapToGrid w:val="0"/>
          <w:kern w:val="28"/>
          <w:sz w:val="21"/>
          <w:szCs w:val="30"/>
          <w:lang w:val="en-US" w:eastAsia="zh-CN"/>
        </w:rPr>
        <w:t>2</w:t>
      </w:r>
      <w:r>
        <w:rPr>
          <w:rFonts w:ascii="宋体" w:hAnsi="宋体" w:eastAsia="宋体"/>
          <w:snapToGrid w:val="0"/>
          <w:kern w:val="28"/>
          <w:sz w:val="21"/>
          <w:szCs w:val="30"/>
        </w:rPr>
        <w:t>、代理人并不是</w:t>
      </w:r>
      <w:r>
        <w:rPr>
          <w:rFonts w:hint="eastAsia" w:ascii="宋体" w:hAnsi="宋体" w:eastAsia="宋体"/>
          <w:snapToGrid w:val="0"/>
          <w:kern w:val="28"/>
          <w:sz w:val="21"/>
          <w:szCs w:val="30"/>
          <w:lang w:eastAsia="zh-CN"/>
        </w:rPr>
        <w:t>本领域</w:t>
      </w:r>
      <w:r>
        <w:rPr>
          <w:rFonts w:ascii="宋体" w:hAnsi="宋体" w:eastAsia="宋体"/>
          <w:snapToGrid w:val="0"/>
          <w:kern w:val="28"/>
          <w:sz w:val="21"/>
          <w:szCs w:val="30"/>
        </w:rPr>
        <w:t>技术专家，交底书要使代理人能看懂，尤其是背景技术和详细技术</w:t>
      </w:r>
      <w:r>
        <w:rPr>
          <w:rFonts w:hint="eastAsia" w:ascii="宋体" w:hAnsi="宋体" w:eastAsia="宋体"/>
          <w:snapToGrid w:val="0"/>
          <w:kern w:val="28"/>
          <w:sz w:val="21"/>
          <w:szCs w:val="30"/>
        </w:rPr>
        <w:t>内容</w:t>
      </w:r>
      <w:r>
        <w:rPr>
          <w:rFonts w:ascii="宋体" w:hAnsi="宋体" w:eastAsia="宋体"/>
          <w:snapToGrid w:val="0"/>
          <w:kern w:val="28"/>
          <w:sz w:val="21"/>
          <w:szCs w:val="30"/>
        </w:rPr>
        <w:t>，一定要写得全面、清楚、完整。</w:t>
      </w:r>
    </w:p>
    <w:p>
      <w:pPr>
        <w:numPr>
          <w:ilvl w:val="0"/>
          <w:numId w:val="0"/>
        </w:numPr>
        <w:ind w:leftChars="0"/>
        <w:rPr>
          <w:rFonts w:hint="eastAsia" w:eastAsiaTheme="minorEastAsia"/>
          <w:b/>
          <w:szCs w:val="21"/>
          <w:lang w:eastAsia="zh-CN"/>
        </w:rPr>
      </w:pPr>
      <w:r>
        <w:rPr>
          <w:rFonts w:hint="eastAsia" w:ascii="宋体" w:hAnsi="宋体" w:eastAsia="宋体"/>
          <w:snapToGrid w:val="0"/>
          <w:kern w:val="28"/>
          <w:sz w:val="21"/>
          <w:szCs w:val="30"/>
          <w:lang w:val="en-US" w:eastAsia="zh-CN"/>
        </w:rPr>
        <w:t>3、</w:t>
      </w:r>
      <w:r>
        <w:rPr>
          <w:rFonts w:ascii="宋体" w:hAnsi="宋体" w:eastAsia="宋体"/>
          <w:snapToGrid w:val="0"/>
          <w:kern w:val="28"/>
          <w:sz w:val="21"/>
          <w:szCs w:val="30"/>
        </w:rPr>
        <w:t>全文对同一事物的叫法应统一，避免出现一种事物多种名称</w:t>
      </w:r>
      <w:r>
        <w:rPr>
          <w:rFonts w:hint="eastAsia" w:ascii="宋体" w:hAnsi="宋体" w:eastAsia="宋体"/>
          <w:snapToGrid w:val="0"/>
          <w:kern w:val="28"/>
          <w:sz w:val="21"/>
          <w:szCs w:val="30"/>
          <w:lang w:eastAsia="zh-CN"/>
        </w:rPr>
        <w:t>（</w:t>
      </w:r>
      <w:r>
        <w:rPr>
          <w:rFonts w:ascii="宋体" w:hAnsi="宋体" w:eastAsia="宋体"/>
          <w:b/>
          <w:sz w:val="21"/>
          <w:szCs w:val="24"/>
        </w:rPr>
        <w:t>这点最重要，否则可能使理解的方案有偏差</w:t>
      </w:r>
      <w:r>
        <w:rPr>
          <w:rFonts w:hint="eastAsia" w:ascii="宋体" w:hAnsi="宋体" w:eastAsia="宋体"/>
          <w:b/>
          <w:sz w:val="21"/>
          <w:szCs w:val="24"/>
          <w:lang w:eastAsia="zh-CN"/>
        </w:rPr>
        <w:t>）</w:t>
      </w:r>
    </w:p>
    <w:p>
      <w:pPr>
        <w:adjustRightInd w:val="0"/>
        <w:snapToGrid w:val="0"/>
        <w:spacing w:line="360" w:lineRule="auto"/>
        <w:rPr>
          <w:rFonts w:hint="eastAsia" w:ascii="楷体" w:hAnsi="楷体" w:eastAsia="楷体"/>
          <w:snapToGrid w:val="0"/>
          <w:color w:val="auto"/>
          <w:kern w:val="28"/>
          <w:sz w:val="28"/>
          <w:szCs w:val="28"/>
          <w:lang w:eastAsia="zh-CN"/>
        </w:rPr>
      </w:pPr>
      <w:r>
        <w:rPr>
          <w:rFonts w:hint="eastAsia" w:ascii="宋体" w:hAnsi="宋体" w:eastAsia="宋体"/>
          <w:snapToGrid w:val="0"/>
          <w:kern w:val="28"/>
          <w:sz w:val="21"/>
          <w:szCs w:val="30"/>
          <w:lang w:val="en-US" w:eastAsia="zh-CN"/>
        </w:rPr>
        <w:t>4、</w:t>
      </w:r>
      <w:r>
        <w:rPr>
          <w:rFonts w:hint="eastAsia" w:ascii="宋体" w:hAnsi="宋体" w:eastAsia="宋体"/>
          <w:snapToGrid w:val="0"/>
          <w:color w:val="auto"/>
          <w:kern w:val="28"/>
          <w:sz w:val="21"/>
          <w:szCs w:val="28"/>
        </w:rPr>
        <w:t>如涉及到商业秘密，不便告知代理人，我们针对商业秘密做进一步规划</w:t>
      </w:r>
      <w:r>
        <w:rPr>
          <w:rFonts w:hint="eastAsia" w:ascii="宋体" w:hAnsi="宋体" w:eastAsia="宋体"/>
          <w:snapToGrid w:val="0"/>
          <w:color w:val="auto"/>
          <w:kern w:val="28"/>
          <w:sz w:val="21"/>
          <w:szCs w:val="28"/>
          <w:lang w:eastAsia="zh-CN"/>
        </w:rPr>
        <w:t>，或交底时涉及商业机密的核心技术（数据、用量、配比等）只提供大概范围区间即可。</w:t>
      </w:r>
    </w:p>
    <w:p>
      <w:pPr>
        <w:adjustRightInd w:val="0"/>
        <w:snapToGrid w:val="0"/>
        <w:spacing w:line="360" w:lineRule="auto"/>
        <w:rPr>
          <w:rFonts w:hint="eastAsia" w:ascii="楷体" w:hAnsi="楷体" w:eastAsia="楷体"/>
          <w:snapToGrid w:val="0"/>
          <w:color w:val="auto"/>
          <w:kern w:val="28"/>
          <w:sz w:val="28"/>
          <w:szCs w:val="28"/>
          <w:lang w:val="en-US" w:eastAsia="zh-CN"/>
        </w:rPr>
      </w:pPr>
      <w:r>
        <w:rPr>
          <w:rFonts w:hint="eastAsia" w:ascii="宋体" w:hAnsi="宋体" w:eastAsia="宋体"/>
          <w:snapToGrid w:val="0"/>
          <w:color w:val="auto"/>
          <w:kern w:val="28"/>
          <w:sz w:val="21"/>
          <w:szCs w:val="28"/>
          <w:lang w:eastAsia="zh-CN"/>
        </w:rPr>
        <w:t>注：</w:t>
      </w:r>
      <w:r>
        <w:rPr>
          <w:rFonts w:hint="eastAsia" w:ascii="宋体" w:hAnsi="宋体" w:eastAsia="宋体"/>
          <w:snapToGrid w:val="0"/>
          <w:kern w:val="28"/>
          <w:sz w:val="21"/>
          <w:szCs w:val="28"/>
        </w:rPr>
        <w:t>代理人对专利具有绝对的保密责任</w:t>
      </w:r>
      <w:r>
        <w:rPr>
          <w:rFonts w:hint="eastAsia" w:ascii="宋体" w:hAnsi="宋体" w:eastAsia="宋体"/>
          <w:snapToGrid w:val="0"/>
          <w:kern w:val="28"/>
          <w:sz w:val="21"/>
          <w:szCs w:val="28"/>
          <w:lang w:eastAsia="zh-CN"/>
        </w:rPr>
        <w:t>。</w:t>
      </w:r>
    </w:p>
    <w:p>
      <w:pPr>
        <w:bidi w:val="0"/>
        <w:jc w:val="left"/>
        <w:rPr>
          <w:rFonts w:hint="eastAsia"/>
          <w:sz w:val="24"/>
          <w:szCs w:val="24"/>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1B02FB"/>
    <w:multiLevelType w:val="singleLevel"/>
    <w:tmpl w:val="B81B02FB"/>
    <w:lvl w:ilvl="0" w:tentative="0">
      <w:start w:val="1"/>
      <w:numFmt w:val="chineseCounting"/>
      <w:suff w:val="nothing"/>
      <w:lvlText w:val="%1、"/>
      <w:lvlJc w:val="left"/>
      <w:rPr>
        <w:rFonts w:hint="eastAsia"/>
      </w:rPr>
    </w:lvl>
  </w:abstractNum>
  <w:abstractNum w:abstractNumId="1">
    <w:nsid w:val="DF5ED0CC"/>
    <w:multiLevelType w:val="singleLevel"/>
    <w:tmpl w:val="DF5ED0CC"/>
    <w:lvl w:ilvl="0" w:tentative="0">
      <w:start w:val="4"/>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hmODAyOGI5YWE3YTA3OTJmZTA5YjgyNDA0YzMxNDEifQ=="/>
  </w:docVars>
  <w:rsids>
    <w:rsidRoot w:val="00000000"/>
    <w:rsid w:val="0C610BC8"/>
    <w:rsid w:val="182B4763"/>
    <w:rsid w:val="26842E73"/>
    <w:rsid w:val="30624E4C"/>
    <w:rsid w:val="32E97B90"/>
    <w:rsid w:val="396B5D5B"/>
    <w:rsid w:val="3E9042BF"/>
    <w:rsid w:val="45E66912"/>
    <w:rsid w:val="56F52761"/>
    <w:rsid w:val="58A47A5D"/>
    <w:rsid w:val="754F76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4FB058"/>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800</Words>
  <Characters>802</Characters>
  <Lines>0</Lines>
  <Paragraphs>0</Paragraphs>
  <TotalTime>0</TotalTime>
  <ScaleCrop>false</ScaleCrop>
  <LinksUpToDate>false</LinksUpToDate>
  <CharactersWithSpaces>812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2023-05-11T03:27:00Z</dcterms:created>
  <dc:creator>Administrator</dc:creator>
  <cp:lastModifiedBy>Administrator</cp:lastModifiedBy>
  <dcterms:modified xsi:type="dcterms:W3CDTF">2023-05-12T02:22:17Z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F2C479CBC51945F696A9DD054CB7A8CB_12</vt:lpwstr>
  </property>
</Properties>
</file>