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1D76C" w14:textId="77777777" w:rsidR="005D33F6" w:rsidRPr="002B00A2" w:rsidRDefault="0031392E" w:rsidP="005368C5">
      <w:pPr>
        <w:pStyle w:val="a3"/>
        <w:keepNext/>
        <w:spacing w:after="80"/>
        <w:rPr>
          <w:sz w:val="21"/>
          <w:szCs w:val="21"/>
        </w:rPr>
      </w:pPr>
      <w:r w:rsidRPr="002B00A2">
        <w:rPr>
          <w:sz w:val="21"/>
          <w:szCs w:val="21"/>
        </w:rPr>
        <w:t>MedTrajectory: Forward Generation of Multitype Longitudinal Patient Trajectories</w:t>
      </w:r>
    </w:p>
    <w:p w14:paraId="4E021ED4" w14:textId="77777777" w:rsidR="005D33F6" w:rsidRDefault="0031392E" w:rsidP="002B00A2">
      <w:pPr>
        <w:pStyle w:val="Authors"/>
        <w:keepNext/>
        <w:spacing w:after="120"/>
        <w:rPr>
          <w:b/>
          <w:bCs/>
        </w:rPr>
      </w:pPr>
      <w:r>
        <w:rPr>
          <w:b/>
          <w:bCs/>
        </w:rPr>
        <w:t>Shuaiyu Yang</w:t>
      </w:r>
    </w:p>
    <w:p w14:paraId="426587A1" w14:textId="77777777" w:rsidR="00BC132A" w:rsidRDefault="00000000">
      <w:pPr>
        <w:keepNext/>
        <w:spacing w:before="80" w:after="80"/>
        <w:jc w:val="center"/>
      </w:pPr>
      <w:r>
        <w:rPr>
          <w:b/>
        </w:rPr>
        <w:t>Graphical Abstract</w:t>
      </w:r>
    </w:p>
    <w:p w14:paraId="4C10F272" w14:textId="6E253E67" w:rsidR="00BC132A" w:rsidRDefault="00280DEC">
      <w:pPr>
        <w:spacing w:before="80" w:after="80"/>
        <w:jc w:val="center"/>
      </w:pPr>
      <w:r>
        <w:rPr>
          <w:noProof/>
        </w:rPr>
        <w:drawing>
          <wp:inline distT="0" distB="0" distL="0" distR="0" wp14:anchorId="25D7FAA4" wp14:editId="1787CCA3">
            <wp:extent cx="6583680" cy="3573780"/>
            <wp:effectExtent l="0" t="0" r="7620" b="7620"/>
            <wp:docPr id="168416183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61832" name="图形 1684161832"/>
                    <pic:cNvPicPr/>
                  </pic:nvPicPr>
                  <pic:blipFill>
                    <a:blip r:embed="rId7">
                      <a:extLst>
                        <a:ext uri="{96DAC541-7B7A-43D3-8B79-37D633B846F1}">
                          <asvg:svgBlip xmlns:asvg="http://schemas.microsoft.com/office/drawing/2016/SVG/main" r:embed="rId8"/>
                        </a:ext>
                      </a:extLst>
                    </a:blip>
                    <a:stretch>
                      <a:fillRect/>
                    </a:stretch>
                  </pic:blipFill>
                  <pic:spPr>
                    <a:xfrm>
                      <a:off x="0" y="0"/>
                      <a:ext cx="6583680" cy="3573780"/>
                    </a:xfrm>
                    <a:prstGeom prst="rect">
                      <a:avLst/>
                    </a:prstGeom>
                  </pic:spPr>
                </pic:pic>
              </a:graphicData>
            </a:graphic>
          </wp:inline>
        </w:drawing>
      </w:r>
    </w:p>
    <w:p w14:paraId="4131D9C7" w14:textId="77777777" w:rsidR="00BC132A" w:rsidRDefault="00BC132A">
      <w:pPr>
        <w:spacing w:line="20" w:lineRule="exact"/>
        <w:rPr>
          <w:sz w:val="2"/>
        </w:rPr>
        <w:sectPr w:rsidR="00BC132A" w:rsidSect="008E4F03">
          <w:headerReference w:type="default" r:id="rId9"/>
          <w:footnotePr>
            <w:numFmt w:val="chicago"/>
          </w:footnotePr>
          <w:type w:val="continuous"/>
          <w:pgSz w:w="12240" w:h="15840"/>
          <w:pgMar w:top="1008" w:right="936" w:bottom="1008" w:left="936" w:header="432" w:footer="432" w:gutter="0"/>
          <w:pgNumType w:start="1"/>
          <w:cols w:space="720"/>
        </w:sectPr>
      </w:pPr>
    </w:p>
    <w:p w14:paraId="307C8362" w14:textId="760B4A59" w:rsidR="00BC132A" w:rsidRDefault="00000000">
      <w:pPr>
        <w:rPr>
          <w:color w:val="000000"/>
          <w:lang w:eastAsia="zh-CN"/>
        </w:rPr>
      </w:pPr>
      <w:r>
        <w:rPr>
          <w:rFonts w:hint="eastAsia"/>
          <w:b/>
          <w:bCs/>
          <w:color w:val="000000"/>
          <w:lang w:eastAsia="zh-CN"/>
        </w:rPr>
        <w:t xml:space="preserve">Abstract </w:t>
      </w:r>
      <w:r w:rsidR="00951C72" w:rsidRPr="00951C72">
        <w:rPr>
          <w:b/>
          <w:bCs/>
          <w:color w:val="000000"/>
          <w:lang w:eastAsia="zh-CN"/>
        </w:rPr>
        <w:t xml:space="preserve">Longitudinal electronic health records capture how a patient's clinical course evolves over time, spanning diseases, interventions, and a broad range of other health events. Building on this data source, generative modeling has recently moved from predefined outcome prediction to modeling of future clinical trajectories. Yet existing approaches vary in their coverage of clinical events and temporal representations, so that contributions of heterogeneous clinical events and the irregular temporal relationships among them may be incompletely understood. As a result, the information conveyed by relative time is rarely exploited, and the role that individual clinical events play in generative tasks remains poorly explained. To address these </w:t>
      </w:r>
      <w:r w:rsidR="00634558">
        <w:rPr>
          <w:rFonts w:hint="eastAsia"/>
          <w:b/>
          <w:bCs/>
          <w:color w:val="000000"/>
          <w:lang w:eastAsia="zh-CN"/>
        </w:rPr>
        <w:t>problem</w:t>
      </w:r>
      <w:r w:rsidR="00951C72" w:rsidRPr="00951C72">
        <w:rPr>
          <w:b/>
          <w:bCs/>
          <w:color w:val="000000"/>
          <w:lang w:eastAsia="zh-CN"/>
        </w:rPr>
        <w:t>s, we develop MedTrajectory, an autoregressive Transformer that integrates multitype clinical events through absolute age encoding and continuous relative-time attention. We evaluate the model primarily in UK Biobank and replicate the analyses in MIMIC-IV to probe cross-setting generalization. In this setting, multitype modeling improved several trajectory measures, while relative-time attention raised the locked-test Diagnosis Jaccard from 0.0572 to 0.0711 under the multitype-generation protocol, albeit with representation-dependent effects in MIMIC-IV. Finally, our death-event analyses underscore that trajectory termination and mortality-risk estimation are distinct targets, and the separate fixed-horizon risk evaluation in UK Biobank did not establish the prespecified noninferiority.</w:t>
      </w:r>
    </w:p>
    <w:p w14:paraId="33C90325" w14:textId="77777777" w:rsidR="00572756" w:rsidRPr="00E5519F" w:rsidRDefault="00E5519F">
      <w:pPr>
        <w:rPr>
          <w:color w:val="000000"/>
          <w:lang w:eastAsia="zh-CN"/>
        </w:rPr>
      </w:pPr>
      <w:r w:rsidRPr="00E5519F">
        <w:rPr>
          <w:rFonts w:hint="eastAsia"/>
          <w:b/>
          <w:bCs/>
          <w:color w:val="000000"/>
          <w:lang w:eastAsia="zh-CN"/>
        </w:rPr>
        <w:t xml:space="preserve">Index Terms: </w:t>
      </w:r>
      <w:r w:rsidRPr="00E5519F">
        <w:rPr>
          <w:color w:val="000000"/>
          <w:lang w:eastAsia="zh-CN"/>
        </w:rPr>
        <w:t>Electronic health records, longitudinal modeling, generative models, clinical trajectory prediction.</w:t>
      </w:r>
    </w:p>
    <w:p w14:paraId="418A734A" w14:textId="77777777" w:rsidR="005D33F6" w:rsidRDefault="0031392E">
      <w:pPr>
        <w:pStyle w:val="2"/>
      </w:pPr>
      <w:bookmarkStart w:id="0" w:name="i.-introduction"/>
      <w:r>
        <w:t>I. INTRODUCTION</w:t>
      </w:r>
    </w:p>
    <w:p w14:paraId="548CB13A" w14:textId="6E6F19DF" w:rsidR="00FC0D92" w:rsidRDefault="00FC0D92">
      <w:pPr>
        <w:rPr>
          <w:color w:val="000000"/>
          <w:lang w:eastAsia="zh-CN"/>
        </w:rPr>
      </w:pPr>
      <w:r w:rsidRPr="00FC0D92">
        <w:rPr>
          <w:color w:val="000000"/>
          <w:lang w:eastAsia="zh-CN"/>
        </w:rPr>
        <w:t xml:space="preserve">Longitudinal electronic health records (EHRs) are dated accounts of patients' clinical courses, they record diagnosed diseases, </w:t>
      </w:r>
      <w:r>
        <w:rPr>
          <w:rFonts w:hint="eastAsia"/>
          <w:color w:val="000000"/>
          <w:lang w:eastAsia="zh-CN"/>
        </w:rPr>
        <w:t>delivered</w:t>
      </w:r>
      <w:r w:rsidRPr="00FC0D92">
        <w:rPr>
          <w:color w:val="000000"/>
          <w:lang w:eastAsia="zh-CN"/>
        </w:rPr>
        <w:t xml:space="preserve"> interventions, and changes in</w:t>
      </w:r>
      <w:r>
        <w:rPr>
          <w:rFonts w:hint="eastAsia"/>
          <w:color w:val="000000"/>
          <w:lang w:eastAsia="zh-CN"/>
        </w:rPr>
        <w:t xml:space="preserve"> followed</w:t>
      </w:r>
      <w:r w:rsidRPr="00FC0D92">
        <w:rPr>
          <w:color w:val="000000"/>
          <w:lang w:eastAsia="zh-CN"/>
        </w:rPr>
        <w:t xml:space="preserve"> health status. These sequences with time allow computational models to learn longitudinal disease patterns and anticipate future clinical events from accumulated patient histories. In recent years, advances in deep learning, particularly Transformer-based architectures, have substantially improved the representation of such records and the prediction of subsequent events [1,2].</w:t>
      </w:r>
    </w:p>
    <w:p w14:paraId="7A07A686" w14:textId="5D797DBE" w:rsidR="00BC132A" w:rsidRDefault="00000000">
      <w:pPr>
        <w:rPr>
          <w:color w:val="000000"/>
          <w:lang w:eastAsia="zh-CN"/>
        </w:rPr>
      </w:pPr>
      <w:r>
        <w:rPr>
          <w:color w:val="000000"/>
          <w:lang w:eastAsia="zh-CN"/>
        </w:rPr>
        <w:t xml:space="preserve">Early Transformer-based EHR models, including BEHRT [1] and Med-BERT [2], primarily encode histories for predefined outcomes. </w:t>
      </w:r>
      <w:r w:rsidR="00E911EC">
        <w:rPr>
          <w:rFonts w:hint="eastAsia"/>
          <w:color w:val="000000"/>
          <w:lang w:eastAsia="zh-CN"/>
        </w:rPr>
        <w:t>Consequently, more recent g</w:t>
      </w:r>
      <w:r>
        <w:rPr>
          <w:color w:val="000000"/>
          <w:lang w:eastAsia="zh-CN"/>
        </w:rPr>
        <w:t xml:space="preserve">enerative approaches </w:t>
      </w:r>
      <w:r w:rsidR="00E911EC" w:rsidRPr="00E911EC">
        <w:rPr>
          <w:color w:val="000000"/>
          <w:lang w:eastAsia="zh-CN"/>
        </w:rPr>
        <w:t>shift this objective toward the future patient timeline itself. For instance</w:t>
      </w:r>
      <w:r w:rsidR="00E911EC">
        <w:rPr>
          <w:rFonts w:hint="eastAsia"/>
          <w:color w:val="000000"/>
          <w:lang w:eastAsia="zh-CN"/>
        </w:rPr>
        <w:t>,</w:t>
      </w:r>
      <w:r>
        <w:rPr>
          <w:color w:val="000000"/>
          <w:lang w:eastAsia="zh-CN"/>
        </w:rPr>
        <w:t xml:space="preserve"> Foresight [3] generates heterogeneous clinical concepts</w:t>
      </w:r>
      <w:r w:rsidR="006A0A03">
        <w:rPr>
          <w:rFonts w:hint="eastAsia"/>
          <w:color w:val="000000"/>
          <w:lang w:eastAsia="zh-CN"/>
        </w:rPr>
        <w:t xml:space="preserve"> from longitudinal records</w:t>
      </w:r>
      <w:r>
        <w:rPr>
          <w:color w:val="000000"/>
          <w:lang w:eastAsia="zh-CN"/>
        </w:rPr>
        <w:t xml:space="preserve">, ETHOS [4] models patient health </w:t>
      </w:r>
      <w:r w:rsidR="006A0A03">
        <w:rPr>
          <w:rFonts w:hint="eastAsia"/>
          <w:color w:val="000000"/>
          <w:lang w:eastAsia="zh-CN"/>
        </w:rPr>
        <w:t>trajectories within generative framework</w:t>
      </w:r>
      <w:r>
        <w:rPr>
          <w:color w:val="000000"/>
          <w:lang w:eastAsia="zh-CN"/>
        </w:rPr>
        <w:t>, and Delphi-2M [5] generates long</w:t>
      </w:r>
      <w:r w:rsidR="006A0A03">
        <w:rPr>
          <w:rFonts w:hint="eastAsia"/>
          <w:color w:val="000000"/>
          <w:lang w:eastAsia="zh-CN"/>
        </w:rPr>
        <w:t xml:space="preserve"> </w:t>
      </w:r>
      <w:r>
        <w:rPr>
          <w:color w:val="000000"/>
          <w:lang w:eastAsia="zh-CN"/>
        </w:rPr>
        <w:t>term disease trajectories</w:t>
      </w:r>
      <w:r w:rsidR="006A0A03">
        <w:rPr>
          <w:rFonts w:hint="eastAsia"/>
          <w:color w:val="000000"/>
          <w:lang w:eastAsia="zh-CN"/>
        </w:rPr>
        <w:t xml:space="preserve"> through autoregressive disease event prediction</w:t>
      </w:r>
      <w:r>
        <w:rPr>
          <w:color w:val="000000"/>
          <w:lang w:eastAsia="zh-CN"/>
        </w:rPr>
        <w:t>. This shift changes the prediction target from a single outcome to a sequence whose event content, elapsed time and termination all require evaluation.</w:t>
      </w:r>
    </w:p>
    <w:p w14:paraId="128C50C1" w14:textId="5D484EFF" w:rsidR="00BC132A" w:rsidRDefault="00BC3BA3">
      <w:pPr>
        <w:rPr>
          <w:color w:val="000000"/>
          <w:lang w:eastAsia="zh-CN"/>
        </w:rPr>
      </w:pPr>
      <w:r>
        <w:rPr>
          <w:rFonts w:hint="eastAsia"/>
          <w:color w:val="000000"/>
          <w:lang w:eastAsia="zh-CN"/>
        </w:rPr>
        <w:t xml:space="preserve">Despite this shift, however, </w:t>
      </w:r>
      <w:r w:rsidRPr="00BC3BA3">
        <w:rPr>
          <w:color w:val="000000"/>
          <w:lang w:eastAsia="zh-CN"/>
        </w:rPr>
        <w:t>several aspects of longitudinal EHR structure remain insufficiently characterized in generative trajectory modeling.</w:t>
      </w:r>
      <w:r w:rsidR="00ED37AC">
        <w:rPr>
          <w:rFonts w:hint="eastAsia"/>
          <w:color w:val="000000"/>
          <w:lang w:eastAsia="zh-CN"/>
        </w:rPr>
        <w:t xml:space="preserve"> </w:t>
      </w:r>
      <w:r w:rsidR="00ED37AC" w:rsidRPr="00ED37AC">
        <w:rPr>
          <w:color w:val="000000"/>
          <w:lang w:eastAsia="zh-CN"/>
        </w:rPr>
        <w:t>Existing approaches differ substantially in the types and granularity of clinical events they include,</w:t>
      </w:r>
      <w:r w:rsidR="00ED37AC">
        <w:rPr>
          <w:rFonts w:hint="eastAsia"/>
          <w:color w:val="000000"/>
          <w:lang w:eastAsia="zh-CN"/>
        </w:rPr>
        <w:t xml:space="preserve"> </w:t>
      </w:r>
      <w:r w:rsidR="00ED37AC" w:rsidRPr="00ED37AC">
        <w:rPr>
          <w:color w:val="000000"/>
          <w:lang w:eastAsia="zh-CN"/>
        </w:rPr>
        <w:t xml:space="preserve">which make it difficult to isolate the contribution </w:t>
      </w:r>
      <w:r w:rsidR="00ED37AC" w:rsidRPr="00ED37AC">
        <w:rPr>
          <w:color w:val="000000"/>
          <w:lang w:eastAsia="zh-CN"/>
        </w:rPr>
        <w:lastRenderedPageBreak/>
        <w:t>of extending diagnosis centered sequences to structured multitype EHRs. In addition, longitudinal trajectories depend not only on absolute age or event order but also on the time actually elapsed between clinical events, yet the contribution of continuous event time to multistep trajectory generation inadequately quantified. Since trajectory generation and conventional risk prediction target different quantities, it remains unclear whether improved generative fidelity carries over to fixed-horizon risk discrimination.</w:t>
      </w:r>
      <w:r>
        <w:rPr>
          <w:color w:val="000000"/>
          <w:lang w:eastAsia="zh-CN"/>
        </w:rPr>
        <w:t xml:space="preserve"> </w:t>
      </w:r>
    </w:p>
    <w:p w14:paraId="2C02A926" w14:textId="0DE289EC" w:rsidR="00BC132A" w:rsidRDefault="00BB15EA">
      <w:pPr>
        <w:rPr>
          <w:color w:val="000000"/>
          <w:lang w:eastAsia="zh-CN"/>
        </w:rPr>
      </w:pPr>
      <w:r>
        <w:rPr>
          <w:rFonts w:hint="eastAsia"/>
          <w:color w:val="000000"/>
          <w:lang w:eastAsia="zh-CN"/>
        </w:rPr>
        <w:t>To address these problems, w</w:t>
      </w:r>
      <w:r>
        <w:rPr>
          <w:color w:val="000000"/>
          <w:lang w:eastAsia="zh-CN"/>
        </w:rPr>
        <w:t xml:space="preserve">e </w:t>
      </w:r>
      <w:r>
        <w:rPr>
          <w:rFonts w:hint="eastAsia"/>
          <w:color w:val="000000"/>
          <w:lang w:eastAsia="zh-CN"/>
        </w:rPr>
        <w:t>propose</w:t>
      </w:r>
      <w:r>
        <w:rPr>
          <w:color w:val="000000"/>
          <w:lang w:eastAsia="zh-CN"/>
        </w:rPr>
        <w:t xml:space="preserve"> MedTrajectory</w:t>
      </w:r>
      <w:r>
        <w:rPr>
          <w:rFonts w:hint="eastAsia"/>
          <w:color w:val="000000"/>
          <w:lang w:eastAsia="zh-CN"/>
        </w:rPr>
        <w:t xml:space="preserve">, an autoregressive model for multitype longitudinal EHRs </w:t>
      </w:r>
      <w:r w:rsidRPr="00BB15EA">
        <w:rPr>
          <w:color w:val="000000"/>
          <w:lang w:eastAsia="zh-CN"/>
        </w:rPr>
        <w:t xml:space="preserve">that integrates heterogeneous clinical events with absolute age and continuous relative time representations. Specifically, this study makes the following contributions: </w:t>
      </w:r>
    </w:p>
    <w:p w14:paraId="7D1FD0A5" w14:textId="5070F2C0" w:rsidR="00BC132A" w:rsidRDefault="00000000">
      <w:pPr>
        <w:rPr>
          <w:color w:val="000000"/>
          <w:lang w:eastAsia="zh-CN"/>
        </w:rPr>
      </w:pPr>
      <w:r>
        <w:rPr>
          <w:color w:val="000000"/>
          <w:lang w:eastAsia="zh-CN"/>
        </w:rPr>
        <w:t xml:space="preserve">1) </w:t>
      </w:r>
      <w:r w:rsidR="0022191D" w:rsidRPr="0022191D">
        <w:rPr>
          <w:color w:val="000000"/>
          <w:lang w:eastAsia="zh-CN"/>
        </w:rPr>
        <w:t>We develop a unified multitype EHR representation and quantify what procedures, cancer registrations, and mortality related events add to diagnosis centered trajectories.</w:t>
      </w:r>
    </w:p>
    <w:p w14:paraId="489452D6" w14:textId="01E22D5A" w:rsidR="00BC132A" w:rsidRDefault="00000000">
      <w:pPr>
        <w:rPr>
          <w:color w:val="000000"/>
          <w:lang w:eastAsia="zh-CN"/>
        </w:rPr>
      </w:pPr>
      <w:r>
        <w:rPr>
          <w:color w:val="000000"/>
          <w:lang w:eastAsia="zh-CN"/>
        </w:rPr>
        <w:t xml:space="preserve">2) </w:t>
      </w:r>
      <w:r w:rsidR="0022191D">
        <w:rPr>
          <w:rFonts w:hint="eastAsia"/>
          <w:color w:val="000000"/>
          <w:lang w:eastAsia="zh-CN"/>
        </w:rPr>
        <w:t>We introduce c</w:t>
      </w:r>
      <w:r>
        <w:rPr>
          <w:color w:val="000000"/>
          <w:lang w:eastAsia="zh-CN"/>
        </w:rPr>
        <w:t>ontinuous relative</w:t>
      </w:r>
      <w:r w:rsidR="0022191D">
        <w:rPr>
          <w:rFonts w:hint="eastAsia"/>
          <w:color w:val="000000"/>
          <w:lang w:eastAsia="zh-CN"/>
        </w:rPr>
        <w:t xml:space="preserve"> </w:t>
      </w:r>
      <w:r>
        <w:rPr>
          <w:color w:val="000000"/>
          <w:lang w:eastAsia="zh-CN"/>
        </w:rPr>
        <w:t>time attention alongside absolute</w:t>
      </w:r>
      <w:r w:rsidR="0022191D">
        <w:rPr>
          <w:rFonts w:hint="eastAsia"/>
          <w:color w:val="000000"/>
          <w:lang w:eastAsia="zh-CN"/>
        </w:rPr>
        <w:t xml:space="preserve"> </w:t>
      </w:r>
      <w:r>
        <w:rPr>
          <w:color w:val="000000"/>
          <w:lang w:eastAsia="zh-CN"/>
        </w:rPr>
        <w:t>age encoding, with a separate monotonic horizon</w:t>
      </w:r>
      <w:r w:rsidR="0022191D">
        <w:rPr>
          <w:rFonts w:hint="eastAsia"/>
          <w:color w:val="000000"/>
          <w:lang w:eastAsia="zh-CN"/>
        </w:rPr>
        <w:t xml:space="preserve"> </w:t>
      </w:r>
      <w:r>
        <w:rPr>
          <w:color w:val="000000"/>
          <w:lang w:eastAsia="zh-CN"/>
        </w:rPr>
        <w:t>query head for disease prediction. UKB comparisons establish the temporal branch's generation benefit.</w:t>
      </w:r>
    </w:p>
    <w:p w14:paraId="7D3AB02F" w14:textId="053478F4" w:rsidR="00BC132A" w:rsidRDefault="00000000">
      <w:pPr>
        <w:rPr>
          <w:color w:val="000000"/>
          <w:lang w:eastAsia="zh-CN"/>
        </w:rPr>
      </w:pPr>
      <w:r>
        <w:rPr>
          <w:color w:val="000000"/>
          <w:lang w:eastAsia="zh-CN"/>
        </w:rPr>
        <w:t xml:space="preserve">3) </w:t>
      </w:r>
      <w:r w:rsidR="0022191D">
        <w:rPr>
          <w:rFonts w:hint="eastAsia"/>
          <w:color w:val="000000"/>
          <w:lang w:eastAsia="zh-CN"/>
        </w:rPr>
        <w:t>We operate d</w:t>
      </w:r>
      <w:r>
        <w:rPr>
          <w:color w:val="000000"/>
          <w:lang w:eastAsia="zh-CN"/>
        </w:rPr>
        <w:t>eath</w:t>
      </w:r>
      <w:r w:rsidR="0022191D">
        <w:rPr>
          <w:rFonts w:hint="eastAsia"/>
          <w:color w:val="000000"/>
          <w:lang w:eastAsia="zh-CN"/>
        </w:rPr>
        <w:t xml:space="preserve"> </w:t>
      </w:r>
      <w:r>
        <w:rPr>
          <w:color w:val="000000"/>
          <w:lang w:eastAsia="zh-CN"/>
        </w:rPr>
        <w:t>token ablation and independent mortality estimation that quantify termination effects and distinguish generated terminal events from calibrated risk.</w:t>
      </w:r>
    </w:p>
    <w:p w14:paraId="4F85F01D" w14:textId="1CF1BC1F" w:rsidR="00BC132A" w:rsidRDefault="00000000">
      <w:pPr>
        <w:rPr>
          <w:color w:val="000000"/>
          <w:lang w:eastAsia="zh-CN"/>
        </w:rPr>
      </w:pPr>
      <w:r>
        <w:rPr>
          <w:color w:val="000000"/>
          <w:lang w:eastAsia="zh-CN"/>
        </w:rPr>
        <w:t xml:space="preserve">4) </w:t>
      </w:r>
      <w:r w:rsidR="0022191D">
        <w:rPr>
          <w:rFonts w:hint="eastAsia"/>
          <w:color w:val="000000"/>
          <w:lang w:eastAsia="zh-CN"/>
        </w:rPr>
        <w:t xml:space="preserve">We add </w:t>
      </w:r>
      <w:r>
        <w:rPr>
          <w:color w:val="000000"/>
          <w:lang w:eastAsia="zh-CN"/>
        </w:rPr>
        <w:t>MIMIC-IV adaptation and same</w:t>
      </w:r>
      <w:r w:rsidR="0022191D">
        <w:rPr>
          <w:rFonts w:hint="eastAsia"/>
          <w:color w:val="000000"/>
          <w:lang w:eastAsia="zh-CN"/>
        </w:rPr>
        <w:t xml:space="preserve"> </w:t>
      </w:r>
      <w:r>
        <w:rPr>
          <w:color w:val="000000"/>
          <w:lang w:eastAsia="zh-CN"/>
        </w:rPr>
        <w:t>target</w:t>
      </w:r>
      <w:r w:rsidR="0022191D">
        <w:rPr>
          <w:rFonts w:hint="eastAsia"/>
          <w:color w:val="000000"/>
          <w:lang w:eastAsia="zh-CN"/>
        </w:rPr>
        <w:t xml:space="preserve"> </w:t>
      </w:r>
      <w:r>
        <w:rPr>
          <w:color w:val="000000"/>
          <w:lang w:eastAsia="zh-CN"/>
        </w:rPr>
        <w:t>budget transfer analyses that test reuse of the framework and characterize diagnostic</w:t>
      </w:r>
      <w:r w:rsidR="0022191D">
        <w:rPr>
          <w:rFonts w:hint="eastAsia"/>
          <w:color w:val="000000"/>
          <w:lang w:eastAsia="zh-CN"/>
        </w:rPr>
        <w:t xml:space="preserve"> </w:t>
      </w:r>
      <w:r>
        <w:rPr>
          <w:color w:val="000000"/>
          <w:lang w:eastAsia="zh-CN"/>
        </w:rPr>
        <w:t>content gains alongside timing and count tradeoffs.</w:t>
      </w:r>
    </w:p>
    <w:p w14:paraId="605957E2" w14:textId="77777777" w:rsidR="005D33F6" w:rsidRDefault="0031392E">
      <w:pPr>
        <w:pStyle w:val="2"/>
      </w:pPr>
      <w:bookmarkStart w:id="1" w:name="ii.-related-work"/>
      <w:bookmarkEnd w:id="0"/>
      <w:r>
        <w:t>II. RELATED WORK</w:t>
      </w:r>
    </w:p>
    <w:p w14:paraId="48FE4F44" w14:textId="6E1480A4" w:rsidR="00BC4CFA" w:rsidRPr="00BC4CFA" w:rsidRDefault="00BC4CFA" w:rsidP="00BC4CFA">
      <w:pPr>
        <w:rPr>
          <w:lang w:eastAsia="zh-CN"/>
        </w:rPr>
      </w:pPr>
      <w:r>
        <w:rPr>
          <w:rFonts w:hint="eastAsia"/>
          <w:lang w:eastAsia="zh-CN"/>
        </w:rPr>
        <w:t>The representation of clinical concepts, longitudinal outcome prediction and temporally informed generation of patient trajectories develop rapidly and expand in more areas.</w:t>
      </w:r>
    </w:p>
    <w:p w14:paraId="5E8D60A7" w14:textId="77777777" w:rsidR="00BC132A" w:rsidRDefault="00000000">
      <w:pPr>
        <w:pStyle w:val="3"/>
      </w:pPr>
      <w:r>
        <w:rPr>
          <w:rFonts w:hint="eastAsia"/>
          <w:lang w:eastAsia="zh-CN"/>
        </w:rPr>
        <w:t>A. Disease coding and prediction</w:t>
      </w:r>
    </w:p>
    <w:p w14:paraId="70C1C18E" w14:textId="0099D75A" w:rsidR="00BC132A" w:rsidRDefault="00000000">
      <w:pPr>
        <w:rPr>
          <w:color w:val="000000"/>
          <w:lang w:eastAsia="zh-CN"/>
        </w:rPr>
      </w:pPr>
      <w:r>
        <w:rPr>
          <w:color w:val="000000"/>
          <w:lang w:eastAsia="zh-CN"/>
        </w:rPr>
        <w:t xml:space="preserve">Clinical concepts </w:t>
      </w:r>
      <w:r w:rsidR="00093E34">
        <w:rPr>
          <w:rFonts w:hint="eastAsia"/>
          <w:color w:val="000000"/>
          <w:lang w:eastAsia="zh-CN"/>
        </w:rPr>
        <w:t xml:space="preserve">in EHRs </w:t>
      </w:r>
      <w:r>
        <w:rPr>
          <w:color w:val="000000"/>
          <w:lang w:eastAsia="zh-CN"/>
        </w:rPr>
        <w:t xml:space="preserve">can be represented through standardized codes, ontology structure or biomedical text. Phecodes group ICD codes into clinically meaningful phenotypes [6], while GRAM incorporates hierarchical ontology information </w:t>
      </w:r>
      <w:r w:rsidR="00093E34">
        <w:rPr>
          <w:rFonts w:hint="eastAsia"/>
          <w:color w:val="000000"/>
          <w:lang w:eastAsia="zh-CN"/>
        </w:rPr>
        <w:t>into representation</w:t>
      </w:r>
      <w:r w:rsidR="00D74A81">
        <w:rPr>
          <w:rFonts w:hint="eastAsia"/>
          <w:color w:val="000000"/>
          <w:lang w:eastAsia="zh-CN"/>
        </w:rPr>
        <w:t xml:space="preserve"> </w:t>
      </w:r>
      <w:r>
        <w:rPr>
          <w:color w:val="000000"/>
          <w:lang w:eastAsia="zh-CN"/>
        </w:rPr>
        <w:t xml:space="preserve">[7]. PubMedBERT [8] and SapBERT [9] </w:t>
      </w:r>
      <w:r w:rsidR="00D74A81">
        <w:rPr>
          <w:rFonts w:hint="eastAsia"/>
          <w:color w:val="000000"/>
          <w:lang w:eastAsia="zh-CN"/>
        </w:rPr>
        <w:t xml:space="preserve">supply semantic </w:t>
      </w:r>
      <w:r>
        <w:rPr>
          <w:color w:val="000000"/>
          <w:lang w:eastAsia="zh-CN"/>
        </w:rPr>
        <w:t>representations learned from biomedical language and terminology. These strategies inform code initialization</w:t>
      </w:r>
      <w:r w:rsidR="001C10B7">
        <w:rPr>
          <w:rFonts w:hint="eastAsia"/>
          <w:color w:val="000000"/>
          <w:lang w:eastAsia="zh-CN"/>
        </w:rPr>
        <w:t>,</w:t>
      </w:r>
      <w:r>
        <w:rPr>
          <w:color w:val="000000"/>
          <w:lang w:eastAsia="zh-CN"/>
        </w:rPr>
        <w:t xml:space="preserve"> the contribution of adding an event channel remains a separate question because its inclusion can alter the history, target vocabulary and cohort.</w:t>
      </w:r>
    </w:p>
    <w:p w14:paraId="542B4B16" w14:textId="16C617E8" w:rsidR="00BC132A" w:rsidRDefault="00000000">
      <w:pPr>
        <w:rPr>
          <w:color w:val="000000"/>
          <w:lang w:eastAsia="zh-CN"/>
        </w:rPr>
      </w:pPr>
      <w:r>
        <w:rPr>
          <w:color w:val="000000"/>
          <w:lang w:eastAsia="zh-CN"/>
        </w:rPr>
        <w:t>Longitudinal prediction progressed from recurrent and attention</w:t>
      </w:r>
      <w:r w:rsidR="00D1354D">
        <w:rPr>
          <w:rFonts w:hint="eastAsia"/>
          <w:color w:val="000000"/>
          <w:lang w:eastAsia="zh-CN"/>
        </w:rPr>
        <w:t>-</w:t>
      </w:r>
      <w:r>
        <w:rPr>
          <w:color w:val="000000"/>
          <w:lang w:eastAsia="zh-CN"/>
        </w:rPr>
        <w:t>based designs, including Doctor AI [10] and RETAIN [11], to</w:t>
      </w:r>
      <w:r w:rsidR="00D1354D">
        <w:rPr>
          <w:rFonts w:hint="eastAsia"/>
          <w:color w:val="000000"/>
          <w:lang w:eastAsia="zh-CN"/>
        </w:rPr>
        <w:t xml:space="preserve"> Transformer-based representations including</w:t>
      </w:r>
      <w:r>
        <w:rPr>
          <w:color w:val="000000"/>
          <w:lang w:eastAsia="zh-CN"/>
        </w:rPr>
        <w:t xml:space="preserve"> BEHRT [1] and Med-BERT [2]. DeepHit [12], Dynamic-DeepHit [13] and SurvTRACE [14], [15] </w:t>
      </w:r>
      <w:r w:rsidR="00D1354D">
        <w:rPr>
          <w:rFonts w:hint="eastAsia"/>
          <w:color w:val="000000"/>
          <w:lang w:eastAsia="zh-CN"/>
        </w:rPr>
        <w:t xml:space="preserve">then extend this line to time bounded outcomes via incorporating </w:t>
      </w:r>
      <w:r>
        <w:rPr>
          <w:color w:val="000000"/>
          <w:lang w:eastAsia="zh-CN"/>
        </w:rPr>
        <w:t xml:space="preserve">time-to-event outcomes and censoring. </w:t>
      </w:r>
      <w:r w:rsidR="00033C5C">
        <w:rPr>
          <w:rFonts w:hint="eastAsia"/>
          <w:color w:val="000000"/>
          <w:lang w:eastAsia="zh-CN"/>
        </w:rPr>
        <w:t xml:space="preserve">However, some of them </w:t>
      </w:r>
      <w:r w:rsidR="005012EE" w:rsidRPr="005012EE">
        <w:rPr>
          <w:color w:val="000000"/>
          <w:lang w:eastAsia="zh-CN"/>
        </w:rPr>
        <w:t>target a predefined outcome or the next recorded visit</w:t>
      </w:r>
      <w:r w:rsidR="005012EE">
        <w:rPr>
          <w:rFonts w:hint="eastAsia"/>
          <w:color w:val="000000"/>
          <w:lang w:eastAsia="zh-CN"/>
        </w:rPr>
        <w:t>, and</w:t>
      </w:r>
      <w:r w:rsidR="00033C5C">
        <w:rPr>
          <w:rFonts w:hint="eastAsia"/>
          <w:color w:val="000000"/>
          <w:lang w:eastAsia="zh-CN"/>
        </w:rPr>
        <w:t xml:space="preserve"> </w:t>
      </w:r>
      <w:r>
        <w:rPr>
          <w:color w:val="000000"/>
          <w:lang w:eastAsia="zh-CN"/>
        </w:rPr>
        <w:t>a useful generated sequence does not by itself establish accurate disease</w:t>
      </w:r>
      <w:r w:rsidR="00033C5C">
        <w:rPr>
          <w:rFonts w:hint="eastAsia"/>
          <w:color w:val="000000"/>
          <w:lang w:eastAsia="zh-CN"/>
        </w:rPr>
        <w:t xml:space="preserve"> </w:t>
      </w:r>
      <w:r>
        <w:rPr>
          <w:color w:val="000000"/>
          <w:lang w:eastAsia="zh-CN"/>
        </w:rPr>
        <w:t>risk ranking or probability calibration.</w:t>
      </w:r>
      <w:r w:rsidR="00033C5C">
        <w:rPr>
          <w:rFonts w:hint="eastAsia"/>
          <w:color w:val="000000"/>
          <w:lang w:eastAsia="zh-CN"/>
        </w:rPr>
        <w:t xml:space="preserve"> </w:t>
      </w:r>
    </w:p>
    <w:p w14:paraId="1BEC776A" w14:textId="77777777" w:rsidR="00BC132A" w:rsidRDefault="00000000">
      <w:pPr>
        <w:pStyle w:val="3"/>
      </w:pPr>
      <w:r>
        <w:rPr>
          <w:rFonts w:hint="eastAsia"/>
          <w:lang w:eastAsia="zh-CN"/>
        </w:rPr>
        <w:t>B. Generative patient trajectory and temporal modeling</w:t>
      </w:r>
    </w:p>
    <w:p w14:paraId="59ADF0FA" w14:textId="56BE9847" w:rsidR="00BC132A" w:rsidRDefault="00863134">
      <w:pPr>
        <w:rPr>
          <w:color w:val="000000"/>
          <w:lang w:eastAsia="zh-CN"/>
        </w:rPr>
      </w:pPr>
      <w:r w:rsidRPr="00863134">
        <w:rPr>
          <w:color w:val="000000"/>
          <w:lang w:eastAsia="zh-CN"/>
        </w:rPr>
        <w:t xml:space="preserve">Generative EHR modeling takes the work a step further, shifting the target from predefined outcomes to the patient's future trajectory as a whole. Foresight generates subsequent heterogeneous clinical concepts from longitudinal records [3], whereas ETHOS represents temporally ordered Patient Health </w:t>
      </w:r>
      <w:r w:rsidRPr="00863134">
        <w:rPr>
          <w:color w:val="000000"/>
          <w:lang w:eastAsia="zh-CN"/>
        </w:rPr>
        <w:t>Timelines without task-specific retraining [4]. Delphi-2M follows a related route, combining autoregressive disease event modeling with continuous age and patient context to produce long term disease trajectories [5]. Collectively, these studies establish that generative patient modeling is feasible, yet they differ considerably in event space, temporal representation and evaluation protocol. Such heterogeneity makes it difficult to attribute observed performance differences to any single design choice.</w:t>
      </w:r>
    </w:p>
    <w:p w14:paraId="01028E00" w14:textId="326B58AE" w:rsidR="00BC132A" w:rsidRDefault="007E370B">
      <w:pPr>
        <w:rPr>
          <w:color w:val="000000"/>
          <w:lang w:eastAsia="zh-CN"/>
        </w:rPr>
      </w:pPr>
      <w:r w:rsidRPr="007E370B">
        <w:rPr>
          <w:color w:val="000000"/>
          <w:lang w:eastAsia="zh-CN"/>
        </w:rPr>
        <w:t xml:space="preserve">Among the divergence in these studies, temporal representation deserves particular attention, since clinical events arise at irregular intervals rather than on a fixed schedule. BEHRT incorporates age and event position into its input representation [1]. CEHR-BERT goes further by introducing explicit time-interval and age representations [16], and HiTANet adopts time-aware attention for longitudinal risk prediction [17]. Adaptive clinical risk estimates have likewise been derived from generative health trajectory models [18]. </w:t>
      </w:r>
      <w:r w:rsidR="00DA1706">
        <w:rPr>
          <w:rFonts w:hint="eastAsia"/>
          <w:color w:val="000000"/>
          <w:lang w:eastAsia="zh-CN"/>
        </w:rPr>
        <w:t xml:space="preserve">As </w:t>
      </w:r>
      <w:r w:rsidR="00DA1706" w:rsidRPr="00DA1706">
        <w:rPr>
          <w:color w:val="000000"/>
          <w:lang w:eastAsia="zh-CN"/>
        </w:rPr>
        <w:t>whether multitype event structure and continuous inter event time shape multistep generation in the same way they shape fixed horizon prediction</w:t>
      </w:r>
      <w:r w:rsidR="00DA1706">
        <w:rPr>
          <w:rFonts w:hint="eastAsia"/>
          <w:color w:val="000000"/>
          <w:lang w:eastAsia="zh-CN"/>
        </w:rPr>
        <w:t xml:space="preserve"> remains unresolved, w</w:t>
      </w:r>
      <w:r>
        <w:rPr>
          <w:color w:val="000000"/>
          <w:lang w:eastAsia="zh-CN"/>
        </w:rPr>
        <w:t>e retain absolute age while adding elapsed-time attention, and evaluate multistep generation separately from the horizon-query readout. A</w:t>
      </w:r>
      <w:r w:rsidR="00D3585D">
        <w:rPr>
          <w:rFonts w:hint="eastAsia"/>
          <w:color w:val="000000"/>
          <w:lang w:eastAsia="zh-CN"/>
        </w:rPr>
        <w:t>lso, a</w:t>
      </w:r>
      <w:r>
        <w:rPr>
          <w:color w:val="000000"/>
          <w:lang w:eastAsia="zh-CN"/>
        </w:rPr>
        <w:t xml:space="preserve"> further index</w:t>
      </w:r>
      <w:r w:rsidR="00733A05">
        <w:rPr>
          <w:rFonts w:hint="eastAsia"/>
          <w:color w:val="000000"/>
          <w:lang w:eastAsia="zh-CN"/>
        </w:rPr>
        <w:t xml:space="preserve"> </w:t>
      </w:r>
      <w:r>
        <w:rPr>
          <w:color w:val="000000"/>
          <w:lang w:eastAsia="zh-CN"/>
        </w:rPr>
        <w:t>phase control in MIMIC-IV examines whether the rotary branch benefits from actual intervals rather than event order alone.</w:t>
      </w:r>
    </w:p>
    <w:p w14:paraId="5A0E4E0C" w14:textId="77777777" w:rsidR="005D33F6" w:rsidRDefault="0031392E">
      <w:pPr>
        <w:pStyle w:val="2"/>
      </w:pPr>
      <w:bookmarkStart w:id="2" w:name="iii.-methods"/>
      <w:bookmarkEnd w:id="1"/>
      <w:r>
        <w:t>III. METHODS</w:t>
      </w:r>
    </w:p>
    <w:p w14:paraId="71D4F71A" w14:textId="77777777" w:rsidR="005D33F6" w:rsidRDefault="0031392E">
      <w:pPr>
        <w:pStyle w:val="3"/>
      </w:pPr>
      <w:bookmarkStart w:id="3" w:name="a.-problem-formulation"/>
      <w:r>
        <w:t>A. Problem formulation</w:t>
      </w:r>
    </w:p>
    <w:p w14:paraId="12189676" w14:textId="4BBC2DEA" w:rsidR="005D33F6" w:rsidRDefault="0031392E">
      <w:r>
        <w:rPr>
          <w:rFonts w:hint="eastAsia"/>
          <w:lang w:eastAsia="zh-CN"/>
        </w:rPr>
        <w:t>We formulate longitudinal patient</w:t>
      </w:r>
      <w:r w:rsidR="00D11DC8">
        <w:rPr>
          <w:rFonts w:hint="eastAsia"/>
          <w:lang w:eastAsia="zh-CN"/>
        </w:rPr>
        <w:t xml:space="preserve"> </w:t>
      </w:r>
      <w:r>
        <w:rPr>
          <w:rFonts w:hint="eastAsia"/>
          <w:lang w:eastAsia="zh-CN"/>
        </w:rPr>
        <w:t xml:space="preserve">trajectory modeling as an autoregressive generation problem over clinical events and continuous time. </w:t>
      </w:r>
      <w:r w:rsidR="00C30DC9">
        <w:rPr>
          <w:rFonts w:hint="eastAsia"/>
          <w:lang w:eastAsia="zh-CN"/>
        </w:rPr>
        <w:t>Let</w:t>
      </w:r>
      <w:r>
        <w:rPr>
          <w:rFonts w:hint="eastAsia"/>
          <w:lang w:eastAsia="zh-CN"/>
        </w:rPr>
        <w:t xml:space="preserve"> </w:t>
      </w:r>
      <m:oMath>
        <m:sSub>
          <m:sSubPr>
            <m:ctrlPr>
              <w:rPr>
                <w:rFonts w:ascii="Cambria Math" w:hAnsi="Cambria Math"/>
              </w:rPr>
            </m:ctrlPr>
          </m:sSubPr>
          <m:e>
            <m:r>
              <m:rPr>
                <m:scr m:val="script"/>
              </m:rPr>
              <w:rPr>
                <w:rFonts w:ascii="Cambria Math" w:hAnsi="Cambria Math" w:cs="Cambria Math"/>
              </w:rPr>
              <m:t>H</m:t>
            </m:r>
          </m:e>
          <m:sub>
            <m:r>
              <w:rPr>
                <w:rFonts w:ascii="Cambria Math" w:hAnsi="Cambria Math" w:cs="Cambria Math"/>
              </w:rPr>
              <m:t>i</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m:t>
            </m:r>
            <m:sSub>
              <m:sSubPr>
                <m:ctrlPr>
                  <w:rPr>
                    <w:rFonts w:ascii="Cambria Math" w:hAnsi="Cambria Math"/>
                  </w:rPr>
                </m:ctrlPr>
              </m:sSubPr>
              <m:e>
                <m:r>
                  <w:rPr>
                    <w:rFonts w:ascii="Cambria Math" w:hAnsi="Cambria Math" w:cs="Cambria Math"/>
                  </w:rPr>
                  <m:t>e</m:t>
                </m:r>
              </m:e>
              <m:sub>
                <m:r>
                  <w:rPr>
                    <w:rFonts w:ascii="Cambria Math" w:hAnsi="Cambria Math" w:cs="Cambria Math"/>
                  </w:rPr>
                  <m:t>j</m:t>
                </m:r>
              </m:sub>
            </m:sSub>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j</m:t>
                </m:r>
              </m:sub>
            </m:sSub>
            <m:r>
              <w:rPr>
                <w:rFonts w:ascii="Cambria Math" w:hAnsi="Cambria Math" w:cs="Cambria Math"/>
              </w:rPr>
              <m:t>)}</m:t>
            </m:r>
          </m:e>
          <m:sub>
            <m:r>
              <w:rPr>
                <w:rFonts w:ascii="Cambria Math" w:hAnsi="Cambria Math" w:cs="Cambria Math"/>
              </w:rPr>
              <m:t>j=1</m:t>
            </m:r>
          </m:sub>
          <m:sup>
            <m:r>
              <w:rPr>
                <w:rFonts w:ascii="Cambria Math" w:hAnsi="Cambria Math" w:cs="Cambria Math"/>
              </w:rPr>
              <m:t>i</m:t>
            </m:r>
          </m:sup>
        </m:sSubSup>
      </m:oMath>
      <w:r w:rsidR="00C30DC9">
        <w:rPr>
          <w:rFonts w:hint="eastAsia"/>
          <w:lang w:eastAsia="zh-CN"/>
        </w:rPr>
        <w:t xml:space="preserve"> denote the observed history</w:t>
      </w:r>
      <w:r>
        <w:rPr>
          <w:rFonts w:hint="eastAsia"/>
          <w:lang w:eastAsia="zh-CN"/>
        </w:rPr>
        <w:t xml:space="preserve">, </w:t>
      </w:r>
      <w:r w:rsidR="00C30DC9">
        <w:rPr>
          <w:rFonts w:hint="eastAsia"/>
          <w:lang w:eastAsia="zh-CN"/>
        </w:rPr>
        <w:t>in which</w:t>
      </w:r>
      <w:r>
        <w:rPr>
          <w:rFonts w:hint="eastAsia"/>
          <w:lang w:eastAsia="zh-CN"/>
        </w:rPr>
        <w:t xml:space="preserve"> </w:t>
      </w:r>
      <m:oMath>
        <m:sSub>
          <m:sSubPr>
            <m:ctrlPr>
              <w:rPr>
                <w:rFonts w:ascii="Cambria Math" w:hAnsi="Cambria Math"/>
              </w:rPr>
            </m:ctrlPr>
          </m:sSubPr>
          <m:e>
            <m:r>
              <w:rPr>
                <w:rFonts w:ascii="Cambria Math" w:hAnsi="Cambria Math" w:cs="Cambria Math"/>
              </w:rPr>
              <m:t>e</m:t>
            </m:r>
          </m:e>
          <m:sub>
            <m:r>
              <w:rPr>
                <w:rFonts w:ascii="Cambria Math" w:hAnsi="Cambria Math" w:cs="Cambria Math"/>
              </w:rPr>
              <m:t>j</m:t>
            </m:r>
          </m:sub>
        </m:sSub>
      </m:oMath>
      <w:r>
        <w:rPr>
          <w:rFonts w:hint="eastAsia"/>
          <w:lang w:eastAsia="zh-CN"/>
        </w:rPr>
        <w:t xml:space="preserve"> </w:t>
      </w:r>
      <w:r w:rsidR="00DC6697">
        <w:rPr>
          <w:rFonts w:hint="eastAsia"/>
          <w:lang w:eastAsia="zh-CN"/>
        </w:rPr>
        <w:t>is a</w:t>
      </w:r>
      <w:r>
        <w:rPr>
          <w:rFonts w:hint="eastAsia"/>
          <w:lang w:eastAsia="zh-CN"/>
        </w:rPr>
        <w:t xml:space="preserve"> clinical event and </w:t>
      </w:r>
      <m:oMath>
        <m:sSub>
          <m:sSubPr>
            <m:ctrlPr>
              <w:rPr>
                <w:rFonts w:ascii="Cambria Math" w:hAnsi="Cambria Math"/>
              </w:rPr>
            </m:ctrlPr>
          </m:sSubPr>
          <m:e>
            <m:r>
              <w:rPr>
                <w:rFonts w:ascii="Cambria Math" w:hAnsi="Cambria Math" w:cs="Cambria Math"/>
              </w:rPr>
              <m:t>t</m:t>
            </m:r>
          </m:e>
          <m:sub>
            <m:r>
              <w:rPr>
                <w:rFonts w:ascii="Cambria Math" w:hAnsi="Cambria Math" w:cs="Cambria Math" w:hint="eastAsia"/>
                <w:lang w:eastAsia="zh-CN"/>
              </w:rPr>
              <m:t>j</m:t>
            </m:r>
          </m:sub>
        </m:sSub>
      </m:oMath>
      <w:r>
        <w:rPr>
          <w:rFonts w:hint="eastAsia"/>
          <w:lang w:eastAsia="zh-CN"/>
        </w:rPr>
        <w:t xml:space="preserve"> i</w:t>
      </w:r>
      <w:r w:rsidR="00D71487">
        <w:rPr>
          <w:rFonts w:hint="eastAsia"/>
          <w:lang w:eastAsia="zh-CN"/>
        </w:rPr>
        <w:t>s it</w:t>
      </w:r>
      <w:r>
        <w:rPr>
          <w:rFonts w:hint="eastAsia"/>
          <w:lang w:eastAsia="zh-CN"/>
        </w:rPr>
        <w:t>s occurrence age, MedTrajectory</w:t>
      </w:r>
      <w:r w:rsidR="00071170">
        <w:rPr>
          <w:rFonts w:hint="eastAsia"/>
          <w:lang w:eastAsia="zh-CN"/>
        </w:rPr>
        <w:t xml:space="preserve"> then</w:t>
      </w:r>
      <w:r>
        <w:rPr>
          <w:rFonts w:hint="eastAsia"/>
          <w:lang w:eastAsia="zh-CN"/>
        </w:rPr>
        <w:t xml:space="preserve"> models the joint distribution of the next event </w:t>
      </w:r>
      <m:oMath>
        <m:sSub>
          <m:sSubPr>
            <m:ctrlPr>
              <w:rPr>
                <w:rFonts w:ascii="Cambria Math" w:hAnsi="Cambria Math"/>
              </w:rPr>
            </m:ctrlPr>
          </m:sSubPr>
          <m:e>
            <m:r>
              <w:rPr>
                <w:rFonts w:ascii="Cambria Math" w:hAnsi="Cambria Math" w:cs="Cambria Math"/>
              </w:rPr>
              <m:t>e</m:t>
            </m:r>
          </m:e>
          <m:sub>
            <m:r>
              <w:rPr>
                <w:rFonts w:ascii="Cambria Math" w:hAnsi="Cambria Math" w:cs="Cambria Math"/>
              </w:rPr>
              <m:t>i+1</m:t>
            </m:r>
          </m:sub>
        </m:sSub>
      </m:oMath>
      <w:r>
        <w:rPr>
          <w:rFonts w:hint="eastAsia"/>
          <w:lang w:eastAsia="zh-CN"/>
        </w:rPr>
        <w:t xml:space="preserve"> and </w:t>
      </w:r>
      <w:r w:rsidR="00D81335" w:rsidRPr="00D81335">
        <w:rPr>
          <w:lang w:eastAsia="zh-CN"/>
        </w:rPr>
        <w:t>the associated inter</w:t>
      </w:r>
      <w:r w:rsidR="00D81335">
        <w:rPr>
          <w:rFonts w:hint="eastAsia"/>
          <w:lang w:eastAsia="zh-CN"/>
        </w:rPr>
        <w:t xml:space="preserve"> </w:t>
      </w:r>
      <w:r w:rsidR="00D81335" w:rsidRPr="00D81335">
        <w:rPr>
          <w:lang w:eastAsia="zh-CN"/>
        </w:rPr>
        <w:t xml:space="preserve">event </w:t>
      </w:r>
      <w:r w:rsidR="00D81335">
        <w:rPr>
          <w:lang w:eastAsia="zh-CN"/>
        </w:rPr>
        <w:t>interval</w:t>
      </w:r>
      <w:r>
        <w:rPr>
          <w:rFonts w:hint="eastAsia"/>
          <w:lang w:eastAsia="zh-CN"/>
        </w:rPr>
        <w:t xml:space="preserve"> </w:t>
      </w:r>
      <m:oMath>
        <m:sSub>
          <m:sSubPr>
            <m:ctrlPr>
              <w:rPr>
                <w:rFonts w:ascii="Cambria Math" w:hAnsi="Cambria Math"/>
              </w:rPr>
            </m:ctrlPr>
          </m:sSubPr>
          <m:e>
            <m:r>
              <w:rPr>
                <w:rFonts w:ascii="Cambria Math" w:hAnsi="Cambria Math" w:cs="Cambria Math"/>
              </w:rPr>
              <m:t>Δt</m:t>
            </m:r>
          </m:e>
          <m:sub>
            <m:r>
              <w:rPr>
                <w:rFonts w:ascii="Cambria Math" w:hAnsi="Cambria Math" w:cs="Cambria Math"/>
              </w:rPr>
              <m:t>i+1</m:t>
            </m:r>
          </m:sub>
        </m:sSub>
      </m:oMath>
      <w:r>
        <w:rPr>
          <w:rFonts w:hint="eastAsia"/>
          <w:lang w:eastAsia="zh-CN"/>
        </w:rPr>
        <w:t xml:space="preserve">, conditioned on the preceding trajectory and patient context </w:t>
      </w:r>
      <m:oMath>
        <m:r>
          <w:rPr>
            <w:rFonts w:ascii="Cambria Math" w:hAnsi="Cambria Math" w:cs="Cambria Math"/>
          </w:rPr>
          <m:t>c</m:t>
        </m:r>
      </m:oMath>
      <w:r>
        <w:rPr>
          <w:rFonts w:hint="eastAsia"/>
          <w:lang w:eastAsia="zh-CN"/>
        </w:rPr>
        <w:t>:</w:t>
      </w:r>
    </w:p>
    <w:p w14:paraId="5450E3A4" w14:textId="77777777" w:rsidR="005D33F6" w:rsidRDefault="0031392E">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i</m:t>
                  </m:r>
                </m:sub>
              </m:sSub>
              <m:r>
                <m:rPr>
                  <m:sty m:val="p"/>
                </m:rPr>
                <w:rPr>
                  <w:rFonts w:ascii="Cambria Math" w:hAnsi="Cambria Math"/>
                </w:rPr>
                <m:t>,</m:t>
              </m:r>
              <m:r>
                <w:rPr>
                  <w:rFonts w:ascii="Cambria Math" w:hAnsi="Cambria Math"/>
                </w:rPr>
                <m:t>c</m:t>
              </m:r>
            </m:e>
          </m:d>
        </m:oMath>
      </m:oMathPara>
    </w:p>
    <w:p w14:paraId="3E39DBF3" w14:textId="77777777" w:rsidR="005D33F6" w:rsidRDefault="0027317A">
      <w:r>
        <w:t>The primary target is therefore the future sequence of clinical events together with their timing</w:t>
      </w:r>
      <w:r w:rsidR="00CB6F31">
        <w:rPr>
          <w:rFonts w:hint="eastAsia"/>
          <w:lang w:eastAsia="zh-CN"/>
        </w:rPr>
        <w:t>,</w:t>
      </w:r>
      <w:r>
        <w:t xml:space="preserve"> fixed-horizon clinical risk is evaluated separately as a downstream task.</w:t>
      </w:r>
    </w:p>
    <w:p w14:paraId="640CBE46" w14:textId="77777777" w:rsidR="009C3F3A" w:rsidRDefault="009C3F3A"/>
    <w:p w14:paraId="4CB7DD28" w14:textId="77777777" w:rsidR="005D33F6" w:rsidRDefault="0031392E">
      <w:pPr>
        <w:pStyle w:val="3"/>
      </w:pPr>
      <w:bookmarkStart w:id="4" w:name="Xe36fcd1ce06cc4c6f40aef00668dd785536d317"/>
      <w:bookmarkEnd w:id="3"/>
      <w:r>
        <w:t>B. Multitype longitudinal EHR representation</w:t>
      </w:r>
    </w:p>
    <w:p w14:paraId="44AC263E" w14:textId="77777777" w:rsidR="005D33F6" w:rsidRDefault="0031392E">
      <w:pPr>
        <w:pStyle w:val="4"/>
      </w:pPr>
      <w:bookmarkStart w:id="5" w:name="multitype-clinical-events"/>
      <w:r>
        <w:t>1) Multitype clinical events</w:t>
      </w:r>
      <w:r w:rsidR="007F020C">
        <w:t xml:space="preserve"> and patient context</w:t>
      </w:r>
    </w:p>
    <w:p w14:paraId="1B43E2C8" w14:textId="3536CB95" w:rsidR="00BC132A" w:rsidRDefault="00393066">
      <w:r>
        <w:rPr>
          <w:rFonts w:hint="eastAsia"/>
          <w:lang w:eastAsia="zh-CN"/>
        </w:rPr>
        <w:t xml:space="preserve">MedTrajectory </w:t>
      </w:r>
      <w:r w:rsidR="00406FE7">
        <w:rPr>
          <w:rFonts w:hint="eastAsia"/>
          <w:lang w:eastAsia="zh-CN"/>
        </w:rPr>
        <w:t xml:space="preserve">represent </w:t>
      </w:r>
      <w:r>
        <w:rPr>
          <w:rFonts w:hint="eastAsia"/>
          <w:lang w:eastAsia="zh-CN"/>
        </w:rPr>
        <w:t>diagnoses, procedures, cancer registrations and mortality records. ICD-based events</w:t>
      </w:r>
      <w:r w:rsidR="00406FE7">
        <w:rPr>
          <w:rFonts w:hint="eastAsia"/>
          <w:lang w:eastAsia="zh-CN"/>
        </w:rPr>
        <w:t xml:space="preserve"> as diagnoses, cancer registrations and mortality records</w:t>
      </w:r>
      <w:r>
        <w:rPr>
          <w:rFonts w:hint="eastAsia"/>
          <w:lang w:eastAsia="zh-CN"/>
        </w:rPr>
        <w:t xml:space="preserve"> use three</w:t>
      </w:r>
      <w:r w:rsidR="00406FE7">
        <w:rPr>
          <w:rFonts w:hint="eastAsia"/>
          <w:lang w:eastAsia="zh-CN"/>
        </w:rPr>
        <w:t>-</w:t>
      </w:r>
      <w:r>
        <w:rPr>
          <w:rFonts w:hint="eastAsia"/>
          <w:lang w:eastAsia="zh-CN"/>
        </w:rPr>
        <w:t xml:space="preserve">character ICD-10 categories, </w:t>
      </w:r>
      <w:r w:rsidR="00406FE7">
        <w:rPr>
          <w:rFonts w:hint="eastAsia"/>
          <w:lang w:eastAsia="zh-CN"/>
        </w:rPr>
        <w:t xml:space="preserve">while </w:t>
      </w:r>
      <w:r>
        <w:rPr>
          <w:rFonts w:hint="eastAsia"/>
          <w:lang w:eastAsia="zh-CN"/>
        </w:rPr>
        <w:t xml:space="preserve">procedures use OPCS-4, </w:t>
      </w:r>
      <w:r w:rsidR="00406FE7">
        <w:rPr>
          <w:rFonts w:hint="eastAsia"/>
          <w:lang w:eastAsia="zh-CN"/>
        </w:rPr>
        <w:t>then</w:t>
      </w:r>
      <w:r>
        <w:rPr>
          <w:rFonts w:hint="eastAsia"/>
          <w:lang w:eastAsia="zh-CN"/>
        </w:rPr>
        <w:t xml:space="preserve"> the dynamic vocabulary contains 8,424 entries, comprising 8,422 clinical event types and two special tokens for padding and no event. </w:t>
      </w:r>
      <w:r w:rsidR="00B40ED8">
        <w:rPr>
          <w:rFonts w:hint="eastAsia"/>
          <w:lang w:eastAsia="zh-CN"/>
        </w:rPr>
        <w:t>Additionally, c</w:t>
      </w:r>
      <w:r>
        <w:rPr>
          <w:rFonts w:hint="eastAsia"/>
          <w:lang w:eastAsia="zh-CN"/>
        </w:rPr>
        <w:t>hronological ordering, initialization and dataset</w:t>
      </w:r>
      <w:r w:rsidR="00B40ED8">
        <w:rPr>
          <w:rFonts w:hint="eastAsia"/>
          <w:lang w:eastAsia="zh-CN"/>
        </w:rPr>
        <w:t xml:space="preserve"> </w:t>
      </w:r>
      <w:r>
        <w:rPr>
          <w:rFonts w:hint="eastAsia"/>
          <w:lang w:eastAsia="zh-CN"/>
        </w:rPr>
        <w:t>specific MIMIC representations are detailed in Supplementary S1 and S3.</w:t>
      </w:r>
    </w:p>
    <w:p w14:paraId="165FC65C" w14:textId="0A9A13D1" w:rsidR="00BC132A" w:rsidRDefault="004E66C2">
      <w:r>
        <w:rPr>
          <w:rFonts w:hint="eastAsia"/>
          <w:lang w:eastAsia="zh-CN"/>
        </w:rPr>
        <w:t>Moreover, four prefix tokens encode sex, BMI, smoking and alcohol, masked until recruitment age. They cannot reveal these covariates to earlier events. MIMIC uses sex; other context slots are unavailable.</w:t>
      </w:r>
    </w:p>
    <w:p w14:paraId="734977A2" w14:textId="77777777" w:rsidR="005D33F6" w:rsidRDefault="00964782">
      <w:pPr>
        <w:pStyle w:val="4"/>
      </w:pPr>
      <w:bookmarkStart w:id="6" w:name="X08a031cc7242940f3a0e200f0ccfc6bf57873af"/>
      <w:bookmarkEnd w:id="5"/>
      <w:r>
        <w:lastRenderedPageBreak/>
        <w:t>2</w:t>
      </w:r>
      <w:r w:rsidR="0031392E">
        <w:t>) Semantic initialization of clinical codes</w:t>
      </w:r>
    </w:p>
    <w:p w14:paraId="647F753D" w14:textId="184345DD" w:rsidR="00BC132A" w:rsidRDefault="00D105CA">
      <w:pPr>
        <w:rPr>
          <w:lang w:eastAsia="zh-CN"/>
        </w:rPr>
      </w:pPr>
      <w:r w:rsidRPr="00D105CA">
        <w:rPr>
          <w:lang w:eastAsia="zh-CN"/>
        </w:rPr>
        <w:t>ICD-10-based events are initialized from structured English reference text</w:t>
      </w:r>
      <w:r>
        <w:rPr>
          <w:rFonts w:hint="eastAsia"/>
          <w:lang w:eastAsia="zh-CN"/>
        </w:rPr>
        <w:t xml:space="preserve"> with Qwen text-embedding-v4 [19]</w:t>
      </w:r>
      <w:r w:rsidR="000A28BE">
        <w:rPr>
          <w:rFonts w:hint="eastAsia"/>
          <w:lang w:eastAsia="zh-CN"/>
        </w:rPr>
        <w:t>,</w:t>
      </w:r>
      <w:r>
        <w:rPr>
          <w:rFonts w:hint="eastAsia"/>
          <w:lang w:eastAsia="zh-CN"/>
        </w:rPr>
        <w:t xml:space="preserve"> and </w:t>
      </w:r>
      <w:r w:rsidR="000A28BE">
        <w:rPr>
          <w:rFonts w:hint="eastAsia"/>
          <w:lang w:eastAsia="zh-CN"/>
        </w:rPr>
        <w:t xml:space="preserve">then </w:t>
      </w:r>
      <w:r>
        <w:rPr>
          <w:rFonts w:hint="eastAsia"/>
          <w:lang w:eastAsia="zh-CN"/>
        </w:rPr>
        <w:t>projected from 1,024 to 64 dimensions by PCA. Procedures and unmatched entries start at zero</w:t>
      </w:r>
      <w:r w:rsidR="000A28BE">
        <w:rPr>
          <w:rFonts w:hint="eastAsia"/>
          <w:lang w:eastAsia="zh-CN"/>
        </w:rPr>
        <w:t xml:space="preserve"> vectors, and</w:t>
      </w:r>
      <w:r>
        <w:rPr>
          <w:rFonts w:hint="eastAsia"/>
          <w:lang w:eastAsia="zh-CN"/>
        </w:rPr>
        <w:t xml:space="preserve"> all </w:t>
      </w:r>
      <w:r w:rsidR="000A28BE">
        <w:rPr>
          <w:rFonts w:hint="eastAsia"/>
          <w:lang w:eastAsia="zh-CN"/>
        </w:rPr>
        <w:t xml:space="preserve">event </w:t>
      </w:r>
      <w:r>
        <w:rPr>
          <w:rFonts w:hint="eastAsia"/>
          <w:lang w:eastAsia="zh-CN"/>
        </w:rPr>
        <w:t>embeddings remain trainable.</w:t>
      </w:r>
      <w:r w:rsidR="000A28BE">
        <w:rPr>
          <w:rFonts w:hint="eastAsia"/>
          <w:lang w:eastAsia="zh-CN"/>
        </w:rPr>
        <w:t xml:space="preserve"> Additionally,</w:t>
      </w:r>
      <w:r>
        <w:rPr>
          <w:rFonts w:hint="eastAsia"/>
          <w:lang w:eastAsia="zh-CN"/>
        </w:rPr>
        <w:t xml:space="preserve"> </w:t>
      </w:r>
      <w:r w:rsidR="000A28BE">
        <w:rPr>
          <w:rFonts w:hint="eastAsia"/>
          <w:lang w:eastAsia="zh-CN"/>
        </w:rPr>
        <w:t>h</w:t>
      </w:r>
      <w:r>
        <w:rPr>
          <w:rFonts w:hint="eastAsia"/>
          <w:lang w:eastAsia="zh-CN"/>
        </w:rPr>
        <w:t>istorical MIMIC dictionary/PCA provenance is inherited</w:t>
      </w:r>
      <w:r w:rsidR="000A28BE">
        <w:rPr>
          <w:rFonts w:hint="eastAsia"/>
          <w:lang w:eastAsia="zh-CN"/>
        </w:rPr>
        <w:t>.</w:t>
      </w:r>
    </w:p>
    <w:tbl>
      <w:tblPr>
        <w:tblStyle w:val="af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tblGrid>
      <w:tr w:rsidR="009C3F3A" w14:paraId="7139A65C" w14:textId="77777777" w:rsidTr="00FA6B91">
        <w:tc>
          <w:tcPr>
            <w:tcW w:w="5030" w:type="dxa"/>
          </w:tcPr>
          <w:p w14:paraId="374F1DDE" w14:textId="77777777" w:rsidR="009C3F3A" w:rsidRDefault="009C3F3A" w:rsidP="00FA6B91">
            <w:pPr>
              <w:keepNext/>
              <w:rPr>
                <w:lang w:eastAsia="zh-CN"/>
              </w:rPr>
            </w:pPr>
            <w:r>
              <w:rPr>
                <w:noProof/>
              </w:rPr>
              <w:drawing>
                <wp:inline distT="0" distB="0" distL="0" distR="0" wp14:anchorId="4DB855DF" wp14:editId="33C3221B">
                  <wp:extent cx="3054644" cy="4513479"/>
                  <wp:effectExtent l="0" t="0" r="0" b="1905"/>
                  <wp:docPr id="106511844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18446" name="图形 1065118446"/>
                          <pic:cNvPicPr/>
                        </pic:nvPicPr>
                        <pic:blipFill>
                          <a:blip r:embed="rId10">
                            <a:extLst>
                              <a:ext uri="{96DAC541-7B7A-43D3-8B79-37D633B846F1}">
                                <asvg:svgBlip xmlns:asvg="http://schemas.microsoft.com/office/drawing/2016/SVG/main" r:embed="rId11"/>
                              </a:ext>
                            </a:extLst>
                          </a:blip>
                          <a:stretch>
                            <a:fillRect/>
                          </a:stretch>
                        </pic:blipFill>
                        <pic:spPr>
                          <a:xfrm>
                            <a:off x="0" y="0"/>
                            <a:ext cx="3057762" cy="4518086"/>
                          </a:xfrm>
                          <a:prstGeom prst="rect">
                            <a:avLst/>
                          </a:prstGeom>
                        </pic:spPr>
                      </pic:pic>
                    </a:graphicData>
                  </a:graphic>
                </wp:inline>
              </w:drawing>
            </w:r>
          </w:p>
        </w:tc>
      </w:tr>
      <w:tr w:rsidR="009C3F3A" w14:paraId="3DE322BC" w14:textId="77777777" w:rsidTr="00FA6B91">
        <w:tc>
          <w:tcPr>
            <w:tcW w:w="5030" w:type="dxa"/>
          </w:tcPr>
          <w:p w14:paraId="4BB01A06" w14:textId="77777777" w:rsidR="009C3F3A" w:rsidRPr="009C3F3A" w:rsidRDefault="009C3F3A" w:rsidP="00FA6B91">
            <w:pPr>
              <w:pStyle w:val="afa"/>
              <w:rPr>
                <w:rFonts w:ascii="Times New Roman" w:hAnsi="Times New Roman" w:cs="Times New Roman"/>
              </w:rPr>
            </w:pPr>
            <w:r w:rsidRPr="0082498C">
              <w:rPr>
                <w:rFonts w:ascii="Times New Roman" w:hAnsi="Times New Roman" w:cs="Times New Roman"/>
                <w:b/>
                <w:bCs/>
              </w:rPr>
              <w:t xml:space="preserve">Figure </w:t>
            </w:r>
            <w:r w:rsidRPr="0082498C">
              <w:rPr>
                <w:rFonts w:ascii="Times New Roman" w:hAnsi="Times New Roman" w:cs="Times New Roman"/>
                <w:b/>
                <w:bCs/>
              </w:rPr>
              <w:fldChar w:fldCharType="begin"/>
            </w:r>
            <w:r w:rsidRPr="0082498C">
              <w:rPr>
                <w:rFonts w:ascii="Times New Roman" w:hAnsi="Times New Roman" w:cs="Times New Roman"/>
                <w:b/>
                <w:bCs/>
              </w:rPr>
              <w:instrText xml:space="preserve"> SEQ Figure \* ARABIC </w:instrText>
            </w:r>
            <w:r w:rsidRPr="0082498C">
              <w:rPr>
                <w:rFonts w:ascii="Times New Roman" w:hAnsi="Times New Roman" w:cs="Times New Roman"/>
                <w:b/>
                <w:bCs/>
              </w:rPr>
              <w:fldChar w:fldCharType="separate"/>
            </w:r>
            <w:r w:rsidRPr="0082498C">
              <w:rPr>
                <w:rFonts w:ascii="Times New Roman" w:hAnsi="Times New Roman" w:cs="Times New Roman"/>
                <w:b/>
                <w:bCs/>
                <w:noProof/>
              </w:rPr>
              <w:t>1</w:t>
            </w:r>
            <w:r w:rsidRPr="0082498C">
              <w:rPr>
                <w:rFonts w:ascii="Times New Roman" w:hAnsi="Times New Roman" w:cs="Times New Roman"/>
                <w:b/>
                <w:bCs/>
              </w:rPr>
              <w:fldChar w:fldCharType="end"/>
            </w:r>
            <w:r w:rsidRPr="009C3F3A">
              <w:rPr>
                <w:rFonts w:ascii="Times New Roman" w:hAnsi="Times New Roman" w:cs="Times New Roman"/>
                <w:lang w:eastAsia="zh-CN"/>
              </w:rPr>
              <w:t xml:space="preserve"> Multitype EHR data flow and token initialization. ICD-based events use semantic initialization; procedure embeddings start from zero and remain trainable. Recruitment age gates the four static context tokens.</w:t>
            </w:r>
          </w:p>
        </w:tc>
      </w:tr>
    </w:tbl>
    <w:p w14:paraId="3F28CBA5" w14:textId="77777777" w:rsidR="009C3F3A" w:rsidRDefault="009C3F3A">
      <w:pPr>
        <w:rPr>
          <w:lang w:eastAsia="zh-CN"/>
        </w:rPr>
      </w:pPr>
    </w:p>
    <w:p w14:paraId="08C19AE0" w14:textId="77777777" w:rsidR="004F3AA3" w:rsidRDefault="0031392E" w:rsidP="004F3AA3">
      <w:pPr>
        <w:pStyle w:val="3"/>
      </w:pPr>
      <w:bookmarkStart w:id="7" w:name="c.-medtrajectory-architecture"/>
      <w:bookmarkEnd w:id="4"/>
      <w:bookmarkEnd w:id="6"/>
      <w:r>
        <w:t>C. MedTrajectory architecture</w:t>
      </w:r>
    </w:p>
    <w:p w14:paraId="065F4491" w14:textId="77777777" w:rsidR="00494A95" w:rsidRPr="00494A95" w:rsidRDefault="00494A95" w:rsidP="00494A95">
      <w:pPr>
        <w:pStyle w:val="4"/>
        <w:numPr>
          <w:ilvl w:val="0"/>
          <w:numId w:val="0"/>
        </w:numPr>
      </w:pPr>
      <w:r>
        <w:t>1) Autoregressive backbone</w:t>
      </w:r>
    </w:p>
    <w:p w14:paraId="6AD79A4F" w14:textId="777E010C" w:rsidR="009A755F" w:rsidRDefault="009A755F">
      <w:pPr>
        <w:rPr>
          <w:lang w:eastAsia="zh-CN"/>
        </w:rPr>
      </w:pPr>
      <w:r w:rsidRPr="009A755F">
        <w:t>MedTrajectory is built on a six-layer, decoder-only causal Transformer [20] with eight attention heads and a hidden dimension of 64, amounting to approximately 1.39M trainable parameters. Causal masking confines the representation of each event to preceding clinical events and to the patient context that is temporally available at that position, which is what allows trajectory generation to proceed autoregressively. Each clinical event enters the model as its event embedding combined with a continuous representation of its absolute age, which we describe in the following subsection</w:t>
      </w:r>
      <w:r>
        <w:rPr>
          <w:rFonts w:hint="eastAsia"/>
          <w:lang w:eastAsia="zh-CN"/>
        </w:rPr>
        <w:t>.</w:t>
      </w:r>
    </w:p>
    <w:p w14:paraId="25114208" w14:textId="77777777" w:rsidR="005D33F6" w:rsidRDefault="0031392E" w:rsidP="002E04C7">
      <w:pPr>
        <w:pStyle w:val="4"/>
        <w:numPr>
          <w:ilvl w:val="0"/>
          <w:numId w:val="0"/>
        </w:numPr>
      </w:pPr>
      <w:bookmarkStart w:id="8" w:name="absolute-age-representation"/>
      <w:r>
        <w:t>2) Absolute-age representation</w:t>
      </w:r>
    </w:p>
    <w:p w14:paraId="221EF2F7" w14:textId="77777777" w:rsidR="005D33F6" w:rsidRPr="004038E1" w:rsidRDefault="003E4FEA">
      <w:pPr>
        <w:rPr>
          <w:lang w:eastAsia="zh-CN"/>
        </w:rPr>
      </w:pPr>
      <w:r>
        <w:rPr>
          <w:rFonts w:hint="eastAsia"/>
          <w:lang w:eastAsia="zh-CN"/>
        </w:rPr>
        <w:t>Let</w:t>
      </w:r>
      <w:r w:rsidR="007E0F11">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i</m:t>
            </m:r>
          </m:sub>
        </m:sSub>
      </m:oMath>
      <w:r w:rsidR="007E0F11">
        <w:t xml:space="preserve"> </w:t>
      </w:r>
      <w:r>
        <w:rPr>
          <w:rFonts w:hint="eastAsia"/>
          <w:lang w:eastAsia="zh-CN"/>
        </w:rPr>
        <w:t xml:space="preserve">denote the age when event </w:t>
      </w:r>
      <m:oMath>
        <m:r>
          <w:rPr>
            <w:rFonts w:ascii="Cambria Math" w:hAnsi="Cambria Math"/>
          </w:rPr>
          <m:t>i</m:t>
        </m:r>
      </m:oMath>
      <w:r>
        <w:rPr>
          <w:rFonts w:hint="eastAsia"/>
          <w:lang w:eastAsia="zh-CN"/>
        </w:rPr>
        <w:t xml:space="preserve"> occurs, </w:t>
      </w:r>
      <w:r w:rsidR="007E0F11">
        <w:t>measured in days since birth</w:t>
      </w:r>
      <w:r>
        <w:rPr>
          <w:rFonts w:hint="eastAsia"/>
          <w:lang w:eastAsia="zh-CN"/>
        </w:rPr>
        <w:t>.</w:t>
      </w:r>
      <w:r w:rsidR="007E0F11">
        <w:t xml:space="preserve"> </w:t>
      </w:r>
      <w:r>
        <w:rPr>
          <w:rFonts w:hint="eastAsia"/>
          <w:lang w:eastAsia="zh-CN"/>
        </w:rPr>
        <w:t>W</w:t>
      </w:r>
      <w:r w:rsidR="007E0F11">
        <w:t>e first convert</w:t>
      </w:r>
      <w:r w:rsidR="004038E1">
        <w:rPr>
          <w:rFonts w:hint="eastAsia"/>
          <w:lang w:eastAsia="zh-CN"/>
        </w:rPr>
        <w:t xml:space="preserve"> it</w:t>
      </w:r>
      <w:r w:rsidR="007E0F11">
        <w:t xml:space="preserve"> to years</w:t>
      </w:r>
      <w:r w:rsidR="004038E1">
        <w:rPr>
          <w:rFonts w:hint="eastAsia"/>
          <w:lang w:eastAsia="zh-CN"/>
        </w:rPr>
        <w:t xml:space="preserve">, </w:t>
      </w:r>
      <m:oMath>
        <m:sSub>
          <m:sSubPr>
            <m:ctrlPr>
              <w:rPr>
                <w:rFonts w:ascii="Cambria Math" w:hAnsi="Cambria Math"/>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/365.25</m:t>
        </m:r>
      </m:oMath>
      <w:r w:rsidR="004038E1">
        <w:rPr>
          <w:rFonts w:hint="eastAsia"/>
          <w:lang w:eastAsia="zh-CN"/>
        </w:rPr>
        <w:t>,</w:t>
      </w:r>
      <w:r w:rsidR="007E0F11">
        <w:t xml:space="preserve"> and</w:t>
      </w:r>
      <w:r w:rsidR="004038E1">
        <w:rPr>
          <w:rFonts w:hint="eastAsia"/>
          <w:lang w:eastAsia="zh-CN"/>
        </w:rPr>
        <w:t xml:space="preserve"> then</w:t>
      </w:r>
      <w:r w:rsidR="007E0F11">
        <w:t xml:space="preserve"> construct sinusoidal features</w:t>
      </w:r>
      <w:r w:rsidR="004038E1">
        <w:rPr>
          <w:rFonts w:hint="eastAsia"/>
          <w:lang w:eastAsia="zh-CN"/>
        </w:rPr>
        <w:t xml:space="preserve"> over a geometric sequence of frequencies,</w:t>
      </w:r>
    </w:p>
    <w:p w14:paraId="185BC134" w14:textId="77777777" w:rsidR="005D33F6" w:rsidRPr="004038E1" w:rsidRDefault="00000000">
      <w:pPr>
        <w:rPr>
          <w:lang w:eastAsia="zh-CN"/>
        </w:rPr>
      </w:pPr>
      <m:oMathPara>
        <m:oMath>
          <m:sSub>
            <m:sSubPr>
              <m:ctrlPr>
                <w:rPr>
                  <w:rFonts w:ascii="Cambria Math" w:hAnsi="Cambria Math"/>
                </w:rPr>
              </m:ctrlPr>
            </m:sSubPr>
            <m:e>
              <m:r>
                <w:rPr>
                  <w:rFonts w:ascii="Cambria Math" w:hAnsi="Cambria Math"/>
                </w:rPr>
                <m:t>ω</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10000</m:t>
              </m:r>
            </m:e>
            <m:sup>
              <m:r>
                <w:rPr>
                  <w:rFonts w:ascii="Cambria Math" w:hAnsi="Cambria Math"/>
                </w:rPr>
                <m:t>-2k/d</m:t>
              </m:r>
            </m:sup>
          </m:sSup>
          <m:r>
            <w:rPr>
              <w:rFonts w:ascii="Cambria Math" w:hAnsi="Cambria Math"/>
            </w:rPr>
            <m:t>,  k=0,…,d/2-1</m:t>
          </m:r>
          <m:r>
            <w:rPr>
              <w:rFonts w:ascii="Cambria Math" w:hAnsi="Cambria Math"/>
              <w:lang w:eastAsia="zh-CN"/>
            </w:rPr>
            <m:t>,</m:t>
          </m:r>
        </m:oMath>
      </m:oMathPara>
    </w:p>
    <w:p w14:paraId="130FA8B5" w14:textId="77777777" w:rsidR="004038E1" w:rsidRPr="00C32099" w:rsidRDefault="004038E1">
      <w:pPr>
        <w:rPr>
          <w:lang w:eastAsia="zh-CN"/>
        </w:rPr>
      </w:pPr>
      <w:r>
        <w:rPr>
          <w:rFonts w:hint="eastAsia"/>
          <w:lang w:eastAsia="zh-CN"/>
        </w:rPr>
        <w:t>so that absolute age enters the model at multiple temporal resolutions:</w:t>
      </w:r>
    </w:p>
    <w:p w14:paraId="5AC7DFCD" w14:textId="77777777" w:rsidR="00C32099" w:rsidRDefault="00000000" w:rsidP="00C32099">
      <m:oMathPara>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=[sin(</m:t>
          </m:r>
          <m:sSub>
            <m:sSubPr>
              <m:ctrlPr>
                <w:rPr>
                  <w:rFonts w:ascii="Cambria Math" w:hAnsi="Cambria Math"/>
                </w:rPr>
              </m:ctrlPr>
            </m:sSubPr>
            <m:e>
              <m:r>
                <w:rPr>
                  <w:rFonts w:ascii="Cambria Math" w:hAnsi="Cambria Math"/>
                </w:rPr>
                <m:t>τ</m:t>
              </m:r>
            </m:e>
            <m:sub>
              <m:r>
                <w:rPr>
                  <w:rFonts w:ascii="Cambria Math" w:hAnsi="Cambria Math"/>
                </w:rPr>
                <m:t>i</m:t>
              </m:r>
            </m:sub>
          </m:sSub>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 cos(</m:t>
          </m:r>
          <m:sSub>
            <m:sSubPr>
              <m:ctrlPr>
                <w:rPr>
                  <w:rFonts w:ascii="Cambria Math" w:hAnsi="Cambria Math"/>
                </w:rPr>
              </m:ctrlPr>
            </m:sSubPr>
            <m:e>
              <m:r>
                <w:rPr>
                  <w:rFonts w:ascii="Cambria Math" w:hAnsi="Cambria Math"/>
                </w:rPr>
                <m:t>τ</m:t>
              </m:r>
            </m:e>
            <m:sub>
              <m:r>
                <w:rPr>
                  <w:rFonts w:ascii="Cambria Math" w:hAnsi="Cambria Math"/>
                </w:rPr>
                <m:t>i</m:t>
              </m:r>
            </m:sub>
          </m:sSub>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=E(</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A</m:t>
              </m:r>
            </m:sub>
          </m:sSub>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oMath>
      </m:oMathPara>
    </w:p>
    <w:p w14:paraId="40E19038" w14:textId="77777777" w:rsidR="00C32099" w:rsidRPr="008E1EC1" w:rsidRDefault="00C32099" w:rsidP="00C32099">
      <w:r>
        <w:rPr>
          <w:lang w:eastAsia="zh-CN"/>
        </w:rPr>
        <w:t xml:space="preserve">Here </w:t>
      </w:r>
      <m:oMath>
        <m:r>
          <w:rPr>
            <w:rFonts w:ascii="Cambria Math" w:hAnsi="Cambria Math" w:cs="Cambria Math"/>
          </w:rPr>
          <m:t>d=64</m:t>
        </m:r>
      </m:oMath>
      <w:r w:rsidR="00366AA0">
        <w:rPr>
          <w:rFonts w:hint="eastAsia"/>
          <w:lang w:eastAsia="zh-CN"/>
        </w:rPr>
        <w:t xml:space="preserve"> is the hidden dimension</w:t>
      </w:r>
      <w:r>
        <w:rPr>
          <w:lang w:eastAsia="zh-CN"/>
        </w:rPr>
        <w:t>,</w:t>
      </w:r>
      <w:r w:rsidR="002A64D8">
        <w:rPr>
          <w:rFonts w:hint="eastAsia"/>
          <w:lang w:eastAsia="zh-CN"/>
        </w:rPr>
        <w:t xml:space="preserve"> so that</w:t>
      </w:r>
      <w:r>
        <w:rPr>
          <w:lang w:eastAsia="zh-CN"/>
        </w:rP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oMath>
      <w:r w:rsidR="002A64D8">
        <w:rPr>
          <w:rFonts w:hint="eastAsia"/>
          <w:lang w:eastAsia="zh-CN"/>
        </w:rPr>
        <w:t xml:space="preserve"> and </w:t>
      </w:r>
      <m:oMath>
        <m:sSub>
          <m:sSubPr>
            <m:ctrlPr>
              <w:rPr>
                <w:rFonts w:ascii="Cambria Math" w:hAnsi="Cambria Math"/>
              </w:rPr>
            </m:ctrlPr>
          </m:sSubPr>
          <m:e>
            <m:r>
              <w:rPr>
                <w:rFonts w:ascii="Cambria Math" w:hAnsi="Cambria Math" w:cs="Cambria Math"/>
              </w:rPr>
              <m:t>W</m:t>
            </m:r>
          </m:e>
          <m:sub>
            <m:r>
              <w:rPr>
                <w:rFonts w:ascii="Cambria Math" w:hAnsi="Cambria Math" w:cs="Cambria Math"/>
              </w:rPr>
              <m:t>A</m:t>
            </m:r>
          </m:sub>
        </m:sSub>
      </m:oMath>
      <w:r>
        <w:rPr>
          <w:lang w:eastAsia="zh-CN"/>
        </w:rPr>
        <w:t xml:space="preserve"> is a trainable </w:t>
      </w:r>
      <m:oMath>
        <m:r>
          <w:rPr>
            <w:rFonts w:ascii="Cambria Math" w:hAnsi="Cambria Math" w:cs="Cambria Math"/>
          </w:rPr>
          <m:t>64×64</m:t>
        </m:r>
      </m:oMath>
      <w:r>
        <w:rPr>
          <w:lang w:eastAsia="zh-CN"/>
        </w:rPr>
        <w:t xml:space="preserve"> matrix without bias, and </w:t>
      </w:r>
      <m:oMath>
        <m:r>
          <w:rPr>
            <w:rFonts w:ascii="Cambria Math" w:hAnsi="Cambria Math" w:cs="Cambria Math"/>
          </w:rPr>
          <m:t>E(</m:t>
        </m:r>
        <m:sSub>
          <m:sSubPr>
            <m:ctrlPr>
              <w:rPr>
                <w:rFonts w:ascii="Cambria Math" w:hAnsi="Cambria Math"/>
              </w:rPr>
            </m:ctrlPr>
          </m:sSubPr>
          <m:e>
            <m:r>
              <w:rPr>
                <w:rFonts w:ascii="Cambria Math" w:hAnsi="Cambria Math" w:cs="Cambria Math"/>
              </w:rPr>
              <m:t>e</m:t>
            </m:r>
          </m:e>
          <m:sub>
            <m:r>
              <w:rPr>
                <w:rFonts w:ascii="Cambria Math" w:hAnsi="Cambria Math" w:cs="Cambria Math"/>
              </w:rPr>
              <m:t>i</m:t>
            </m:r>
          </m:sub>
        </m:sSub>
        <m:r>
          <w:rPr>
            <w:rFonts w:ascii="Cambria Math" w:hAnsi="Cambria Math" w:cs="Cambria Math"/>
          </w:rPr>
          <m:t>)</m:t>
        </m:r>
      </m:oMath>
      <w:r>
        <w:rPr>
          <w:lang w:eastAsia="zh-CN"/>
        </w:rPr>
        <w:t xml:space="preserve"> is the event</w:t>
      </w:r>
      <w:r w:rsidR="008B5337">
        <w:rPr>
          <w:rFonts w:hint="eastAsia"/>
          <w:lang w:eastAsia="zh-CN"/>
        </w:rPr>
        <w:t xml:space="preserve"> </w:t>
      </w:r>
      <w:r>
        <w:rPr>
          <w:lang w:eastAsia="zh-CN"/>
        </w:rPr>
        <w:t>token embedding. Static context uses the time</w:t>
      </w:r>
      <w:r w:rsidR="008B5337">
        <w:rPr>
          <w:rFonts w:hint="eastAsia"/>
          <w:lang w:eastAsia="zh-CN"/>
        </w:rPr>
        <w:t xml:space="preserve"> </w:t>
      </w:r>
      <w:r>
        <w:rPr>
          <w:lang w:eastAsia="zh-CN"/>
        </w:rPr>
        <w:t>gated prefix described above.</w:t>
      </w:r>
    </w:p>
    <w:tbl>
      <w:tblPr>
        <w:tblStyle w:val="af9"/>
        <w:tblW w:w="48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tblGrid>
      <w:tr w:rsidR="008E1EC1" w14:paraId="7E2AB81E" w14:textId="77777777" w:rsidTr="00A62A77">
        <w:trPr>
          <w:cantSplit/>
        </w:trPr>
        <w:tc>
          <w:tcPr>
            <w:tcW w:w="4824" w:type="dxa"/>
          </w:tcPr>
          <w:p w14:paraId="28667888" w14:textId="5D4C629D" w:rsidR="008E1EC1" w:rsidRDefault="001D1898" w:rsidP="00A62A77">
            <w:pPr>
              <w:keepNext/>
              <w:rPr>
                <w:lang w:eastAsia="zh-CN"/>
              </w:rPr>
            </w:pPr>
            <w:r>
              <w:rPr>
                <w:noProof/>
                <w:lang w:eastAsia="zh-CN"/>
              </w:rPr>
              <w:drawing>
                <wp:inline distT="0" distB="0" distL="0" distR="0" wp14:anchorId="567009EF" wp14:editId="2156D964">
                  <wp:extent cx="2954622" cy="1968575"/>
                  <wp:effectExtent l="0" t="0" r="0" b="0"/>
                  <wp:docPr id="980972084"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72084" name="图形 980972084"/>
                          <pic:cNvPicPr/>
                        </pic:nvPicPr>
                        <pic:blipFill>
                          <a:blip r:embed="rId12">
                            <a:extLst>
                              <a:ext uri="{96DAC541-7B7A-43D3-8B79-37D633B846F1}">
                                <asvg:svgBlip xmlns:asvg="http://schemas.microsoft.com/office/drawing/2016/SVG/main" r:embed="rId13"/>
                              </a:ext>
                            </a:extLst>
                          </a:blip>
                          <a:stretch>
                            <a:fillRect/>
                          </a:stretch>
                        </pic:blipFill>
                        <pic:spPr>
                          <a:xfrm>
                            <a:off x="0" y="0"/>
                            <a:ext cx="2976922" cy="1983433"/>
                          </a:xfrm>
                          <a:prstGeom prst="rect">
                            <a:avLst/>
                          </a:prstGeom>
                        </pic:spPr>
                      </pic:pic>
                    </a:graphicData>
                  </a:graphic>
                </wp:inline>
              </w:drawing>
            </w:r>
          </w:p>
        </w:tc>
      </w:tr>
      <w:tr w:rsidR="008E1EC1" w14:paraId="6AD92FEB" w14:textId="77777777" w:rsidTr="00A62A77">
        <w:trPr>
          <w:cantSplit/>
        </w:trPr>
        <w:tc>
          <w:tcPr>
            <w:tcW w:w="4824" w:type="dxa"/>
          </w:tcPr>
          <w:p w14:paraId="47E65860" w14:textId="02E48882" w:rsidR="008E1EC1" w:rsidRDefault="008E1EC1" w:rsidP="00A62A77">
            <w:pPr>
              <w:rPr>
                <w:lang w:eastAsia="zh-CN"/>
              </w:rPr>
            </w:pPr>
            <w:r w:rsidRPr="0082498C">
              <w:rPr>
                <w:b/>
                <w:bCs/>
                <w:sz w:val="18"/>
              </w:rPr>
              <w:t xml:space="preserve">Figure </w:t>
            </w:r>
            <w:r w:rsidR="009C3F3A" w:rsidRPr="0082498C">
              <w:rPr>
                <w:rFonts w:hint="eastAsia"/>
                <w:b/>
                <w:bCs/>
                <w:sz w:val="18"/>
                <w:lang w:eastAsia="zh-CN"/>
              </w:rPr>
              <w:t>2</w:t>
            </w:r>
            <w:r w:rsidRPr="0082498C">
              <w:rPr>
                <w:b/>
                <w:bCs/>
                <w:sz w:val="18"/>
              </w:rPr>
              <w:t>.</w:t>
            </w:r>
            <w:r>
              <w:rPr>
                <w:sz w:val="18"/>
              </w:rPr>
              <w:t xml:space="preserve"> MedTrajectory architecture and training stages. (a) Generative pretraining with joint event/time logits and separate downstream risk posttraining, which updates the backbone and horizon-query head. (b) Continuous-age rotation of Q/K only, masked logit replacement for dynamic-clinical-event pairs, and unrotated V.</w:t>
            </w:r>
          </w:p>
        </w:tc>
      </w:tr>
    </w:tbl>
    <w:p w14:paraId="29102A6E" w14:textId="77777777" w:rsidR="005D33F6" w:rsidRDefault="0031392E" w:rsidP="008E1EC1">
      <w:pPr>
        <w:pStyle w:val="4"/>
        <w:numPr>
          <w:ilvl w:val="0"/>
          <w:numId w:val="0"/>
        </w:numPr>
      </w:pPr>
      <w:bookmarkStart w:id="9" w:name="continuous-relative-time-attention"/>
      <w:bookmarkEnd w:id="8"/>
      <w:r>
        <w:t>3) Continuous relative-time attention</w:t>
      </w:r>
    </w:p>
    <w:p w14:paraId="6C3892B4" w14:textId="77777777" w:rsidR="005D33F6" w:rsidRDefault="0031392E">
      <w:pPr>
        <w:rPr>
          <w:lang w:eastAsia="zh-CN"/>
        </w:rPr>
      </w:pPr>
      <w:r>
        <w:t xml:space="preserve">To </w:t>
      </w:r>
      <w:r w:rsidR="00E73941">
        <w:rPr>
          <w:rFonts w:hint="eastAsia"/>
          <w:lang w:eastAsia="zh-CN"/>
        </w:rPr>
        <w:t>capture</w:t>
      </w:r>
      <w:r>
        <w:t xml:space="preserve"> the irregular temporal relationships between clinical events, MedTrajectory augments the absolute</w:t>
      </w:r>
      <w:r w:rsidR="00036210">
        <w:rPr>
          <w:rFonts w:hint="eastAsia"/>
          <w:lang w:eastAsia="zh-CN"/>
        </w:rPr>
        <w:t xml:space="preserve"> </w:t>
      </w:r>
      <w:r>
        <w:t xml:space="preserve">age representation with </w:t>
      </w:r>
      <w:r>
        <w:rPr>
          <w:b/>
          <w:bCs/>
        </w:rPr>
        <w:t>additive continuous</w:t>
      </w:r>
      <w:r w:rsidR="00036210">
        <w:rPr>
          <w:rFonts w:hint="eastAsia"/>
          <w:b/>
          <w:bCs/>
          <w:lang w:eastAsia="zh-CN"/>
        </w:rPr>
        <w:t xml:space="preserve"> </w:t>
      </w:r>
      <w:r>
        <w:rPr>
          <w:b/>
          <w:bCs/>
        </w:rPr>
        <w:t>age relative attention</w:t>
      </w:r>
      <w:r>
        <w:t xml:space="preserve">, </w:t>
      </w:r>
      <w:r w:rsidR="00456CF9">
        <w:rPr>
          <w:rFonts w:hint="eastAsia"/>
          <w:lang w:eastAsia="zh-CN"/>
        </w:rPr>
        <w:t xml:space="preserve">where </w:t>
      </w:r>
      <w:r w:rsidR="00456CF9" w:rsidRPr="00456CF9">
        <w:rPr>
          <w:lang w:eastAsia="zh-CN"/>
        </w:rPr>
        <w:t xml:space="preserve">rotary position embedding [21] is adapted to continuous clinical ages [22]. </w:t>
      </w:r>
      <w:r>
        <w:t>For</w:t>
      </w:r>
      <w:r w:rsidR="007C3B3A">
        <w:rPr>
          <w:rFonts w:hint="eastAsia"/>
          <w:lang w:eastAsia="zh-CN"/>
        </w:rPr>
        <w:t xml:space="preserve"> any</w:t>
      </w:r>
      <w:r>
        <w:t xml:space="preserve"> two events </w:t>
      </w:r>
      <m:oMath>
        <m:r>
          <w:rPr>
            <w:rFonts w:ascii="Cambria Math" w:hAnsi="Cambria Math"/>
          </w:rPr>
          <m:t>i</m:t>
        </m:r>
      </m:oMath>
      <w:r>
        <w:t xml:space="preserve"> and </w:t>
      </w:r>
      <m:oMath>
        <m:r>
          <w:rPr>
            <w:rFonts w:ascii="Cambria Math" w:hAnsi="Cambria Math"/>
          </w:rPr>
          <m:t>j</m:t>
        </m:r>
      </m:oMath>
      <w:r>
        <w:t>, their temporal relationship is defined by the continuous age difference</w:t>
      </w:r>
      <w:r w:rsidR="00C45E3C">
        <w:rPr>
          <w:rFonts w:hint="eastAsia"/>
          <w:lang w:eastAsia="zh-CN"/>
        </w:rPr>
        <w:t>,</w:t>
      </w:r>
    </w:p>
    <w:p w14:paraId="5160EDF0" w14:textId="77777777" w:rsidR="005D33F6" w:rsidRDefault="0031392E">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oMath>
      </m:oMathPara>
    </w:p>
    <w:p w14:paraId="0E94F56B" w14:textId="77777777" w:rsidR="005D33F6" w:rsidRDefault="0031392E">
      <w:pPr>
        <w:rPr>
          <w:lang w:eastAsia="zh-CN"/>
        </w:rPr>
      </w:pPr>
      <w:r>
        <w:t xml:space="preserve">This age difference </w:t>
      </w:r>
      <w:r w:rsidR="007D6B31">
        <w:rPr>
          <w:rFonts w:hint="eastAsia"/>
          <w:lang w:eastAsia="zh-CN"/>
        </w:rPr>
        <w:t xml:space="preserve">enters </w:t>
      </w:r>
      <w:r>
        <w:t xml:space="preserve">self-attention as an additive, masked correction applied to the query and key only. Given hidden representations </w:t>
      </w:r>
      <m:oMath>
        <m:r>
          <w:rPr>
            <w:rFonts w:ascii="Cambria Math" w:hAnsi="Cambria Math"/>
          </w:rPr>
          <m:t>H</m:t>
        </m:r>
      </m:oMath>
      <w:r>
        <w:t xml:space="preserve">, we first compute the </w:t>
      </w:r>
      <w:r w:rsidR="007D6B31">
        <w:rPr>
          <w:rFonts w:hint="eastAsia"/>
          <w:lang w:eastAsia="zh-CN"/>
        </w:rPr>
        <w:t>standard</w:t>
      </w:r>
      <w:r>
        <w:t xml:space="preserve"> query, key, and value projections</w:t>
      </w:r>
      <w:r w:rsidR="009039AE">
        <w:rPr>
          <w:rFonts w:hint="eastAsia"/>
          <w:lang w:eastAsia="zh-CN"/>
        </w:rPr>
        <w:t>,</w:t>
      </w:r>
    </w:p>
    <w:p w14:paraId="0397CC90" w14:textId="77777777" w:rsidR="005D33F6" w:rsidRDefault="0031392E">
      <m:oMathPara>
        <m:oMathParaPr>
          <m:jc m:val="center"/>
        </m:oMathParaPr>
        <m:oMath>
          <m:r>
            <w:rPr>
              <w:rFonts w:ascii="Cambria Math" w:hAnsi="Cambria Math"/>
            </w:rPr>
            <m:t>Q</m:t>
          </m:r>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W</m:t>
              </m:r>
            </m:e>
            <m:sub>
              <m:r>
                <w:rPr>
                  <w:rFonts w:ascii="Cambria Math" w:hAnsi="Cambria Math"/>
                </w:rPr>
                <m:t>Q</m:t>
              </m:r>
            </m:sub>
          </m:sSub>
          <m:r>
            <m:rPr>
              <m:sty m:val="p"/>
            </m:rPr>
            <w:rPr>
              <w:rFonts w:ascii="Cambria Math" w:hAnsi="Cambria Math"/>
            </w:rPr>
            <m:t>,</m:t>
          </m:r>
          <m:r>
            <w:rPr>
              <w:rFonts w:ascii="Cambria Math" w:hAnsi="Cambria Math"/>
            </w:rPr>
            <m:t> K</m:t>
          </m:r>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w:rPr>
              <w:rFonts w:ascii="Cambria Math" w:hAnsi="Cambria Math"/>
            </w:rPr>
            <m:t> V</m:t>
          </m:r>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W</m:t>
              </m:r>
            </m:e>
            <m:sub>
              <m:r>
                <w:rPr>
                  <w:rFonts w:ascii="Cambria Math" w:hAnsi="Cambria Math"/>
                </w:rPr>
                <m:t>V</m:t>
              </m:r>
            </m:sub>
          </m:sSub>
          <m:r>
            <m:rPr>
              <m:sty m:val="p"/>
            </m:rPr>
            <w:rPr>
              <w:rFonts w:ascii="Cambria Math" w:hAnsi="Cambria Math"/>
            </w:rPr>
            <m:t>.</m:t>
          </m:r>
        </m:oMath>
      </m:oMathPara>
    </w:p>
    <w:p w14:paraId="718F56BF" w14:textId="77777777" w:rsidR="005D33F6" w:rsidRDefault="0031392E">
      <w:pPr>
        <w:rPr>
          <w:lang w:eastAsia="zh-CN"/>
        </w:rPr>
      </w:pPr>
      <w:r>
        <w:t xml:space="preserve">For </w:t>
      </w:r>
      <w:r w:rsidR="00053DFA">
        <w:rPr>
          <w:rFonts w:hint="eastAsia"/>
          <w:lang w:eastAsia="zh-CN"/>
        </w:rPr>
        <w:t>a given pair of</w:t>
      </w:r>
      <w:r>
        <w:t xml:space="preserve"> events, </w:t>
      </w:r>
      <w:r w:rsidR="00053DFA" w:rsidRPr="00053DFA">
        <w:t>the correction replaces the base logit by the rotated logit only when both positions correspond to dynamic clinical events</w:t>
      </w:r>
      <w:r w:rsidR="00053DFA">
        <w:rPr>
          <w:rFonts w:hint="eastAsia"/>
          <w:lang w:eastAsia="zh-CN"/>
        </w:rPr>
        <w:t>,</w:t>
      </w:r>
    </w:p>
    <w:p w14:paraId="22FFE48F" w14:textId="77777777" w:rsidR="005D33F6" w:rsidRDefault="00000000">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base</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k</m:t>
                  </m:r>
                </m:e>
                <m:sub>
                  <m:r>
                    <w:rPr>
                      <w:rFonts w:ascii="Cambria Math" w:hAnsi="Cambria Math"/>
                    </w:rPr>
                    <m:t>j</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h</m:t>
                      </m:r>
                    </m:sub>
                  </m:sSub>
                </m:e>
              </m:ra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rope</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h</m:t>
                      </m:r>
                    </m:sub>
                  </m:sSub>
                </m:e>
              </m:rad>
            </m:den>
          </m:f>
          <m:r>
            <m:rPr>
              <m:sty m:val="p"/>
            </m:rPr>
            <w:rPr>
              <w:rFonts w:ascii="Cambria Math" w:hAnsi="Cambria Math"/>
            </w:rPr>
            <m:t>,</m:t>
          </m:r>
        </m:oMath>
      </m:oMathPara>
    </w:p>
    <w:p w14:paraId="4DF00F80" w14:textId="77777777" w:rsidR="005D33F6" w:rsidRDefault="0031392E">
      <m:oMathPara>
        <m:oMathParaPr>
          <m:jc m:val="center"/>
        </m:oMathParaPr>
        <m:oMath>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base</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rope</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base</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e>
          </m:d>
          <m:r>
            <m:rPr>
              <m:sty m:val="p"/>
            </m:rPr>
            <w:rPr>
              <w:rFonts w:ascii="Cambria Math" w:hAnsi="Cambria Math"/>
            </w:rPr>
            <m:t>,</m:t>
          </m:r>
        </m:oMath>
      </m:oMathPara>
    </w:p>
    <w:p w14:paraId="0D8F7B44" w14:textId="77777777" w:rsidR="005D33F6" w:rsidRDefault="0031392E">
      <w:r>
        <w:t xml:space="preserve">where </w:t>
      </w:r>
      <m:oMath>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sidR="00442679">
        <w:rPr>
          <w:rFonts w:hint="eastAsia"/>
          <w:lang w:eastAsia="zh-CN"/>
        </w:rPr>
        <w:t>denotes</w:t>
      </w:r>
      <w:r>
        <w:t xml:space="preserve"> the continuous</w:t>
      </w:r>
      <w:r w:rsidR="00442679">
        <w:rPr>
          <w:rFonts w:hint="eastAsia"/>
          <w:lang w:eastAsia="zh-CN"/>
        </w:rPr>
        <w:t xml:space="preserve"> </w:t>
      </w:r>
      <w:r>
        <w:t xml:space="preserve">age rotational transformation and </w:t>
      </w:r>
      <m:oMath>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oMath>
      <w:r>
        <w:t xml:space="preserve"> when both </w:t>
      </w:r>
      <m:oMath>
        <m:r>
          <w:rPr>
            <w:rFonts w:ascii="Cambria Math" w:hAnsi="Cambria Math"/>
          </w:rPr>
          <m:t>i</m:t>
        </m:r>
      </m:oMath>
      <w:r>
        <w:t xml:space="preserve"> and </w:t>
      </w:r>
      <m:oMath>
        <m:r>
          <w:rPr>
            <w:rFonts w:ascii="Cambria Math" w:hAnsi="Cambria Math"/>
          </w:rPr>
          <m:t>j</m:t>
        </m:r>
      </m:oMath>
      <w:r>
        <w:t xml:space="preserve"> are</w:t>
      </w:r>
      <w:r w:rsidR="00442679">
        <w:rPr>
          <w:rFonts w:hint="eastAsia"/>
          <w:lang w:eastAsia="zh-CN"/>
        </w:rPr>
        <w:t xml:space="preserve"> dynamic clinical</w:t>
      </w:r>
      <w:r>
        <w:t xml:space="preserve"> events and 0 otherwise. Attention is then computed as</w:t>
      </w:r>
    </w:p>
    <w:p w14:paraId="5478AA68" w14:textId="77777777" w:rsidR="005D33F6" w:rsidRDefault="0031392E">
      <m:oMathPara>
        <m:oMathParaPr>
          <m:jc m:val="center"/>
        </m:oMathParaPr>
        <m:oMath>
          <m:r>
            <w:rPr>
              <w:rFonts w:ascii="Cambria Math" w:hAnsi="Cambria Math"/>
            </w:rPr>
            <m:t>Attention</m:t>
          </m:r>
          <m:r>
            <m:rPr>
              <m:sty m:val="p"/>
            </m:rPr>
            <w:rPr>
              <w:rFonts w:ascii="Cambria Math" w:hAnsi="Cambria Math"/>
            </w:rPr>
            <m:t>=</m:t>
          </m:r>
          <m:r>
            <w:rPr>
              <w:rFonts w:ascii="Cambria Math" w:hAnsi="Cambria Math"/>
            </w:rPr>
            <m:t>softmax</m:t>
          </m:r>
          <m:d>
            <m:dPr>
              <m:ctrlPr>
                <w:rPr>
                  <w:rFonts w:ascii="Cambria Math" w:hAnsi="Cambria Math"/>
                </w:rPr>
              </m:ctrlPr>
            </m:dPr>
            <m:e>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visibility</m:t>
                  </m:r>
                </m:sub>
              </m:sSub>
            </m:e>
          </m:d>
          <m:r>
            <w:rPr>
              <w:rFonts w:ascii="Cambria Math" w:hAnsi="Cambria Math"/>
            </w:rPr>
            <m:t>V</m:t>
          </m:r>
          <m:r>
            <m:rPr>
              <m:sty m:val="p"/>
            </m:rPr>
            <w:rPr>
              <w:rFonts w:ascii="Cambria Math" w:hAnsi="Cambria Math"/>
            </w:rPr>
            <m:t>.</m:t>
          </m:r>
        </m:oMath>
      </m:oMathPara>
    </w:p>
    <w:p w14:paraId="342E354B" w14:textId="77777777" w:rsidR="005D33F6" w:rsidRDefault="0031392E">
      <w:r>
        <w:lastRenderedPageBreak/>
        <w:t xml:space="preserve">Here </w:t>
      </w:r>
      <m:oMath>
        <m:sSub>
          <m:sSubPr>
            <m:ctrlPr>
              <w:rPr>
                <w:rFonts w:ascii="Cambria Math" w:hAnsi="Cambria Math"/>
              </w:rPr>
            </m:ctrlPr>
          </m:sSubPr>
          <m:e>
            <m:r>
              <w:rPr>
                <w:rFonts w:ascii="Cambria Math" w:hAnsi="Cambria Math"/>
              </w:rPr>
              <m:t>M</m:t>
            </m:r>
          </m:e>
          <m:sub>
            <m:r>
              <w:rPr>
                <w:rFonts w:ascii="Cambria Math" w:hAnsi="Cambria Math"/>
              </w:rPr>
              <m:t>visibility</m:t>
            </m:r>
          </m:sub>
        </m:sSub>
      </m:oMath>
      <w:r>
        <w:t xml:space="preserve"> combines causal masking with recruitment</w:t>
      </w:r>
      <w:r w:rsidR="00252702">
        <w:rPr>
          <w:rFonts w:hint="eastAsia"/>
          <w:lang w:eastAsia="zh-CN"/>
        </w:rPr>
        <w:t xml:space="preserve"> </w:t>
      </w:r>
      <w:r>
        <w:t>time visibility</w:t>
      </w:r>
      <w:r w:rsidR="00252702">
        <w:rPr>
          <w:rFonts w:hint="eastAsia"/>
          <w:lang w:eastAsia="zh-CN"/>
        </w:rPr>
        <w:t xml:space="preserve"> of static covariates</w:t>
      </w:r>
      <w:r>
        <w:t xml:space="preserve">. This design </w:t>
      </w:r>
      <w:r w:rsidR="00252702">
        <w:rPr>
          <w:rFonts w:hint="eastAsia"/>
          <w:lang w:eastAsia="zh-CN"/>
        </w:rPr>
        <w:t>renders</w:t>
      </w:r>
      <w:r>
        <w:t xml:space="preserve"> attention scores directly sensitive to the real time interval between clinical events while keeping the value stream unchanged, preserving the conventional Transformer attention structure.</w:t>
      </w:r>
      <w:r w:rsidR="00252702">
        <w:rPr>
          <w:rFonts w:hint="eastAsia"/>
          <w:lang w:eastAsia="zh-CN"/>
        </w:rPr>
        <w:t xml:space="preserve"> Also, w</w:t>
      </w:r>
      <w:r>
        <w:t>e retain both encodings, so that modeling event time intervals does not discard the information of the patient’s absolute age.</w:t>
      </w:r>
    </w:p>
    <w:p w14:paraId="6BBF4C18" w14:textId="17293BFB" w:rsidR="00C32099" w:rsidRDefault="00C32099" w:rsidP="00A80759">
      <w:pPr>
        <w:pStyle w:val="3"/>
      </w:pPr>
      <w:bookmarkStart w:id="10" w:name="event-and-time-prediction"/>
      <w:bookmarkEnd w:id="9"/>
      <w:r>
        <w:t>D. Generation objective and horizon</w:t>
      </w:r>
      <w:r w:rsidR="003A255C">
        <w:rPr>
          <w:rFonts w:hint="eastAsia"/>
          <w:lang w:eastAsia="zh-CN"/>
        </w:rPr>
        <w:t xml:space="preserve"> </w:t>
      </w:r>
      <w:r>
        <w:t>query risk head</w:t>
      </w:r>
    </w:p>
    <w:p w14:paraId="24D72A5C" w14:textId="77777777" w:rsidR="005D33F6" w:rsidRDefault="00A80759" w:rsidP="00A80759">
      <w:r>
        <w:rPr>
          <w:lang w:eastAsia="zh-CN"/>
        </w:rPr>
        <w:t>The next</w:t>
      </w:r>
      <w:r w:rsidR="00347C25">
        <w:rPr>
          <w:rFonts w:hint="eastAsia"/>
          <w:lang w:eastAsia="zh-CN"/>
        </w:rPr>
        <w:t xml:space="preserve"> </w:t>
      </w:r>
      <w:r>
        <w:rPr>
          <w:lang w:eastAsia="zh-CN"/>
        </w:rPr>
        <w:t>event logits jointly determine the categorical event distribution and an exponential waiting-time rate, as detailed in Supplementary S1.</w:t>
      </w:r>
      <w:r w:rsidR="00347C25">
        <w:rPr>
          <w:rFonts w:hint="eastAsia"/>
          <w:lang w:eastAsia="zh-CN"/>
        </w:rPr>
        <w:t xml:space="preserve"> </w:t>
      </w:r>
      <w:r>
        <w:t>Generative pretraining minimizes</w:t>
      </w:r>
    </w:p>
    <w:p w14:paraId="6D80C5CA" w14:textId="77777777" w:rsidR="005D33F6" w:rsidRDefault="00000000">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pretrain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CE</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dt</m:t>
              </m:r>
            </m:sub>
          </m:sSub>
          <m:r>
            <m:rPr>
              <m:sty m:val="p"/>
            </m:rPr>
            <w:rPr>
              <w:rFonts w:ascii="Cambria Math" w:hAnsi="Cambria Math"/>
            </w:rPr>
            <m:t>,</m:t>
          </m:r>
        </m:oMath>
      </m:oMathPara>
    </w:p>
    <w:p w14:paraId="0030C355" w14:textId="77777777" w:rsidR="005D33F6" w:rsidRDefault="0031392E">
      <w:r>
        <w:t xml:space="preserve">where </w:t>
      </w:r>
      <m:oMath>
        <m:sSub>
          <m:sSubPr>
            <m:ctrlPr>
              <w:rPr>
                <w:rFonts w:ascii="Cambria Math" w:hAnsi="Cambria Math"/>
              </w:rPr>
            </m:ctrlPr>
          </m:sSubPr>
          <m:e>
            <m:r>
              <w:rPr>
                <w:rFonts w:ascii="Cambria Math" w:hAnsi="Cambria Math" w:cs="Cambria Math"/>
              </w:rPr>
              <m:t>L</m:t>
            </m:r>
          </m:e>
          <m:sub>
            <m:r>
              <m:rPr>
                <m:sty m:val="p"/>
              </m:rPr>
              <w:rPr>
                <w:rFonts w:ascii="Cambria Math" w:hAnsi="Cambria Math" w:cs="Cambria Math"/>
              </w:rPr>
              <m:t>CE</m:t>
            </m:r>
          </m:sub>
        </m:sSub>
      </m:oMath>
      <w:r>
        <w:t xml:space="preserve"> is next</w:t>
      </w:r>
      <w:r w:rsidR="00820D68">
        <w:rPr>
          <w:rFonts w:hint="eastAsia"/>
          <w:lang w:eastAsia="zh-CN"/>
        </w:rPr>
        <w:t xml:space="preserve"> </w:t>
      </w:r>
      <w:r>
        <w:t xml:space="preserve">event cross-entropy and </w:t>
      </w:r>
      <m:oMath>
        <m:sSub>
          <m:sSubPr>
            <m:ctrlPr>
              <w:rPr>
                <w:rFonts w:ascii="Cambria Math" w:hAnsi="Cambria Math"/>
              </w:rPr>
            </m:ctrlPr>
          </m:sSubPr>
          <m:e>
            <m:r>
              <w:rPr>
                <w:rFonts w:ascii="Cambria Math" w:hAnsi="Cambria Math" w:cs="Cambria Math"/>
              </w:rPr>
              <m:t>L</m:t>
            </m:r>
          </m:e>
          <m:sub>
            <m:r>
              <m:rPr>
                <m:sty m:val="p"/>
              </m:rPr>
              <w:rPr>
                <w:rFonts w:ascii="Cambria Math" w:hAnsi="Cambria Math" w:cs="Cambria Math"/>
              </w:rPr>
              <m:t>dt</m:t>
            </m:r>
          </m:sub>
        </m:sSub>
      </m:oMath>
      <w:r>
        <w:t xml:space="preserve"> is the positive</w:t>
      </w:r>
      <w:r w:rsidR="004C7CE2">
        <w:rPr>
          <w:rFonts w:hint="eastAsia"/>
          <w:lang w:eastAsia="zh-CN"/>
        </w:rPr>
        <w:t xml:space="preserve"> </w:t>
      </w:r>
      <w:r>
        <w:t>gap exponential objective. No separate time</w:t>
      </w:r>
      <w:r w:rsidR="004C7CE2">
        <w:rPr>
          <w:rFonts w:hint="eastAsia"/>
          <w:lang w:eastAsia="zh-CN"/>
        </w:rPr>
        <w:t xml:space="preserve"> </w:t>
      </w:r>
      <w:r>
        <w:t>gap regression head contributes to the final pretraining loss.</w:t>
      </w:r>
    </w:p>
    <w:p w14:paraId="69C24B8C" w14:textId="3880D272" w:rsidR="00BC132A" w:rsidRDefault="00000000">
      <w:r>
        <w:rPr>
          <w:rFonts w:hint="eastAsia"/>
          <w:lang w:eastAsia="zh-CN"/>
        </w:rPr>
        <w:t>The horizon</w:t>
      </w:r>
      <w:r w:rsidR="004A32FF">
        <w:rPr>
          <w:rFonts w:hint="eastAsia"/>
          <w:lang w:eastAsia="zh-CN"/>
        </w:rPr>
        <w:t xml:space="preserve"> </w:t>
      </w:r>
      <w:r>
        <w:rPr>
          <w:rFonts w:hint="eastAsia"/>
          <w:lang w:eastAsia="zh-CN"/>
        </w:rPr>
        <w:t>query head asks whether a specified disease will be recorded within 1, 5 or 10 years of a clinical landmark. It uses learned horizon queries to read the history, rather than counting disease tokens in sampled futures. Risk posttraining updates both the backbone and head; the frozen-backbone mortality head is a different analysis.</w:t>
      </w:r>
    </w:p>
    <w:p w14:paraId="5DD9387D" w14:textId="77777777" w:rsidR="005D33F6" w:rsidRDefault="006C2FD6">
      <w:bookmarkStart w:id="11" w:name="X69ddef1db7b31ae766dc7bffa588c75e609e585"/>
      <w:bookmarkEnd w:id="7"/>
      <w:bookmarkEnd w:id="10"/>
      <w:r>
        <w:rPr>
          <w:rFonts w:hint="eastAsia"/>
          <w:lang w:eastAsia="zh-CN"/>
        </w:rPr>
        <w:t>Additionally, t</w:t>
      </w:r>
      <w:r w:rsidR="00EF6F40">
        <w:t xml:space="preserve">o </w:t>
      </w:r>
      <w:r w:rsidR="004C7CE2">
        <w:rPr>
          <w:rFonts w:hint="eastAsia"/>
          <w:lang w:eastAsia="zh-CN"/>
        </w:rPr>
        <w:t>further a</w:t>
      </w:r>
      <w:r w:rsidR="00EF6F40">
        <w:t>ssess whether the learned trajectory representation also supports fixe</w:t>
      </w:r>
      <w:r w:rsidR="006375EE">
        <w:rPr>
          <w:rFonts w:hint="eastAsia"/>
          <w:lang w:eastAsia="zh-CN"/>
        </w:rPr>
        <w:t xml:space="preserve">d </w:t>
      </w:r>
      <w:r w:rsidR="00EF6F40">
        <w:t xml:space="preserve">horizon clinical prediction, we attach an independent risk head to estimate disease occurrence within 1-, 5-, and 10-year horizons. </w:t>
      </w:r>
      <w:r w:rsidR="0049594B">
        <w:rPr>
          <w:rFonts w:hint="eastAsia"/>
          <w:lang w:eastAsia="zh-CN"/>
        </w:rPr>
        <w:t>The h</w:t>
      </w:r>
      <w:r w:rsidR="00EF6F40">
        <w:t>orizon</w:t>
      </w:r>
      <w:r w:rsidR="0049594B">
        <w:rPr>
          <w:rFonts w:hint="eastAsia"/>
          <w:lang w:eastAsia="zh-CN"/>
        </w:rPr>
        <w:t xml:space="preserve"> </w:t>
      </w:r>
      <w:r w:rsidR="00790B6C">
        <w:rPr>
          <w:rFonts w:hint="eastAsia"/>
          <w:lang w:eastAsia="zh-CN"/>
        </w:rPr>
        <w:t xml:space="preserve"> </w:t>
      </w:r>
      <w:r w:rsidR="00EF6F40">
        <w:t>specific risks are parameterized monotonically to reflect nested cumulative incidence across increasing horizons:</w:t>
      </w:r>
    </w:p>
    <w:p w14:paraId="7158FA95" w14:textId="77777777" w:rsidR="005D33F6" w:rsidRDefault="0031392E">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1y</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5y</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10y</m:t>
                  </m:r>
                </m:sub>
              </m:sSub>
              <m:r>
                <m:rPr>
                  <m:sty m:val="p"/>
                </m:rPr>
                <w:rPr>
                  <w:rFonts w:ascii="Cambria Math" w:hAnsi="Cambria Math"/>
                </w:rPr>
                <m:t>=</m:t>
              </m:r>
              <m:r>
                <w:rPr>
                  <w:rFonts w:ascii="Cambria Math" w:hAnsi="Cambria Math"/>
                </w:rPr>
                <m:t>1</m:t>
              </m:r>
            </m:e>
          </m:d>
          <m:r>
            <m:rPr>
              <m:sty m:val="p"/>
            </m:rPr>
            <w:rPr>
              <w:rFonts w:ascii="Cambria Math" w:hAnsi="Cambria Math"/>
            </w:rPr>
            <m:t>,</m:t>
          </m:r>
        </m:oMath>
      </m:oMathPara>
    </w:p>
    <w:p w14:paraId="7D922AE6" w14:textId="77777777" w:rsidR="005D33F6" w:rsidRDefault="00EF6F40">
      <w:r>
        <w:t>Disease</w:t>
      </w:r>
      <w:r w:rsidR="00836ED1">
        <w:rPr>
          <w:rFonts w:hint="eastAsia"/>
          <w:lang w:eastAsia="zh-CN"/>
        </w:rPr>
        <w:t xml:space="preserve"> </w:t>
      </w:r>
      <w:r>
        <w:t>risk post</w:t>
      </w:r>
      <w:r w:rsidR="00790B6C">
        <w:rPr>
          <w:rFonts w:hint="eastAsia"/>
          <w:lang w:eastAsia="zh-CN"/>
        </w:rPr>
        <w:t xml:space="preserve"> </w:t>
      </w:r>
      <w:r>
        <w:t xml:space="preserve">training jointly updates the backbone and a monotonic horizon-query head using </w:t>
      </w:r>
      <m:oMath>
        <m:r>
          <w:rPr>
            <w:rFonts w:ascii="Cambria Math" w:hAnsi="Cambria Math" w:cs="Cambria Math"/>
          </w:rPr>
          <m:t>0.2(</m:t>
        </m:r>
        <m:sSub>
          <m:sSubPr>
            <m:ctrlPr>
              <w:rPr>
                <w:rFonts w:ascii="Cambria Math" w:hAnsi="Cambria Math"/>
              </w:rPr>
            </m:ctrlPr>
          </m:sSubPr>
          <m:e>
            <m:r>
              <w:rPr>
                <w:rFonts w:ascii="Cambria Math" w:hAnsi="Cambria Math" w:cs="Cambria Math"/>
              </w:rPr>
              <m:t>L</m:t>
            </m:r>
          </m:e>
          <m:sub>
            <m:r>
              <m:rPr>
                <m:sty m:val="p"/>
              </m:rPr>
              <w:rPr>
                <w:rFonts w:ascii="Cambria Math" w:hAnsi="Cambria Math" w:cs="Cambria Math"/>
              </w:rPr>
              <m:t>CE</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m:rPr>
                <m:sty m:val="p"/>
              </m:rPr>
              <w:rPr>
                <w:rFonts w:ascii="Cambria Math" w:hAnsi="Cambria Math" w:cs="Cambria Math"/>
              </w:rPr>
              <m:t>dt</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m:rPr>
                <m:sty m:val="p"/>
              </m:rPr>
              <w:rPr>
                <w:rFonts w:ascii="Cambria Math" w:hAnsi="Cambria Math" w:cs="Cambria Math"/>
              </w:rPr>
              <m:t>horizon</m:t>
            </m:r>
          </m:sub>
        </m:sSub>
      </m:oMath>
      <w:r>
        <w:t>. Supplementary S1 defines the head and masked binary cross-entropy.</w:t>
      </w:r>
    </w:p>
    <w:p w14:paraId="6B84B4A9" w14:textId="77777777" w:rsidR="005D33F6" w:rsidRDefault="0031392E">
      <w:pPr>
        <w:pStyle w:val="2"/>
      </w:pPr>
      <w:bookmarkStart w:id="12" w:name="iv.-experiments"/>
      <w:bookmarkEnd w:id="2"/>
      <w:bookmarkEnd w:id="11"/>
      <w:r>
        <w:t>IV. EXPERIMENTS</w:t>
      </w:r>
    </w:p>
    <w:p w14:paraId="5D13A204" w14:textId="77777777" w:rsidR="005D33F6" w:rsidRDefault="0031392E">
      <w:pPr>
        <w:pStyle w:val="3"/>
      </w:pPr>
      <w:bookmarkStart w:id="13" w:name="a.-dataset-and-cohort-construction"/>
      <w:r>
        <w:t xml:space="preserve">A. </w:t>
      </w:r>
      <w:r w:rsidR="0028334B">
        <w:rPr>
          <w:rFonts w:hint="eastAsia"/>
          <w:lang w:eastAsia="zh-CN"/>
        </w:rPr>
        <w:t>Cohort and evaluation sets</w:t>
      </w:r>
    </w:p>
    <w:p w14:paraId="553B5F93" w14:textId="43CF0F0E" w:rsidR="00BC132A" w:rsidRDefault="00F47F24">
      <w:pPr>
        <w:rPr>
          <w:color w:val="000000"/>
          <w:lang w:eastAsia="zh-CN"/>
        </w:rPr>
      </w:pPr>
      <w:r w:rsidRPr="00F47F24">
        <w:rPr>
          <w:color w:val="000000"/>
          <w:lang w:eastAsia="zh-CN"/>
        </w:rPr>
        <w:t>We evaluated MedTrajectory using longitudinal UK Biobank records</w:t>
      </w:r>
      <w:r>
        <w:rPr>
          <w:color w:val="000000"/>
          <w:lang w:eastAsia="zh-CN"/>
        </w:rPr>
        <w:t xml:space="preserve"> [23]</w:t>
      </w:r>
      <w:r>
        <w:rPr>
          <w:rFonts w:hint="eastAsia"/>
          <w:color w:val="000000"/>
          <w:lang w:eastAsia="zh-CN"/>
        </w:rPr>
        <w:t>. The cohort</w:t>
      </w:r>
      <w:r>
        <w:rPr>
          <w:color w:val="000000"/>
          <w:lang w:eastAsia="zh-CN"/>
        </w:rPr>
        <w:t xml:space="preserve"> comprised 502,411 participants partitioned into training (</w:t>
      </w:r>
      <w:r w:rsidR="00262B14">
        <w:rPr>
          <w:rFonts w:hint="eastAsia"/>
          <w:color w:val="000000"/>
          <w:lang w:eastAsia="zh-CN"/>
        </w:rPr>
        <w:t>N=</w:t>
      </w:r>
      <w:r>
        <w:rPr>
          <w:color w:val="000000"/>
          <w:lang w:eastAsia="zh-CN"/>
        </w:rPr>
        <w:t>397,049), validation (</w:t>
      </w:r>
      <w:r w:rsidR="00262B14">
        <w:rPr>
          <w:rFonts w:hint="eastAsia"/>
          <w:color w:val="000000"/>
          <w:lang w:eastAsia="zh-CN"/>
        </w:rPr>
        <w:t>N=</w:t>
      </w:r>
      <w:r>
        <w:rPr>
          <w:color w:val="000000"/>
          <w:lang w:eastAsia="zh-CN"/>
        </w:rPr>
        <w:t>99,263) and test (</w:t>
      </w:r>
      <w:r w:rsidR="00262B14">
        <w:rPr>
          <w:rFonts w:hint="eastAsia"/>
          <w:color w:val="000000"/>
          <w:lang w:eastAsia="zh-CN"/>
        </w:rPr>
        <w:t>N=</w:t>
      </w:r>
      <w:r>
        <w:rPr>
          <w:color w:val="000000"/>
          <w:lang w:eastAsia="zh-CN"/>
        </w:rPr>
        <w:t xml:space="preserve">6,099). </w:t>
      </w:r>
      <w:r w:rsidR="00B82985">
        <w:rPr>
          <w:color w:val="000000"/>
          <w:lang w:eastAsia="zh-CN"/>
        </w:rPr>
        <w:t xml:space="preserve">The test partition yielded a trajectory-generation cohort of 1,669 participants. For fixed-horizon risk, 6,035 participants met base model-input eligibility, and 4,668 contributed outcome-observable records after eligibility correction. </w:t>
      </w:r>
      <w:r w:rsidR="00B82985">
        <w:rPr>
          <w:rFonts w:hint="eastAsia"/>
          <w:color w:val="000000"/>
          <w:lang w:eastAsia="zh-CN"/>
        </w:rPr>
        <w:t>The two task populations overlap and are therefore not additive</w:t>
      </w:r>
      <w:r>
        <w:rPr>
          <w:color w:val="000000"/>
          <w:lang w:eastAsia="zh-CN"/>
        </w:rPr>
        <w:t>. Test identifiers predate protocol</w:t>
      </w:r>
      <w:r w:rsidR="0036591F">
        <w:rPr>
          <w:rFonts w:hint="eastAsia"/>
          <w:color w:val="000000"/>
          <w:lang w:eastAsia="zh-CN"/>
        </w:rPr>
        <w:t xml:space="preserve"> </w:t>
      </w:r>
      <w:r>
        <w:rPr>
          <w:color w:val="000000"/>
          <w:lang w:eastAsia="zh-CN"/>
        </w:rPr>
        <w:t>specific retraining</w:t>
      </w:r>
      <w:r w:rsidR="0036591F">
        <w:rPr>
          <w:rFonts w:hint="eastAsia"/>
          <w:color w:val="000000"/>
          <w:lang w:eastAsia="zh-CN"/>
        </w:rPr>
        <w:t>,</w:t>
      </w:r>
      <w:r>
        <w:rPr>
          <w:color w:val="000000"/>
          <w:lang w:eastAsia="zh-CN"/>
        </w:rPr>
        <w:t xml:space="preserve"> prior risk-baseline inspection makes those reference comparisons exploratory. MIMIC-IV [24] provides a separate hospital</w:t>
      </w:r>
      <w:r w:rsidR="0036591F">
        <w:rPr>
          <w:rFonts w:hint="eastAsia"/>
          <w:color w:val="000000"/>
          <w:lang w:eastAsia="zh-CN"/>
        </w:rPr>
        <w:t xml:space="preserve"> </w:t>
      </w:r>
      <w:r>
        <w:rPr>
          <w:color w:val="000000"/>
          <w:lang w:eastAsia="zh-CN"/>
        </w:rPr>
        <w:t>record evaluation.</w:t>
      </w:r>
    </w:p>
    <w:p w14:paraId="61CE685C" w14:textId="77777777" w:rsidR="005D33F6" w:rsidRDefault="0031392E">
      <w:pPr>
        <w:pStyle w:val="3"/>
      </w:pPr>
      <w:bookmarkStart w:id="14" w:name="Xade392fcde3a715df2315192f679bfa2e81c473"/>
      <w:bookmarkEnd w:id="13"/>
      <w:r>
        <w:t xml:space="preserve">B. </w:t>
      </w:r>
      <w:r w:rsidR="00AC68B8">
        <w:rPr>
          <w:rFonts w:hint="eastAsia"/>
          <w:lang w:eastAsia="zh-CN"/>
        </w:rPr>
        <w:t>Model variants and baselines</w:t>
      </w:r>
    </w:p>
    <w:p w14:paraId="46868915" w14:textId="6B0C0B1E" w:rsidR="00BC132A" w:rsidRDefault="009574B5">
      <w:r w:rsidRPr="00D27047">
        <w:t>We evaluate two principal design factors</w:t>
      </w:r>
      <w:r>
        <w:rPr>
          <w:rFonts w:hint="eastAsia"/>
          <w:lang w:eastAsia="zh-CN"/>
        </w:rPr>
        <w:t>,</w:t>
      </w:r>
      <w:r w:rsidRPr="00D27047">
        <w:t xml:space="preserve"> expansion of the clinical event space and explicit relative</w:t>
      </w:r>
      <w:r>
        <w:rPr>
          <w:rFonts w:hint="eastAsia"/>
          <w:lang w:eastAsia="zh-CN"/>
        </w:rPr>
        <w:t xml:space="preserve"> </w:t>
      </w:r>
      <w:r w:rsidRPr="00D27047">
        <w:t xml:space="preserve">time modeling. </w:t>
      </w:r>
      <w:r>
        <w:rPr>
          <w:rFonts w:hint="eastAsia"/>
          <w:lang w:eastAsia="zh-CN"/>
        </w:rPr>
        <w:t xml:space="preserve"> Then w</w:t>
      </w:r>
      <w:r w:rsidR="00D6028C">
        <w:rPr>
          <w:rFonts w:hint="eastAsia"/>
          <w:lang w:eastAsia="zh-CN"/>
        </w:rPr>
        <w:t xml:space="preserve">e develop MedTrajectory into two versions, absolute version and relative version. The </w:t>
      </w:r>
      <w:r>
        <w:rPr>
          <w:rFonts w:hint="eastAsia"/>
          <w:lang w:eastAsia="zh-CN"/>
        </w:rPr>
        <w:t>Absolute (A0) retains continuous absolute</w:t>
      </w:r>
      <w:r w:rsidR="00D6028C">
        <w:rPr>
          <w:rFonts w:hint="eastAsia"/>
          <w:lang w:eastAsia="zh-CN"/>
        </w:rPr>
        <w:t xml:space="preserve"> </w:t>
      </w:r>
      <w:r>
        <w:rPr>
          <w:rFonts w:hint="eastAsia"/>
          <w:lang w:eastAsia="zh-CN"/>
        </w:rPr>
        <w:t xml:space="preserve">age encoding; Relative (A2) adds </w:t>
      </w:r>
      <w:r w:rsidR="00D6028C">
        <w:rPr>
          <w:rFonts w:hint="eastAsia"/>
          <w:lang w:eastAsia="zh-CN"/>
        </w:rPr>
        <w:t xml:space="preserve">relative </w:t>
      </w:r>
      <w:r>
        <w:rPr>
          <w:rFonts w:hint="eastAsia"/>
          <w:lang w:eastAsia="zh-CN"/>
        </w:rPr>
        <w:t xml:space="preserve">time attention. </w:t>
      </w:r>
      <w:r w:rsidRPr="00D27047">
        <w:t xml:space="preserve">For trajectory generation, we further evaluate matched implementations of ETHOS and Foresight under common data splits and event representations. </w:t>
      </w:r>
      <w:r w:rsidR="005E5045">
        <w:rPr>
          <w:rFonts w:hint="eastAsia"/>
          <w:lang w:eastAsia="zh-CN"/>
        </w:rPr>
        <w:t>The f</w:t>
      </w:r>
      <w:r w:rsidRPr="00D27047">
        <w:t>ixed</w:t>
      </w:r>
      <w:r w:rsidR="005E5045">
        <w:rPr>
          <w:rFonts w:hint="eastAsia"/>
          <w:lang w:eastAsia="zh-CN"/>
        </w:rPr>
        <w:t xml:space="preserve"> </w:t>
      </w:r>
      <w:r w:rsidRPr="00D27047">
        <w:t>horizon risk benchmarks included Cox regression, logistic regression, Med-BERT, and MDRMF-Clinical.</w:t>
      </w:r>
      <w:r>
        <w:rPr>
          <w:rFonts w:hint="eastAsia"/>
          <w:lang w:eastAsia="zh-CN"/>
        </w:rPr>
        <w:t xml:space="preserve"> MIMIC </w:t>
      </w:r>
      <w:r>
        <w:rPr>
          <w:rFonts w:hint="eastAsia"/>
          <w:lang w:eastAsia="zh-CN"/>
        </w:rPr>
        <w:t>additionally includes DoctorGRU and an index phase A2 control, which is shown in Supplementary S1-S3.</w:t>
      </w:r>
    </w:p>
    <w:p w14:paraId="41E1D654" w14:textId="77777777" w:rsidR="00BC132A" w:rsidRDefault="009574B5">
      <w:r w:rsidRPr="00D27047">
        <w:t>We additionally evaluate a diagnosis-only setting in which the target is restricted to diagnosis events: one next-diagnosis target per patient (N = 1,534) with history truncated at the event immediately preceding that diagnosis, and an untimed generation setting that scores generated futures against future diagnoses only (Tables II and III). Common mapped diagnosis targets were scored using each method's registered diagnostic candidate vocabulary, with 1,123 candidates for most methods and 1,255 native diagnosis entries for Delphi. Seven published models or backbones are compared under this setting. These diagnosis-only readouts and the multitype-generation readouts in Supplementary Tables S2 and S9 answer different questions and are not numerically comparable.</w:t>
      </w:r>
    </w:p>
    <w:bookmarkEnd w:id="14"/>
    <w:p w14:paraId="3245C78B" w14:textId="77777777" w:rsidR="005D33F6" w:rsidRDefault="0031392E">
      <w:pPr>
        <w:pStyle w:val="3"/>
      </w:pPr>
      <w:r>
        <w:t xml:space="preserve">C. </w:t>
      </w:r>
      <w:r w:rsidR="002065DE">
        <w:rPr>
          <w:rFonts w:hint="eastAsia"/>
          <w:lang w:eastAsia="zh-CN"/>
        </w:rPr>
        <w:t>Trajectory generation evaluation</w:t>
      </w:r>
    </w:p>
    <w:p w14:paraId="3A04DBF7" w14:textId="30357FA0" w:rsidR="00BC132A" w:rsidRDefault="00000000">
      <w:r>
        <w:rPr>
          <w:rFonts w:hint="eastAsia"/>
          <w:lang w:eastAsia="zh-CN"/>
        </w:rPr>
        <w:t>For 1,669 held</w:t>
      </w:r>
      <w:r w:rsidR="00801170">
        <w:rPr>
          <w:rFonts w:hint="eastAsia"/>
          <w:lang w:eastAsia="zh-CN"/>
        </w:rPr>
        <w:t xml:space="preserve"> </w:t>
      </w:r>
      <w:r>
        <w:rPr>
          <w:rFonts w:hint="eastAsia"/>
          <w:lang w:eastAsia="zh-CN"/>
        </w:rPr>
        <w:t xml:space="preserve">out UKB participants, </w:t>
      </w:r>
      <w:r w:rsidR="007D7936">
        <w:rPr>
          <w:rFonts w:hint="eastAsia"/>
          <w:lang w:eastAsia="zh-CN"/>
        </w:rPr>
        <w:t xml:space="preserve">we sample </w:t>
      </w:r>
      <w:r>
        <w:rPr>
          <w:rFonts w:hint="eastAsia"/>
          <w:lang w:eastAsia="zh-CN"/>
        </w:rPr>
        <w:t xml:space="preserve">20 </w:t>
      </w:r>
      <w:r w:rsidR="007D7936">
        <w:rPr>
          <w:rFonts w:hint="eastAsia"/>
          <w:lang w:eastAsia="zh-CN"/>
        </w:rPr>
        <w:t xml:space="preserve">autoregressive </w:t>
      </w:r>
      <w:r>
        <w:rPr>
          <w:rFonts w:hint="eastAsia"/>
          <w:lang w:eastAsia="zh-CN"/>
        </w:rPr>
        <w:t xml:space="preserve">rollouts from the first 65% of each eligible trajectory, </w:t>
      </w:r>
      <w:r w:rsidR="007D7936">
        <w:rPr>
          <w:rFonts w:hint="eastAsia"/>
          <w:lang w:eastAsia="zh-CN"/>
        </w:rPr>
        <w:t>allowing</w:t>
      </w:r>
      <w:r w:rsidR="007D7936">
        <w:t xml:space="preserve"> up to 30 new events over a 10-year window</w:t>
      </w:r>
      <w:r>
        <w:rPr>
          <w:rFonts w:hint="eastAsia"/>
          <w:lang w:eastAsia="zh-CN"/>
        </w:rPr>
        <w:t xml:space="preserve"> and </w:t>
      </w:r>
      <w:r w:rsidR="007D7936">
        <w:rPr>
          <w:rFonts w:hint="eastAsia"/>
          <w:lang w:eastAsia="zh-CN"/>
        </w:rPr>
        <w:t xml:space="preserve">a </w:t>
      </w:r>
      <w:r>
        <w:rPr>
          <w:rFonts w:hint="eastAsia"/>
          <w:lang w:eastAsia="zh-CN"/>
        </w:rPr>
        <w:t xml:space="preserve">mortality termination. Diagnosis Jaccard, first-event-time MAE and event-count MAE score </w:t>
      </w:r>
      <w:r w:rsidR="0097321A">
        <w:rPr>
          <w:rFonts w:hint="eastAsia"/>
          <w:lang w:eastAsia="zh-CN"/>
        </w:rPr>
        <w:t xml:space="preserve">are computed from </w:t>
      </w:r>
      <w:r>
        <w:rPr>
          <w:rFonts w:hint="eastAsia"/>
          <w:lang w:eastAsia="zh-CN"/>
        </w:rPr>
        <w:t>generated futures</w:t>
      </w:r>
      <w:r w:rsidR="0097321A">
        <w:rPr>
          <w:rFonts w:hint="eastAsia"/>
          <w:lang w:eastAsia="zh-CN"/>
        </w:rPr>
        <w:t>,</w:t>
      </w:r>
      <w:r>
        <w:rPr>
          <w:rFonts w:hint="eastAsia"/>
          <w:lang w:eastAsia="zh-CN"/>
        </w:rPr>
        <w:t xml:space="preserve"> Hit@10 separately scores teacher</w:t>
      </w:r>
      <w:r w:rsidR="005D7629">
        <w:rPr>
          <w:rFonts w:hint="eastAsia"/>
          <w:lang w:eastAsia="zh-CN"/>
        </w:rPr>
        <w:t xml:space="preserve"> </w:t>
      </w:r>
      <w:r>
        <w:rPr>
          <w:rFonts w:hint="eastAsia"/>
          <w:lang w:eastAsia="zh-CN"/>
        </w:rPr>
        <w:t>forced next-event ranking</w:t>
      </w:r>
      <w:r w:rsidR="009F3244">
        <w:rPr>
          <w:rFonts w:hint="eastAsia"/>
          <w:lang w:eastAsia="zh-CN"/>
        </w:rPr>
        <w:t>,</w:t>
      </w:r>
      <w:r>
        <w:rPr>
          <w:rFonts w:hint="eastAsia"/>
          <w:lang w:eastAsia="zh-CN"/>
        </w:rPr>
        <w:t xml:space="preserve"> </w:t>
      </w:r>
      <w:r w:rsidR="009F3244">
        <w:rPr>
          <w:rFonts w:hint="eastAsia"/>
          <w:lang w:eastAsia="zh-CN"/>
        </w:rPr>
        <w:t xml:space="preserve">shown in </w:t>
      </w:r>
      <w:r>
        <w:rPr>
          <w:rFonts w:hint="eastAsia"/>
          <w:lang w:eastAsia="zh-CN"/>
        </w:rPr>
        <w:t>Supplementary S1.</w:t>
      </w:r>
    </w:p>
    <w:p w14:paraId="67775C9C" w14:textId="77777777" w:rsidR="00BC132A" w:rsidRDefault="00000000">
      <w:pPr>
        <w:pStyle w:val="3"/>
      </w:pPr>
      <w:r>
        <w:rPr>
          <w:rFonts w:hint="eastAsia"/>
          <w:lang w:eastAsia="zh-CN"/>
        </w:rPr>
        <w:t>D. Clinical risk and cross-setting evaluation</w:t>
      </w:r>
    </w:p>
    <w:p w14:paraId="6928AA41" w14:textId="76A83050" w:rsidR="00BC132A" w:rsidRDefault="00E85480">
      <w:r>
        <w:rPr>
          <w:rFonts w:hint="eastAsia"/>
          <w:lang w:eastAsia="zh-CN"/>
        </w:rPr>
        <w:t>Fixed horizon disease risk benchmark covers several predefined outcomes, hypertension, ischemic heart disease, myocardial infarction, atrial fibrillation/flutter, heart failure, cerebrovascular disease, type 2 diabetes, chronic kidney disease, COPD and lipoprotein disorders. Each is assessed at 1, 5 and 10 years. Outcome</w:t>
      </w:r>
      <w:r w:rsidR="0088781B">
        <w:rPr>
          <w:rFonts w:hint="eastAsia"/>
          <w:lang w:eastAsia="zh-CN"/>
        </w:rPr>
        <w:t xml:space="preserve"> </w:t>
      </w:r>
      <w:r>
        <w:rPr>
          <w:rFonts w:hint="eastAsia"/>
          <w:lang w:eastAsia="zh-CN"/>
        </w:rPr>
        <w:t>observable labels and the corrected participant restriction are shared across A0, A2, no-age and the risk reference systems; metrics are macro-averaged across estimable sex-disease-horizon-age strata.</w:t>
      </w:r>
    </w:p>
    <w:p w14:paraId="58187ACB" w14:textId="02558800" w:rsidR="00BC132A" w:rsidRDefault="0088781B">
      <w:r w:rsidRPr="00F41F66">
        <w:t xml:space="preserve">Death </w:t>
      </w:r>
      <w:r>
        <w:rPr>
          <w:rFonts w:hint="eastAsia"/>
          <w:lang w:eastAsia="zh-CN"/>
        </w:rPr>
        <w:t>is</w:t>
      </w:r>
      <w:r w:rsidRPr="00F41F66">
        <w:t xml:space="preserve"> additionally examined as a secondary case because it </w:t>
      </w:r>
      <w:r>
        <w:rPr>
          <w:rFonts w:hint="eastAsia"/>
          <w:lang w:eastAsia="zh-CN"/>
        </w:rPr>
        <w:t>serve</w:t>
      </w:r>
      <w:r w:rsidRPr="00F41F66">
        <w:t>s both as a clinical event and as a trajectory</w:t>
      </w:r>
      <w:r>
        <w:rPr>
          <w:rFonts w:hint="eastAsia"/>
          <w:lang w:eastAsia="zh-CN"/>
        </w:rPr>
        <w:t xml:space="preserve"> </w:t>
      </w:r>
      <w:r w:rsidRPr="00F41F66">
        <w:t>termination state. Rollout death frequency, death</w:t>
      </w:r>
      <w:r>
        <w:rPr>
          <w:rFonts w:hint="eastAsia"/>
          <w:lang w:eastAsia="zh-CN"/>
        </w:rPr>
        <w:t xml:space="preserve"> </w:t>
      </w:r>
      <w:r w:rsidRPr="00F41F66">
        <w:t>token ablation, and an independently trained outcome</w:t>
      </w:r>
      <w:r>
        <w:rPr>
          <w:rFonts w:hint="eastAsia"/>
          <w:lang w:eastAsia="zh-CN"/>
        </w:rPr>
        <w:t xml:space="preserve"> </w:t>
      </w:r>
      <w:r w:rsidRPr="00F41F66">
        <w:t>observable mortality head were used to distinguish event generation, sequence termination, and calibrated clinical risk</w:t>
      </w:r>
      <w:r>
        <w:rPr>
          <w:rFonts w:hint="eastAsia"/>
          <w:lang w:eastAsia="zh-CN"/>
        </w:rPr>
        <w:t>,</w:t>
      </w:r>
      <w:r w:rsidRPr="00F41F66">
        <w:t xml:space="preserve"> </w:t>
      </w:r>
      <w:r>
        <w:rPr>
          <w:rFonts w:hint="eastAsia"/>
          <w:lang w:eastAsia="zh-CN"/>
        </w:rPr>
        <w:t>shown in Supplementary S2.</w:t>
      </w:r>
    </w:p>
    <w:p w14:paraId="3E2BAF43" w14:textId="5B375030" w:rsidR="00BC132A" w:rsidRDefault="00000000">
      <w:pPr>
        <w:rPr>
          <w:color w:val="000000"/>
        </w:rPr>
      </w:pPr>
      <w:r>
        <w:rPr>
          <w:color w:val="000000"/>
        </w:rPr>
        <w:t>Expanded MIMIC-IV models use completed admissions at discharge pseudo</w:t>
      </w:r>
      <w:r w:rsidR="000F2C89">
        <w:rPr>
          <w:rFonts w:hint="eastAsia"/>
          <w:color w:val="000000"/>
          <w:lang w:eastAsia="zh-CN"/>
        </w:rPr>
        <w:t xml:space="preserve"> </w:t>
      </w:r>
      <w:r>
        <w:rPr>
          <w:color w:val="000000"/>
        </w:rPr>
        <w:t>age, an availability proxy rather than onset. A is principal diagnosis, B a diagnosis-procedure joint token, and C a first</w:t>
      </w:r>
      <w:r w:rsidR="000F2C89">
        <w:rPr>
          <w:rFonts w:hint="eastAsia"/>
          <w:color w:val="000000"/>
          <w:lang w:eastAsia="zh-CN"/>
        </w:rPr>
        <w:t xml:space="preserve"> </w:t>
      </w:r>
      <w:r>
        <w:rPr>
          <w:color w:val="000000"/>
        </w:rPr>
        <w:t>two</w:t>
      </w:r>
      <w:r w:rsidR="000F2C89">
        <w:rPr>
          <w:rFonts w:hint="eastAsia"/>
          <w:color w:val="000000"/>
          <w:lang w:eastAsia="zh-CN"/>
        </w:rPr>
        <w:t xml:space="preserve"> </w:t>
      </w:r>
      <w:r>
        <w:rPr>
          <w:color w:val="000000"/>
        </w:rPr>
        <w:t xml:space="preserve">code composite. </w:t>
      </w:r>
      <w:r w:rsidR="008D49A2">
        <w:rPr>
          <w:rFonts w:hint="eastAsia"/>
          <w:color w:val="000000"/>
          <w:lang w:eastAsia="zh-CN"/>
        </w:rPr>
        <w:t>T</w:t>
      </w:r>
      <w:r>
        <w:rPr>
          <w:color w:val="000000"/>
        </w:rPr>
        <w:t xml:space="preserve">raining </w:t>
      </w:r>
      <w:r w:rsidR="008D49A2">
        <w:rPr>
          <w:rFonts w:hint="eastAsia"/>
          <w:color w:val="000000"/>
          <w:lang w:eastAsia="zh-CN"/>
        </w:rPr>
        <w:t xml:space="preserve">from scratch </w:t>
      </w:r>
      <w:r>
        <w:rPr>
          <w:color w:val="000000"/>
        </w:rPr>
        <w:t>uses 100k supervised updates</w:t>
      </w:r>
      <w:r w:rsidR="008D49A2">
        <w:rPr>
          <w:rFonts w:hint="eastAsia"/>
          <w:color w:val="000000"/>
          <w:lang w:eastAsia="zh-CN"/>
        </w:rPr>
        <w:t>,</w:t>
      </w:r>
      <w:r>
        <w:rPr>
          <w:color w:val="000000"/>
        </w:rPr>
        <w:t xml:space="preserve"> </w:t>
      </w:r>
      <w:r w:rsidR="008D49A2">
        <w:rPr>
          <w:rFonts w:hint="eastAsia"/>
          <w:color w:val="000000"/>
          <w:lang w:eastAsia="zh-CN"/>
        </w:rPr>
        <w:t xml:space="preserve">training from </w:t>
      </w:r>
      <w:r>
        <w:rPr>
          <w:color w:val="000000"/>
        </w:rPr>
        <w:t>UKB adaptation uses fixed last 10k checkpoints and three seeds. Rollouts use two records, 20 samples, 365.25 days and a 30-record cap in 2,000 common patients. Validation diagnosis baselines and training-defined gap strata reuse existing predictions</w:t>
      </w:r>
      <w:r w:rsidR="001E7C2B">
        <w:rPr>
          <w:rFonts w:hint="eastAsia"/>
          <w:color w:val="000000"/>
          <w:lang w:eastAsia="zh-CN"/>
        </w:rPr>
        <w:t xml:space="preserve">, </w:t>
      </w:r>
      <w:r>
        <w:rPr>
          <w:color w:val="000000"/>
        </w:rPr>
        <w:t>Supplementary S3-S6.</w:t>
      </w:r>
    </w:p>
    <w:p w14:paraId="2CEF7E4C" w14:textId="77777777" w:rsidR="00BC132A" w:rsidRDefault="00000000">
      <w:pPr>
        <w:rPr>
          <w:color w:val="000000"/>
          <w:lang w:eastAsia="zh-CN"/>
        </w:rPr>
      </w:pPr>
      <w:r>
        <w:rPr>
          <w:color w:val="000000"/>
          <w:lang w:eastAsia="zh-CN"/>
        </w:rPr>
        <w:t>Supplementary Table S4 contrasts dataset construction and evaluation. MIMIC-IV assesses adaptation of the framework, not direct external validation of UKB risk estimates.</w:t>
      </w:r>
    </w:p>
    <w:p w14:paraId="7ACD0518" w14:textId="77777777" w:rsidR="005D33F6" w:rsidRDefault="0068101C">
      <w:pPr>
        <w:pStyle w:val="3"/>
      </w:pPr>
      <w:bookmarkStart w:id="15" w:name="i.-statistical-analysis"/>
      <w:r>
        <w:rPr>
          <w:rFonts w:hint="eastAsia"/>
          <w:lang w:eastAsia="zh-CN"/>
        </w:rPr>
        <w:t>E</w:t>
      </w:r>
      <w:r w:rsidR="0031392E">
        <w:t>. Statistical analysis</w:t>
      </w:r>
    </w:p>
    <w:p w14:paraId="2649619B" w14:textId="691FDC49" w:rsidR="00BC132A" w:rsidRDefault="0011422D">
      <w:pPr>
        <w:rPr>
          <w:lang w:eastAsia="zh-CN"/>
        </w:rPr>
      </w:pPr>
      <w:r>
        <w:rPr>
          <w:rFonts w:hint="eastAsia"/>
          <w:lang w:eastAsia="zh-CN"/>
        </w:rPr>
        <w:t>In UKB, t</w:t>
      </w:r>
      <w:r>
        <w:t xml:space="preserve">he prespecified primary generation endpoint </w:t>
      </w:r>
      <w:r>
        <w:rPr>
          <w:rFonts w:hint="eastAsia"/>
          <w:lang w:eastAsia="zh-CN"/>
        </w:rPr>
        <w:t>i</w:t>
      </w:r>
      <w:r>
        <w:t>s Diagnosis Jaccard in the locked test. Patient</w:t>
      </w:r>
      <w:r>
        <w:rPr>
          <w:rFonts w:hint="eastAsia"/>
          <w:lang w:eastAsia="zh-CN"/>
        </w:rPr>
        <w:t xml:space="preserve"> </w:t>
      </w:r>
      <w:r>
        <w:t xml:space="preserve">level paired bootstrap resampling </w:t>
      </w:r>
      <w:r>
        <w:rPr>
          <w:rFonts w:hint="eastAsia"/>
          <w:lang w:eastAsia="zh-CN"/>
        </w:rPr>
        <w:t>keep</w:t>
      </w:r>
      <w:r>
        <w:t xml:space="preserve"> each participant's predictions together, with shared resamples across three trained seeds. </w:t>
      </w:r>
      <w:r>
        <w:rPr>
          <w:rFonts w:hint="eastAsia"/>
          <w:lang w:eastAsia="zh-CN"/>
        </w:rPr>
        <w:t>The l</w:t>
      </w:r>
      <w:r>
        <w:t>ocked generation and the prespecified clinical</w:t>
      </w:r>
      <w:r>
        <w:rPr>
          <w:rFonts w:hint="eastAsia"/>
          <w:lang w:eastAsia="zh-CN"/>
        </w:rPr>
        <w:t xml:space="preserve"> </w:t>
      </w:r>
      <w:r>
        <w:t xml:space="preserve">risk comparisons </w:t>
      </w:r>
      <w:r>
        <w:rPr>
          <w:rFonts w:hint="eastAsia"/>
          <w:lang w:eastAsia="zh-CN"/>
        </w:rPr>
        <w:t xml:space="preserve">each </w:t>
      </w:r>
      <w:r>
        <w:t xml:space="preserve">use 10,000 resamples and 95% confidence </w:t>
      </w:r>
      <w:r>
        <w:lastRenderedPageBreak/>
        <w:t>intervals.</w:t>
      </w:r>
      <w:r>
        <w:rPr>
          <w:rFonts w:hint="eastAsia"/>
          <w:lang w:eastAsia="zh-CN"/>
        </w:rPr>
        <w:t xml:space="preserve"> MIMIC uses 2,000 patient-paired draws; disease AUROC uses paired DeLong inference and a stated BH family. Follow-up comparisons are exploratory; intervals condition on fitted seeds. SD across three seeds is separate from patient uncertainty. Historical validation comparisons use their own Holm family</w:t>
      </w:r>
      <w:r w:rsidR="00803765">
        <w:rPr>
          <w:rFonts w:hint="eastAsia"/>
          <w:lang w:eastAsia="zh-CN"/>
        </w:rPr>
        <w:t xml:space="preserve">, shown in </w:t>
      </w:r>
      <w:r>
        <w:rPr>
          <w:rFonts w:hint="eastAsia"/>
          <w:lang w:eastAsia="zh-CN"/>
        </w:rPr>
        <w:t xml:space="preserve"> Supplementary S6.</w:t>
      </w:r>
    </w:p>
    <w:p w14:paraId="683242C2" w14:textId="77777777" w:rsidR="005D33F6" w:rsidRDefault="0031392E">
      <w:pPr>
        <w:pStyle w:val="2"/>
      </w:pPr>
      <w:bookmarkStart w:id="16" w:name="v.-results"/>
      <w:bookmarkEnd w:id="12"/>
      <w:bookmarkEnd w:id="15"/>
      <w:r>
        <w:t>V. RESULTS</w:t>
      </w:r>
    </w:p>
    <w:p w14:paraId="6B38094E" w14:textId="77777777" w:rsidR="00BC132A" w:rsidRDefault="00000000">
      <w:pPr>
        <w:pStyle w:val="3"/>
      </w:pPr>
      <w:r>
        <w:t>A. Multitype event representation in UKB</w:t>
      </w:r>
    </w:p>
    <w:p w14:paraId="5FC9E6B3" w14:textId="2C912117" w:rsidR="00BC132A" w:rsidRDefault="00000000">
      <w:pPr>
        <w:rPr>
          <w:color w:val="000000"/>
          <w:lang w:eastAsia="zh-CN"/>
        </w:rPr>
      </w:pPr>
      <w:r>
        <w:rPr>
          <w:color w:val="000000"/>
          <w:lang w:eastAsia="zh-CN"/>
        </w:rPr>
        <w:t>Expanding diagnosis-only histories with procedures increased Full Top10 from 0.2935 to 0.4832 and selected</w:t>
      </w:r>
      <w:r w:rsidR="0082498C">
        <w:rPr>
          <w:rFonts w:hint="eastAsia"/>
          <w:color w:val="000000"/>
          <w:lang w:eastAsia="zh-CN"/>
        </w:rPr>
        <w:t xml:space="preserve"> </w:t>
      </w:r>
      <w:r>
        <w:rPr>
          <w:color w:val="000000"/>
          <w:lang w:eastAsia="zh-CN"/>
        </w:rPr>
        <w:t>disease mean AUROC from 0.7274 to 0.7949; adding cancer/mortality records yielded 0.4891 and 0.7972 (Table I). These historical comparisons support the multitype representation, but also change eligibility and targets. The fixed-target MIMIC procedure analysis provides a complementary input-only contrast, with a small content gain and endpoint-specific tradeoffs.</w:t>
      </w:r>
    </w:p>
    <w:p w14:paraId="5FA45A7C" w14:textId="77777777" w:rsidR="00BC132A" w:rsidRDefault="00000000">
      <w:pPr>
        <w:keepNext/>
        <w:spacing w:before="80" w:after="60"/>
        <w:jc w:val="center"/>
        <w:rPr>
          <w:color w:val="000000"/>
          <w:lang w:eastAsia="zh-CN"/>
        </w:rPr>
      </w:pPr>
      <w:r>
        <w:rPr>
          <w:color w:val="000000"/>
          <w:sz w:val="18"/>
          <w:lang w:eastAsia="zh-CN"/>
        </w:rPr>
        <w:t>TABLE I. Progressive event-space expansion</w:t>
      </w:r>
    </w:p>
    <w:tbl>
      <w:tblPr>
        <w:tblW w:w="4824" w:type="dxa"/>
        <w:tblBorders>
          <w:top w:val="single" w:sz="12" w:space="0" w:color="000000" w:themeColor="text1"/>
          <w:bottom w:val="single" w:sz="12" w:space="0" w:color="000000" w:themeColor="text1"/>
        </w:tblBorders>
        <w:tblLayout w:type="fixed"/>
        <w:tblCellMar>
          <w:top w:w="50" w:type="dxa"/>
          <w:left w:w="50" w:type="dxa"/>
          <w:bottom w:w="50" w:type="dxa"/>
          <w:right w:w="50" w:type="dxa"/>
        </w:tblCellMar>
        <w:tblLook w:val="0020" w:firstRow="1" w:lastRow="0" w:firstColumn="0" w:lastColumn="0" w:noHBand="0" w:noVBand="0"/>
        <w:tblCaption w:val="Table 5. Progressive expansion of the dynamic event space."/>
      </w:tblPr>
      <w:tblGrid>
        <w:gridCol w:w="1843"/>
        <w:gridCol w:w="997"/>
        <w:gridCol w:w="739"/>
        <w:gridCol w:w="1245"/>
      </w:tblGrid>
      <w:tr w:rsidR="005D33F6" w14:paraId="3D17C70C" w14:textId="77777777" w:rsidTr="0013296E">
        <w:trPr>
          <w:cantSplit/>
          <w:tblHeader/>
        </w:trPr>
        <w:tc>
          <w:tcPr>
            <w:tcW w:w="1843" w:type="dxa"/>
            <w:tcBorders>
              <w:top w:val="single" w:sz="12" w:space="0" w:color="000000" w:themeColor="text1"/>
              <w:bottom w:val="single" w:sz="12" w:space="0" w:color="000000" w:themeColor="text1"/>
            </w:tcBorders>
          </w:tcPr>
          <w:p w14:paraId="3F3031BF" w14:textId="77777777" w:rsidR="005D33F6" w:rsidRDefault="0031392E">
            <w:r>
              <w:t>Model</w:t>
            </w:r>
          </w:p>
        </w:tc>
        <w:tc>
          <w:tcPr>
            <w:tcW w:w="997" w:type="dxa"/>
            <w:tcBorders>
              <w:top w:val="single" w:sz="12" w:space="0" w:color="000000" w:themeColor="text1"/>
              <w:bottom w:val="single" w:sz="12" w:space="0" w:color="000000" w:themeColor="text1"/>
            </w:tcBorders>
          </w:tcPr>
          <w:p w14:paraId="36F1390A" w14:textId="10AA0D0B" w:rsidR="005D33F6" w:rsidRDefault="006A47BB">
            <w:pPr>
              <w:rPr>
                <w:lang w:eastAsia="zh-CN"/>
              </w:rPr>
            </w:pPr>
            <w:r>
              <w:rPr>
                <w:rFonts w:hint="eastAsia"/>
                <w:lang w:eastAsia="zh-CN"/>
              </w:rPr>
              <w:t>Diagnosis Top@10</w:t>
            </w:r>
          </w:p>
        </w:tc>
        <w:tc>
          <w:tcPr>
            <w:tcW w:w="739" w:type="dxa"/>
            <w:tcBorders>
              <w:top w:val="single" w:sz="12" w:space="0" w:color="000000" w:themeColor="text1"/>
              <w:bottom w:val="single" w:sz="12" w:space="0" w:color="000000" w:themeColor="text1"/>
            </w:tcBorders>
          </w:tcPr>
          <w:p w14:paraId="5F260780" w14:textId="77777777" w:rsidR="005D33F6" w:rsidRDefault="0031392E">
            <w:r>
              <w:t>Full Top10</w:t>
            </w:r>
          </w:p>
        </w:tc>
        <w:tc>
          <w:tcPr>
            <w:tcW w:w="1245" w:type="dxa"/>
            <w:tcBorders>
              <w:top w:val="single" w:sz="12" w:space="0" w:color="000000" w:themeColor="text1"/>
              <w:bottom w:val="single" w:sz="12" w:space="0" w:color="000000" w:themeColor="text1"/>
            </w:tcBorders>
          </w:tcPr>
          <w:p w14:paraId="50FAB5A8" w14:textId="5E1FAF92" w:rsidR="005D33F6" w:rsidRDefault="0031392E">
            <w:r>
              <w:t>disease mean AUROC</w:t>
            </w:r>
          </w:p>
        </w:tc>
      </w:tr>
      <w:tr w:rsidR="005D33F6" w14:paraId="3F54E27C" w14:textId="77777777" w:rsidTr="0013296E">
        <w:trPr>
          <w:cantSplit/>
        </w:trPr>
        <w:tc>
          <w:tcPr>
            <w:tcW w:w="1843" w:type="dxa"/>
            <w:tcBorders>
              <w:top w:val="single" w:sz="12" w:space="0" w:color="000000" w:themeColor="text1"/>
            </w:tcBorders>
          </w:tcPr>
          <w:p w14:paraId="543BE91B" w14:textId="715FC6FC" w:rsidR="005D33F6" w:rsidRDefault="0031392E">
            <w:r>
              <w:t>Disease</w:t>
            </w:r>
            <w:r w:rsidR="002967D1">
              <w:rPr>
                <w:rFonts w:hint="eastAsia"/>
                <w:lang w:eastAsia="zh-CN"/>
              </w:rPr>
              <w:t xml:space="preserve"> </w:t>
            </w:r>
            <w:r>
              <w:t>only</w:t>
            </w:r>
          </w:p>
        </w:tc>
        <w:tc>
          <w:tcPr>
            <w:tcW w:w="997" w:type="dxa"/>
            <w:tcBorders>
              <w:top w:val="single" w:sz="12" w:space="0" w:color="000000" w:themeColor="text1"/>
            </w:tcBorders>
          </w:tcPr>
          <w:p w14:paraId="196A912B" w14:textId="354BCE9E" w:rsidR="005D33F6" w:rsidRDefault="006A47BB">
            <w:pPr>
              <w:rPr>
                <w:lang w:eastAsia="zh-CN"/>
              </w:rPr>
            </w:pPr>
            <w:r>
              <w:rPr>
                <w:rFonts w:hint="eastAsia"/>
                <w:lang w:eastAsia="zh-CN"/>
              </w:rPr>
              <w:t>0.2935</w:t>
            </w:r>
          </w:p>
        </w:tc>
        <w:tc>
          <w:tcPr>
            <w:tcW w:w="739" w:type="dxa"/>
            <w:tcBorders>
              <w:top w:val="single" w:sz="12" w:space="0" w:color="000000" w:themeColor="text1"/>
            </w:tcBorders>
          </w:tcPr>
          <w:p w14:paraId="284FE8BA" w14:textId="77777777" w:rsidR="005D33F6" w:rsidRDefault="0031392E">
            <w:r>
              <w:t>0.2935</w:t>
            </w:r>
          </w:p>
        </w:tc>
        <w:tc>
          <w:tcPr>
            <w:tcW w:w="1245" w:type="dxa"/>
            <w:tcBorders>
              <w:top w:val="single" w:sz="12" w:space="0" w:color="000000" w:themeColor="text1"/>
            </w:tcBorders>
          </w:tcPr>
          <w:p w14:paraId="1C9FF3B3" w14:textId="77777777" w:rsidR="005D33F6" w:rsidRDefault="0031392E">
            <w:r>
              <w:t>0.7274</w:t>
            </w:r>
          </w:p>
        </w:tc>
      </w:tr>
      <w:tr w:rsidR="005D33F6" w14:paraId="64501F3B" w14:textId="77777777" w:rsidTr="0013296E">
        <w:trPr>
          <w:cantSplit/>
        </w:trPr>
        <w:tc>
          <w:tcPr>
            <w:tcW w:w="1843" w:type="dxa"/>
          </w:tcPr>
          <w:p w14:paraId="36817B53" w14:textId="62E35C4A" w:rsidR="005D33F6" w:rsidRDefault="0031392E">
            <w:pPr>
              <w:rPr>
                <w:lang w:eastAsia="zh-CN"/>
              </w:rPr>
            </w:pPr>
            <w:r>
              <w:t>+ procedur</w:t>
            </w:r>
            <w:r w:rsidR="006A47BB">
              <w:rPr>
                <w:rFonts w:hint="eastAsia"/>
                <w:lang w:eastAsia="zh-CN"/>
              </w:rPr>
              <w:t>es</w:t>
            </w:r>
          </w:p>
        </w:tc>
        <w:tc>
          <w:tcPr>
            <w:tcW w:w="997" w:type="dxa"/>
          </w:tcPr>
          <w:p w14:paraId="2064F58C" w14:textId="09D2269B" w:rsidR="005D33F6" w:rsidRDefault="006A47BB">
            <w:pPr>
              <w:rPr>
                <w:lang w:eastAsia="zh-CN"/>
              </w:rPr>
            </w:pPr>
            <w:r>
              <w:rPr>
                <w:rFonts w:hint="eastAsia"/>
                <w:lang w:eastAsia="zh-CN"/>
              </w:rPr>
              <w:t>0.5527</w:t>
            </w:r>
          </w:p>
        </w:tc>
        <w:tc>
          <w:tcPr>
            <w:tcW w:w="739" w:type="dxa"/>
          </w:tcPr>
          <w:p w14:paraId="5C2CBFE5" w14:textId="77777777" w:rsidR="005D33F6" w:rsidRDefault="0031392E">
            <w:r>
              <w:t>0.4832</w:t>
            </w:r>
          </w:p>
        </w:tc>
        <w:tc>
          <w:tcPr>
            <w:tcW w:w="1245" w:type="dxa"/>
          </w:tcPr>
          <w:p w14:paraId="3BCA8B55" w14:textId="77777777" w:rsidR="005D33F6" w:rsidRDefault="0031392E">
            <w:r>
              <w:t>0.7949</w:t>
            </w:r>
          </w:p>
        </w:tc>
      </w:tr>
      <w:tr w:rsidR="005D33F6" w14:paraId="713E6177" w14:textId="77777777" w:rsidTr="0013296E">
        <w:trPr>
          <w:cantSplit/>
        </w:trPr>
        <w:tc>
          <w:tcPr>
            <w:tcW w:w="1843" w:type="dxa"/>
          </w:tcPr>
          <w:p w14:paraId="70CB1517" w14:textId="77777777" w:rsidR="005D33F6" w:rsidRDefault="0031392E">
            <w:r>
              <w:t>+ cancer/death</w:t>
            </w:r>
          </w:p>
        </w:tc>
        <w:tc>
          <w:tcPr>
            <w:tcW w:w="997" w:type="dxa"/>
          </w:tcPr>
          <w:p w14:paraId="39F4FA75" w14:textId="6BA8E119" w:rsidR="005D33F6" w:rsidRDefault="006A47BB">
            <w:pPr>
              <w:rPr>
                <w:lang w:eastAsia="zh-CN"/>
              </w:rPr>
            </w:pPr>
            <w:r>
              <w:rPr>
                <w:rFonts w:hint="eastAsia"/>
                <w:lang w:eastAsia="zh-CN"/>
              </w:rPr>
              <w:t>0.5601</w:t>
            </w:r>
          </w:p>
        </w:tc>
        <w:tc>
          <w:tcPr>
            <w:tcW w:w="739" w:type="dxa"/>
          </w:tcPr>
          <w:p w14:paraId="063931F3" w14:textId="77777777" w:rsidR="005D33F6" w:rsidRDefault="0031392E">
            <w:r>
              <w:t>0.4891</w:t>
            </w:r>
          </w:p>
        </w:tc>
        <w:tc>
          <w:tcPr>
            <w:tcW w:w="1245" w:type="dxa"/>
          </w:tcPr>
          <w:p w14:paraId="5B3DE9C7" w14:textId="77777777" w:rsidR="005D33F6" w:rsidRDefault="0031392E">
            <w:r>
              <w:t>0.7972</w:t>
            </w:r>
          </w:p>
        </w:tc>
      </w:tr>
    </w:tbl>
    <w:p w14:paraId="012DFAD6" w14:textId="2720C775" w:rsidR="00BC132A" w:rsidRDefault="00000000">
      <w:pPr>
        <w:pStyle w:val="3"/>
      </w:pPr>
      <w:r>
        <w:t xml:space="preserve">B. </w:t>
      </w:r>
      <w:r w:rsidR="00173CEA">
        <w:rPr>
          <w:rFonts w:hint="eastAsia"/>
          <w:lang w:eastAsia="zh-CN"/>
        </w:rPr>
        <w:t>Next diagnosis prediction and trajectory generation</w:t>
      </w:r>
    </w:p>
    <w:p w14:paraId="10C849BD" w14:textId="68CACD02" w:rsidR="00173CEA" w:rsidRDefault="00173CEA" w:rsidP="00173CEA">
      <w:pPr>
        <w:rPr>
          <w:color w:val="000000"/>
          <w:lang w:eastAsia="zh-CN"/>
        </w:rPr>
      </w:pPr>
      <w:r>
        <w:rPr>
          <w:rFonts w:hint="eastAsia"/>
          <w:color w:val="000000"/>
          <w:lang w:eastAsia="zh-CN"/>
        </w:rPr>
        <w:t>In the diagnosis-only next-diagnosis task (N = 1,534), our model</w:t>
      </w:r>
      <w:r>
        <w:rPr>
          <w:color w:val="000000"/>
          <w:lang w:eastAsia="zh-CN"/>
        </w:rPr>
        <w:t xml:space="preserve"> achieved Hit@10 of 54.04%/54.11%, compared with 14.80%-29.07% across the seven comparators (Table II). Both exceeded every comparator under the Holm-adjusted paired tests (Supplementary Table S13f). Against BERT, the strongest external Hit@10 mean, </w:t>
      </w:r>
      <w:r w:rsidR="00AF510D">
        <w:rPr>
          <w:rFonts w:hint="eastAsia"/>
          <w:color w:val="000000"/>
          <w:lang w:eastAsia="zh-CN"/>
        </w:rPr>
        <w:t>our model with relative time module</w:t>
      </w:r>
      <w:r>
        <w:rPr>
          <w:color w:val="000000"/>
          <w:lang w:eastAsia="zh-CN"/>
        </w:rPr>
        <w:t xml:space="preserve"> improved by 25.03 percentage points. </w:t>
      </w:r>
    </w:p>
    <w:p w14:paraId="5BFC86BB" w14:textId="6F4941D5" w:rsidR="00173CEA" w:rsidRDefault="00173CEA" w:rsidP="00173CEA">
      <w:pPr>
        <w:rPr>
          <w:color w:val="000000"/>
          <w:lang w:eastAsia="zh-CN"/>
        </w:rPr>
      </w:pPr>
      <w:r>
        <w:rPr>
          <w:color w:val="000000"/>
          <w:lang w:eastAsia="zh-CN"/>
        </w:rPr>
        <w:t xml:space="preserve">In free generation, </w:t>
      </w:r>
      <w:r w:rsidR="00AF510D">
        <w:rPr>
          <w:rFonts w:hint="eastAsia"/>
          <w:color w:val="000000"/>
          <w:lang w:eastAsia="zh-CN"/>
        </w:rPr>
        <w:t>MedTrajectory</w:t>
      </w:r>
      <w:r>
        <w:rPr>
          <w:color w:val="000000"/>
          <w:lang w:eastAsia="zh-CN"/>
        </w:rPr>
        <w:t xml:space="preserve"> had the highest precision</w:t>
      </w:r>
      <w:r w:rsidR="00AF510D">
        <w:rPr>
          <w:rFonts w:hint="eastAsia"/>
          <w:color w:val="000000"/>
          <w:lang w:eastAsia="zh-CN"/>
        </w:rPr>
        <w:t>,</w:t>
      </w:r>
      <w:r>
        <w:rPr>
          <w:color w:val="000000"/>
          <w:lang w:eastAsia="zh-CN"/>
        </w:rPr>
        <w:t xml:space="preserve"> lowest count MAE and normalized edit distance, </w:t>
      </w:r>
      <w:r w:rsidR="00AF510D">
        <w:rPr>
          <w:rFonts w:hint="eastAsia"/>
          <w:color w:val="000000"/>
          <w:lang w:eastAsia="zh-CN"/>
        </w:rPr>
        <w:t>while</w:t>
      </w:r>
      <w:r>
        <w:rPr>
          <w:color w:val="000000"/>
          <w:lang w:eastAsia="zh-CN"/>
        </w:rPr>
        <w:t xml:space="preserve"> Med-BERT had the highest Jaccard</w:t>
      </w:r>
      <w:r w:rsidR="00AF510D">
        <w:rPr>
          <w:rFonts w:hint="eastAsia"/>
          <w:color w:val="000000"/>
          <w:lang w:eastAsia="zh-CN"/>
        </w:rPr>
        <w:t>, shown in Table III</w:t>
      </w:r>
      <w:r>
        <w:rPr>
          <w:color w:val="000000"/>
          <w:lang w:eastAsia="zh-CN"/>
        </w:rPr>
        <w:t xml:space="preserve">. </w:t>
      </w:r>
      <w:r w:rsidR="00AF510D">
        <w:rPr>
          <w:rFonts w:hint="eastAsia"/>
          <w:color w:val="000000"/>
          <w:lang w:eastAsia="zh-CN"/>
        </w:rPr>
        <w:t>Additionally, Relative did not separate from Absolute in diagnosis-only Hit@10 (+0.065 points [-1.434, 1.565]; adjusted p = 1), whereas in the multitype-generation regime Relative improved Hit@10 by 3.21 points (Supplementary Table S2). Complete recall and length results accompany the paired comparisons in Supplementary Tables S13a-S13e and S2.</w:t>
      </w:r>
    </w:p>
    <w:p w14:paraId="3E9023D5" w14:textId="77777777" w:rsidR="00173CEA" w:rsidRDefault="00173CEA" w:rsidP="00173CEA">
      <w:pPr>
        <w:keepNext/>
        <w:spacing w:after="60"/>
        <w:jc w:val="center"/>
        <w:rPr>
          <w:color w:val="000000"/>
          <w:lang w:eastAsia="zh-CN"/>
        </w:rPr>
      </w:pPr>
      <w:r>
        <w:rPr>
          <w:rFonts w:hint="eastAsia"/>
          <w:color w:val="000000"/>
          <w:sz w:val="18"/>
          <w:lang w:eastAsia="zh-CN"/>
        </w:rPr>
        <w:t>TABLE II. UKB next-diagnosis prediction (diagnosis-only candidate space)</w:t>
      </w:r>
    </w:p>
    <w:tbl>
      <w:tblPr>
        <w:tblW w:w="4824" w:type="dxa"/>
        <w:tblLayout w:type="fixed"/>
        <w:tblCellMar>
          <w:top w:w="45" w:type="dxa"/>
          <w:left w:w="55" w:type="dxa"/>
          <w:bottom w:w="45" w:type="dxa"/>
          <w:right w:w="55" w:type="dxa"/>
        </w:tblCellMar>
        <w:tblLook w:val="04A0" w:firstRow="1" w:lastRow="0" w:firstColumn="1" w:lastColumn="0" w:noHBand="0" w:noVBand="1"/>
        <w:tblCaption w:val="Table II"/>
      </w:tblPr>
      <w:tblGrid>
        <w:gridCol w:w="1400"/>
        <w:gridCol w:w="856"/>
        <w:gridCol w:w="856"/>
        <w:gridCol w:w="856"/>
        <w:gridCol w:w="856"/>
      </w:tblGrid>
      <w:tr w:rsidR="00173CEA" w14:paraId="67D9D505" w14:textId="77777777" w:rsidTr="00AE2D33">
        <w:trPr>
          <w:cantSplit/>
          <w:tblHeader/>
        </w:trPr>
        <w:tc>
          <w:tcPr>
            <w:tcW w:w="1400" w:type="dxa"/>
            <w:tcBorders>
              <w:top w:val="single" w:sz="12" w:space="0" w:color="auto"/>
              <w:bottom w:val="single" w:sz="12" w:space="0" w:color="auto"/>
            </w:tcBorders>
            <w:shd w:val="clear" w:color="auto" w:fill="E9EDF0"/>
            <w:vAlign w:val="center"/>
          </w:tcPr>
          <w:p w14:paraId="3ABB7746" w14:textId="77777777" w:rsidR="00173CEA" w:rsidRDefault="00173CEA" w:rsidP="00EA1421">
            <w:pPr>
              <w:keepNext/>
              <w:spacing w:line="220" w:lineRule="auto"/>
            </w:pPr>
            <w:r>
              <w:rPr>
                <w:b/>
                <w:color w:val="000000"/>
                <w:sz w:val="17"/>
              </w:rPr>
              <w:t>Method</w:t>
            </w:r>
          </w:p>
        </w:tc>
        <w:tc>
          <w:tcPr>
            <w:tcW w:w="856" w:type="dxa"/>
            <w:tcBorders>
              <w:top w:val="single" w:sz="12" w:space="0" w:color="auto"/>
              <w:bottom w:val="single" w:sz="12" w:space="0" w:color="auto"/>
            </w:tcBorders>
            <w:shd w:val="clear" w:color="auto" w:fill="E9EDF0"/>
            <w:vAlign w:val="center"/>
          </w:tcPr>
          <w:p w14:paraId="44DB8A8D" w14:textId="497CDEA4" w:rsidR="00173CEA" w:rsidRDefault="00173CEA" w:rsidP="00EA1421">
            <w:pPr>
              <w:keepNext/>
              <w:spacing w:line="220" w:lineRule="auto"/>
              <w:jc w:val="center"/>
            </w:pPr>
            <w:r>
              <w:rPr>
                <w:b/>
                <w:color w:val="000000"/>
                <w:sz w:val="17"/>
              </w:rPr>
              <w:t>Hit@1</w:t>
            </w:r>
            <w:r>
              <w:rPr>
                <w:b/>
                <w:color w:val="000000"/>
                <w:sz w:val="17"/>
              </w:rPr>
              <w:br/>
              <w:t>(%)</w:t>
            </w:r>
            <w:r w:rsidR="00501EDC">
              <w:rPr>
                <w:rFonts w:ascii="Microsoft JhengHei" w:eastAsia="Microsoft JhengHei" w:hAnsi="Microsoft JhengHei" w:hint="eastAsia"/>
                <w:b/>
                <w:color w:val="000000"/>
                <w:sz w:val="16"/>
                <w:lang w:eastAsia="zh-CN"/>
              </w:rPr>
              <w:t>↑</w:t>
            </w:r>
          </w:p>
        </w:tc>
        <w:tc>
          <w:tcPr>
            <w:tcW w:w="856" w:type="dxa"/>
            <w:tcBorders>
              <w:top w:val="single" w:sz="12" w:space="0" w:color="auto"/>
              <w:bottom w:val="single" w:sz="12" w:space="0" w:color="auto"/>
            </w:tcBorders>
            <w:shd w:val="clear" w:color="auto" w:fill="E9EDF0"/>
            <w:vAlign w:val="center"/>
          </w:tcPr>
          <w:p w14:paraId="355F200F" w14:textId="567609C0" w:rsidR="00173CEA" w:rsidRDefault="00173CEA" w:rsidP="00EA1421">
            <w:pPr>
              <w:keepNext/>
              <w:spacing w:line="220" w:lineRule="auto"/>
              <w:jc w:val="center"/>
            </w:pPr>
            <w:r>
              <w:rPr>
                <w:b/>
                <w:color w:val="000000"/>
                <w:sz w:val="17"/>
              </w:rPr>
              <w:t>Hit@5</w:t>
            </w:r>
            <w:r>
              <w:rPr>
                <w:b/>
                <w:color w:val="000000"/>
                <w:sz w:val="17"/>
              </w:rPr>
              <w:br/>
              <w:t>(%)</w:t>
            </w:r>
            <w:r w:rsidR="00501EDC">
              <w:rPr>
                <w:rFonts w:ascii="Microsoft JhengHei" w:eastAsia="Microsoft JhengHei" w:hAnsi="Microsoft JhengHei" w:hint="eastAsia"/>
                <w:b/>
                <w:color w:val="000000"/>
                <w:sz w:val="16"/>
                <w:lang w:eastAsia="zh-CN"/>
              </w:rPr>
              <w:t>↑</w:t>
            </w:r>
          </w:p>
        </w:tc>
        <w:tc>
          <w:tcPr>
            <w:tcW w:w="856" w:type="dxa"/>
            <w:tcBorders>
              <w:top w:val="single" w:sz="12" w:space="0" w:color="auto"/>
              <w:bottom w:val="single" w:sz="12" w:space="0" w:color="auto"/>
            </w:tcBorders>
            <w:shd w:val="clear" w:color="auto" w:fill="E9EDF0"/>
            <w:vAlign w:val="center"/>
          </w:tcPr>
          <w:p w14:paraId="1D5DBB50" w14:textId="0960F23B" w:rsidR="00173CEA" w:rsidRDefault="00173CEA" w:rsidP="00EA1421">
            <w:pPr>
              <w:keepNext/>
              <w:spacing w:line="220" w:lineRule="auto"/>
              <w:jc w:val="center"/>
            </w:pPr>
            <w:r>
              <w:rPr>
                <w:b/>
                <w:color w:val="000000"/>
                <w:sz w:val="17"/>
              </w:rPr>
              <w:t>Hit@10</w:t>
            </w:r>
            <w:r>
              <w:rPr>
                <w:b/>
                <w:color w:val="000000"/>
                <w:sz w:val="17"/>
              </w:rPr>
              <w:br/>
              <w:t>(%)</w:t>
            </w:r>
            <w:r w:rsidR="00501EDC">
              <w:rPr>
                <w:rFonts w:ascii="Microsoft JhengHei" w:eastAsia="Microsoft JhengHei" w:hAnsi="Microsoft JhengHei" w:hint="eastAsia"/>
                <w:b/>
                <w:color w:val="000000"/>
                <w:sz w:val="16"/>
                <w:lang w:eastAsia="zh-CN"/>
              </w:rPr>
              <w:t>↑</w:t>
            </w:r>
          </w:p>
        </w:tc>
        <w:tc>
          <w:tcPr>
            <w:tcW w:w="856" w:type="dxa"/>
            <w:tcBorders>
              <w:top w:val="single" w:sz="12" w:space="0" w:color="auto"/>
              <w:bottom w:val="single" w:sz="12" w:space="0" w:color="auto"/>
            </w:tcBorders>
            <w:shd w:val="clear" w:color="auto" w:fill="E9EDF0"/>
            <w:vAlign w:val="center"/>
          </w:tcPr>
          <w:p w14:paraId="2FE7BA10" w14:textId="67396EFD" w:rsidR="00173CEA" w:rsidRDefault="00173CEA" w:rsidP="00EA1421">
            <w:pPr>
              <w:keepNext/>
              <w:spacing w:line="220" w:lineRule="auto"/>
              <w:jc w:val="center"/>
            </w:pPr>
            <w:r>
              <w:rPr>
                <w:b/>
                <w:color w:val="000000"/>
                <w:sz w:val="17"/>
              </w:rPr>
              <w:t>MRR</w:t>
            </w:r>
            <w:r w:rsidR="00501EDC">
              <w:rPr>
                <w:rFonts w:ascii="Microsoft JhengHei" w:eastAsia="Microsoft JhengHei" w:hAnsi="Microsoft JhengHei" w:hint="eastAsia"/>
                <w:b/>
                <w:color w:val="000000"/>
                <w:sz w:val="16"/>
                <w:lang w:eastAsia="zh-CN"/>
              </w:rPr>
              <w:t>↑</w:t>
            </w:r>
          </w:p>
        </w:tc>
      </w:tr>
      <w:tr w:rsidR="00173CEA" w14:paraId="527704F8" w14:textId="77777777" w:rsidTr="00AE2D33">
        <w:trPr>
          <w:cantSplit/>
        </w:trPr>
        <w:tc>
          <w:tcPr>
            <w:tcW w:w="1400" w:type="dxa"/>
            <w:tcBorders>
              <w:top w:val="single" w:sz="12" w:space="0" w:color="auto"/>
            </w:tcBorders>
            <w:vAlign w:val="center"/>
          </w:tcPr>
          <w:p w14:paraId="5AC24EA5" w14:textId="2F249637" w:rsidR="00173CEA" w:rsidRDefault="00173CEA" w:rsidP="00EA1421">
            <w:pPr>
              <w:keepNext/>
              <w:spacing w:line="220" w:lineRule="auto"/>
              <w:rPr>
                <w:lang w:eastAsia="zh-CN"/>
              </w:rPr>
            </w:pPr>
            <w:r>
              <w:rPr>
                <w:rFonts w:hint="eastAsia"/>
                <w:color w:val="000000"/>
                <w:sz w:val="17"/>
                <w:lang w:eastAsia="zh-CN"/>
              </w:rPr>
              <w:t>Ours(</w:t>
            </w:r>
            <w:r>
              <w:rPr>
                <w:color w:val="000000"/>
                <w:sz w:val="17"/>
              </w:rPr>
              <w:t>Relative</w:t>
            </w:r>
            <w:r>
              <w:rPr>
                <w:rFonts w:hint="eastAsia"/>
                <w:color w:val="000000"/>
                <w:sz w:val="17"/>
                <w:lang w:eastAsia="zh-CN"/>
              </w:rPr>
              <w:t>)</w:t>
            </w:r>
          </w:p>
        </w:tc>
        <w:tc>
          <w:tcPr>
            <w:tcW w:w="856" w:type="dxa"/>
            <w:tcBorders>
              <w:top w:val="single" w:sz="12" w:space="0" w:color="auto"/>
            </w:tcBorders>
            <w:vAlign w:val="center"/>
          </w:tcPr>
          <w:p w14:paraId="6B4FEB6D" w14:textId="77777777" w:rsidR="00173CEA" w:rsidRDefault="00173CEA" w:rsidP="00EA1421">
            <w:pPr>
              <w:keepNext/>
              <w:spacing w:line="220" w:lineRule="auto"/>
              <w:jc w:val="center"/>
            </w:pPr>
            <w:r>
              <w:rPr>
                <w:b/>
                <w:color w:val="000000"/>
                <w:sz w:val="17"/>
              </w:rPr>
              <w:t>23.53</w:t>
            </w:r>
          </w:p>
        </w:tc>
        <w:tc>
          <w:tcPr>
            <w:tcW w:w="856" w:type="dxa"/>
            <w:tcBorders>
              <w:top w:val="single" w:sz="12" w:space="0" w:color="auto"/>
            </w:tcBorders>
            <w:vAlign w:val="center"/>
          </w:tcPr>
          <w:p w14:paraId="7407AC7B" w14:textId="77777777" w:rsidR="00173CEA" w:rsidRDefault="00173CEA" w:rsidP="00EA1421">
            <w:pPr>
              <w:keepNext/>
              <w:spacing w:line="220" w:lineRule="auto"/>
              <w:jc w:val="center"/>
            </w:pPr>
            <w:r>
              <w:rPr>
                <w:b/>
                <w:color w:val="000000"/>
                <w:sz w:val="17"/>
              </w:rPr>
              <w:t>45.31</w:t>
            </w:r>
          </w:p>
        </w:tc>
        <w:tc>
          <w:tcPr>
            <w:tcW w:w="856" w:type="dxa"/>
            <w:tcBorders>
              <w:top w:val="single" w:sz="12" w:space="0" w:color="auto"/>
            </w:tcBorders>
            <w:vAlign w:val="center"/>
          </w:tcPr>
          <w:p w14:paraId="6570DC7F" w14:textId="77777777" w:rsidR="00173CEA" w:rsidRDefault="00173CEA" w:rsidP="00EA1421">
            <w:pPr>
              <w:keepNext/>
              <w:spacing w:line="220" w:lineRule="auto"/>
              <w:jc w:val="center"/>
            </w:pPr>
            <w:r>
              <w:rPr>
                <w:b/>
                <w:color w:val="000000"/>
                <w:sz w:val="17"/>
              </w:rPr>
              <w:t>54.11</w:t>
            </w:r>
          </w:p>
        </w:tc>
        <w:tc>
          <w:tcPr>
            <w:tcW w:w="856" w:type="dxa"/>
            <w:tcBorders>
              <w:top w:val="single" w:sz="12" w:space="0" w:color="auto"/>
            </w:tcBorders>
            <w:vAlign w:val="center"/>
          </w:tcPr>
          <w:p w14:paraId="35C7F10B" w14:textId="77777777" w:rsidR="00173CEA" w:rsidRDefault="00173CEA" w:rsidP="00EA1421">
            <w:pPr>
              <w:keepNext/>
              <w:spacing w:line="220" w:lineRule="auto"/>
              <w:jc w:val="center"/>
            </w:pPr>
            <w:r>
              <w:rPr>
                <w:b/>
                <w:color w:val="000000"/>
                <w:sz w:val="17"/>
              </w:rPr>
              <w:t>0.3411</w:t>
            </w:r>
          </w:p>
        </w:tc>
      </w:tr>
      <w:tr w:rsidR="00173CEA" w14:paraId="25719208" w14:textId="77777777" w:rsidTr="00AE2D33">
        <w:trPr>
          <w:cantSplit/>
        </w:trPr>
        <w:tc>
          <w:tcPr>
            <w:tcW w:w="1400" w:type="dxa"/>
            <w:vAlign w:val="center"/>
          </w:tcPr>
          <w:p w14:paraId="224B9AEF" w14:textId="618F3BAF" w:rsidR="00173CEA" w:rsidRDefault="00173CEA" w:rsidP="00173CEA">
            <w:pPr>
              <w:keepNext/>
              <w:spacing w:line="220" w:lineRule="auto"/>
              <w:rPr>
                <w:color w:val="000000"/>
                <w:sz w:val="17"/>
                <w:lang w:eastAsia="zh-CN"/>
              </w:rPr>
            </w:pPr>
            <w:r>
              <w:rPr>
                <w:rFonts w:hint="eastAsia"/>
                <w:color w:val="000000"/>
                <w:sz w:val="17"/>
                <w:lang w:eastAsia="zh-CN"/>
              </w:rPr>
              <w:t>Ours(</w:t>
            </w:r>
            <w:r>
              <w:rPr>
                <w:color w:val="000000"/>
                <w:sz w:val="17"/>
              </w:rPr>
              <w:t>Absolute</w:t>
            </w:r>
            <w:r>
              <w:rPr>
                <w:rFonts w:hint="eastAsia"/>
                <w:color w:val="000000"/>
                <w:sz w:val="17"/>
                <w:lang w:eastAsia="zh-CN"/>
              </w:rPr>
              <w:t>)</w:t>
            </w:r>
          </w:p>
        </w:tc>
        <w:tc>
          <w:tcPr>
            <w:tcW w:w="856" w:type="dxa"/>
            <w:vAlign w:val="center"/>
          </w:tcPr>
          <w:p w14:paraId="49838330" w14:textId="0DC6DE36" w:rsidR="00173CEA" w:rsidRDefault="00173CEA" w:rsidP="00173CEA">
            <w:pPr>
              <w:keepNext/>
              <w:spacing w:line="220" w:lineRule="auto"/>
              <w:jc w:val="center"/>
              <w:rPr>
                <w:b/>
                <w:color w:val="000000"/>
                <w:sz w:val="17"/>
              </w:rPr>
            </w:pPr>
            <w:r>
              <w:rPr>
                <w:color w:val="000000"/>
                <w:sz w:val="17"/>
              </w:rPr>
              <w:t>23.01</w:t>
            </w:r>
          </w:p>
        </w:tc>
        <w:tc>
          <w:tcPr>
            <w:tcW w:w="856" w:type="dxa"/>
            <w:vAlign w:val="center"/>
          </w:tcPr>
          <w:p w14:paraId="554CA366" w14:textId="21477DD5" w:rsidR="00173CEA" w:rsidRDefault="00173CEA" w:rsidP="00173CEA">
            <w:pPr>
              <w:keepNext/>
              <w:spacing w:line="220" w:lineRule="auto"/>
              <w:jc w:val="center"/>
              <w:rPr>
                <w:b/>
                <w:color w:val="000000"/>
                <w:sz w:val="17"/>
              </w:rPr>
            </w:pPr>
            <w:r>
              <w:rPr>
                <w:color w:val="000000"/>
                <w:sz w:val="17"/>
              </w:rPr>
              <w:t>44.20</w:t>
            </w:r>
          </w:p>
        </w:tc>
        <w:tc>
          <w:tcPr>
            <w:tcW w:w="856" w:type="dxa"/>
            <w:vAlign w:val="center"/>
          </w:tcPr>
          <w:p w14:paraId="78256D86" w14:textId="4EB32168" w:rsidR="00173CEA" w:rsidRDefault="00173CEA" w:rsidP="00173CEA">
            <w:pPr>
              <w:keepNext/>
              <w:spacing w:line="220" w:lineRule="auto"/>
              <w:jc w:val="center"/>
              <w:rPr>
                <w:b/>
                <w:color w:val="000000"/>
                <w:sz w:val="17"/>
              </w:rPr>
            </w:pPr>
            <w:r>
              <w:rPr>
                <w:color w:val="000000"/>
                <w:sz w:val="17"/>
              </w:rPr>
              <w:t>54.04</w:t>
            </w:r>
          </w:p>
        </w:tc>
        <w:tc>
          <w:tcPr>
            <w:tcW w:w="856" w:type="dxa"/>
            <w:vAlign w:val="center"/>
          </w:tcPr>
          <w:p w14:paraId="4EE795FB" w14:textId="49156221" w:rsidR="00173CEA" w:rsidRDefault="00173CEA" w:rsidP="00173CEA">
            <w:pPr>
              <w:keepNext/>
              <w:spacing w:line="220" w:lineRule="auto"/>
              <w:jc w:val="center"/>
              <w:rPr>
                <w:b/>
                <w:color w:val="000000"/>
                <w:sz w:val="17"/>
              </w:rPr>
            </w:pPr>
            <w:r>
              <w:rPr>
                <w:color w:val="000000"/>
                <w:sz w:val="17"/>
              </w:rPr>
              <w:t>0.3336</w:t>
            </w:r>
          </w:p>
        </w:tc>
      </w:tr>
      <w:tr w:rsidR="00173CEA" w14:paraId="2D442524" w14:textId="77777777" w:rsidTr="00AE2D33">
        <w:trPr>
          <w:cantSplit/>
        </w:trPr>
        <w:tc>
          <w:tcPr>
            <w:tcW w:w="1400" w:type="dxa"/>
            <w:vAlign w:val="center"/>
          </w:tcPr>
          <w:p w14:paraId="3B066CFE" w14:textId="77777777" w:rsidR="00173CEA" w:rsidRDefault="00173CEA" w:rsidP="00EA1421">
            <w:pPr>
              <w:keepNext/>
              <w:spacing w:line="220" w:lineRule="auto"/>
            </w:pPr>
            <w:r>
              <w:rPr>
                <w:color w:val="000000"/>
                <w:sz w:val="17"/>
              </w:rPr>
              <w:t>Delphi</w:t>
            </w:r>
          </w:p>
        </w:tc>
        <w:tc>
          <w:tcPr>
            <w:tcW w:w="856" w:type="dxa"/>
            <w:vAlign w:val="center"/>
          </w:tcPr>
          <w:p w14:paraId="00903062" w14:textId="77777777" w:rsidR="00173CEA" w:rsidRDefault="00173CEA" w:rsidP="00EA1421">
            <w:pPr>
              <w:keepNext/>
              <w:spacing w:line="220" w:lineRule="auto"/>
              <w:jc w:val="center"/>
            </w:pPr>
            <w:r>
              <w:rPr>
                <w:color w:val="000000"/>
                <w:sz w:val="17"/>
              </w:rPr>
              <w:t>5.48</w:t>
            </w:r>
          </w:p>
        </w:tc>
        <w:tc>
          <w:tcPr>
            <w:tcW w:w="856" w:type="dxa"/>
            <w:vAlign w:val="center"/>
          </w:tcPr>
          <w:p w14:paraId="369CC67E" w14:textId="77777777" w:rsidR="00173CEA" w:rsidRDefault="00173CEA" w:rsidP="00EA1421">
            <w:pPr>
              <w:keepNext/>
              <w:spacing w:line="220" w:lineRule="auto"/>
              <w:jc w:val="center"/>
            </w:pPr>
            <w:r>
              <w:rPr>
                <w:color w:val="000000"/>
                <w:sz w:val="17"/>
              </w:rPr>
              <w:t>16.56</w:t>
            </w:r>
          </w:p>
        </w:tc>
        <w:tc>
          <w:tcPr>
            <w:tcW w:w="856" w:type="dxa"/>
            <w:vAlign w:val="center"/>
          </w:tcPr>
          <w:p w14:paraId="37778DAB" w14:textId="77777777" w:rsidR="00173CEA" w:rsidRDefault="00173CEA" w:rsidP="00EA1421">
            <w:pPr>
              <w:keepNext/>
              <w:spacing w:line="220" w:lineRule="auto"/>
              <w:jc w:val="center"/>
            </w:pPr>
            <w:r>
              <w:rPr>
                <w:color w:val="000000"/>
                <w:sz w:val="17"/>
              </w:rPr>
              <w:t>26.47</w:t>
            </w:r>
          </w:p>
        </w:tc>
        <w:tc>
          <w:tcPr>
            <w:tcW w:w="856" w:type="dxa"/>
            <w:vAlign w:val="center"/>
          </w:tcPr>
          <w:p w14:paraId="0082996A" w14:textId="77777777" w:rsidR="00173CEA" w:rsidRDefault="00173CEA" w:rsidP="00EA1421">
            <w:pPr>
              <w:keepNext/>
              <w:spacing w:line="220" w:lineRule="auto"/>
              <w:jc w:val="center"/>
            </w:pPr>
            <w:r>
              <w:rPr>
                <w:color w:val="000000"/>
                <w:sz w:val="17"/>
              </w:rPr>
              <w:t>0.1246</w:t>
            </w:r>
          </w:p>
        </w:tc>
      </w:tr>
      <w:tr w:rsidR="00173CEA" w14:paraId="187401E3" w14:textId="77777777" w:rsidTr="00AE2D33">
        <w:trPr>
          <w:cantSplit/>
        </w:trPr>
        <w:tc>
          <w:tcPr>
            <w:tcW w:w="1400" w:type="dxa"/>
            <w:vAlign w:val="center"/>
          </w:tcPr>
          <w:p w14:paraId="2A51A14F" w14:textId="77777777" w:rsidR="00173CEA" w:rsidRDefault="00173CEA" w:rsidP="00EA1421">
            <w:pPr>
              <w:keepNext/>
              <w:spacing w:line="220" w:lineRule="auto"/>
            </w:pPr>
            <w:r>
              <w:rPr>
                <w:color w:val="000000"/>
                <w:sz w:val="17"/>
              </w:rPr>
              <w:t>GPT</w:t>
            </w:r>
          </w:p>
        </w:tc>
        <w:tc>
          <w:tcPr>
            <w:tcW w:w="856" w:type="dxa"/>
            <w:vAlign w:val="center"/>
          </w:tcPr>
          <w:p w14:paraId="18A620C4" w14:textId="77777777" w:rsidR="00173CEA" w:rsidRDefault="00173CEA" w:rsidP="00EA1421">
            <w:pPr>
              <w:keepNext/>
              <w:spacing w:line="220" w:lineRule="auto"/>
              <w:jc w:val="center"/>
            </w:pPr>
            <w:r>
              <w:rPr>
                <w:color w:val="000000"/>
                <w:sz w:val="17"/>
              </w:rPr>
              <w:t>6.26</w:t>
            </w:r>
          </w:p>
        </w:tc>
        <w:tc>
          <w:tcPr>
            <w:tcW w:w="856" w:type="dxa"/>
            <w:vAlign w:val="center"/>
          </w:tcPr>
          <w:p w14:paraId="3843BEDB" w14:textId="77777777" w:rsidR="00173CEA" w:rsidRDefault="00173CEA" w:rsidP="00EA1421">
            <w:pPr>
              <w:keepNext/>
              <w:spacing w:line="220" w:lineRule="auto"/>
              <w:jc w:val="center"/>
            </w:pPr>
            <w:r>
              <w:rPr>
                <w:color w:val="000000"/>
                <w:sz w:val="17"/>
              </w:rPr>
              <w:t>18.77</w:t>
            </w:r>
          </w:p>
        </w:tc>
        <w:tc>
          <w:tcPr>
            <w:tcW w:w="856" w:type="dxa"/>
            <w:vAlign w:val="center"/>
          </w:tcPr>
          <w:p w14:paraId="19FDA9DF" w14:textId="77777777" w:rsidR="00173CEA" w:rsidRDefault="00173CEA" w:rsidP="00EA1421">
            <w:pPr>
              <w:keepNext/>
              <w:spacing w:line="220" w:lineRule="auto"/>
              <w:jc w:val="center"/>
            </w:pPr>
            <w:r>
              <w:rPr>
                <w:color w:val="000000"/>
                <w:sz w:val="17"/>
              </w:rPr>
              <w:t>27.97</w:t>
            </w:r>
          </w:p>
        </w:tc>
        <w:tc>
          <w:tcPr>
            <w:tcW w:w="856" w:type="dxa"/>
            <w:vAlign w:val="center"/>
          </w:tcPr>
          <w:p w14:paraId="336A84C3" w14:textId="77777777" w:rsidR="00173CEA" w:rsidRDefault="00173CEA" w:rsidP="00EA1421">
            <w:pPr>
              <w:keepNext/>
              <w:spacing w:line="220" w:lineRule="auto"/>
              <w:jc w:val="center"/>
            </w:pPr>
            <w:r>
              <w:rPr>
                <w:color w:val="000000"/>
                <w:sz w:val="17"/>
              </w:rPr>
              <w:t>0.1380</w:t>
            </w:r>
          </w:p>
        </w:tc>
      </w:tr>
      <w:tr w:rsidR="00173CEA" w14:paraId="333D7DA7" w14:textId="77777777" w:rsidTr="00AE2D33">
        <w:trPr>
          <w:cantSplit/>
        </w:trPr>
        <w:tc>
          <w:tcPr>
            <w:tcW w:w="1400" w:type="dxa"/>
            <w:vAlign w:val="center"/>
          </w:tcPr>
          <w:p w14:paraId="35791B29" w14:textId="77777777" w:rsidR="00173CEA" w:rsidRDefault="00173CEA" w:rsidP="00EA1421">
            <w:pPr>
              <w:keepNext/>
              <w:spacing w:line="220" w:lineRule="auto"/>
            </w:pPr>
            <w:r>
              <w:rPr>
                <w:color w:val="000000"/>
                <w:sz w:val="17"/>
              </w:rPr>
              <w:t>BERT</w:t>
            </w:r>
          </w:p>
        </w:tc>
        <w:tc>
          <w:tcPr>
            <w:tcW w:w="856" w:type="dxa"/>
            <w:vAlign w:val="center"/>
          </w:tcPr>
          <w:p w14:paraId="0213C87E" w14:textId="77777777" w:rsidR="00173CEA" w:rsidRDefault="00173CEA" w:rsidP="00EA1421">
            <w:pPr>
              <w:keepNext/>
              <w:spacing w:line="220" w:lineRule="auto"/>
              <w:jc w:val="center"/>
            </w:pPr>
            <w:r>
              <w:rPr>
                <w:color w:val="000000"/>
                <w:sz w:val="17"/>
              </w:rPr>
              <w:t>6.65</w:t>
            </w:r>
          </w:p>
        </w:tc>
        <w:tc>
          <w:tcPr>
            <w:tcW w:w="856" w:type="dxa"/>
            <w:vAlign w:val="center"/>
          </w:tcPr>
          <w:p w14:paraId="4BFF4005" w14:textId="77777777" w:rsidR="00173CEA" w:rsidRDefault="00173CEA" w:rsidP="00EA1421">
            <w:pPr>
              <w:keepNext/>
              <w:spacing w:line="220" w:lineRule="auto"/>
              <w:jc w:val="center"/>
            </w:pPr>
            <w:r>
              <w:rPr>
                <w:color w:val="000000"/>
                <w:sz w:val="17"/>
              </w:rPr>
              <w:t>19.36</w:t>
            </w:r>
          </w:p>
        </w:tc>
        <w:tc>
          <w:tcPr>
            <w:tcW w:w="856" w:type="dxa"/>
            <w:vAlign w:val="center"/>
          </w:tcPr>
          <w:p w14:paraId="1A47ED24" w14:textId="77777777" w:rsidR="00173CEA" w:rsidRDefault="00173CEA" w:rsidP="00EA1421">
            <w:pPr>
              <w:keepNext/>
              <w:spacing w:line="220" w:lineRule="auto"/>
              <w:jc w:val="center"/>
            </w:pPr>
            <w:r>
              <w:rPr>
                <w:color w:val="000000"/>
                <w:sz w:val="17"/>
              </w:rPr>
              <w:t>29.07</w:t>
            </w:r>
          </w:p>
        </w:tc>
        <w:tc>
          <w:tcPr>
            <w:tcW w:w="856" w:type="dxa"/>
            <w:vAlign w:val="center"/>
          </w:tcPr>
          <w:p w14:paraId="54614915" w14:textId="77777777" w:rsidR="00173CEA" w:rsidRDefault="00173CEA" w:rsidP="00EA1421">
            <w:pPr>
              <w:keepNext/>
              <w:spacing w:line="220" w:lineRule="auto"/>
              <w:jc w:val="center"/>
            </w:pPr>
            <w:r>
              <w:rPr>
                <w:color w:val="000000"/>
                <w:sz w:val="17"/>
              </w:rPr>
              <w:t>0.1397</w:t>
            </w:r>
          </w:p>
        </w:tc>
      </w:tr>
      <w:tr w:rsidR="00173CEA" w14:paraId="48B493CD" w14:textId="77777777" w:rsidTr="00AE2D33">
        <w:trPr>
          <w:cantSplit/>
        </w:trPr>
        <w:tc>
          <w:tcPr>
            <w:tcW w:w="1400" w:type="dxa"/>
            <w:vAlign w:val="center"/>
          </w:tcPr>
          <w:p w14:paraId="590A2D08" w14:textId="77777777" w:rsidR="00173CEA" w:rsidRDefault="00173CEA" w:rsidP="00EA1421">
            <w:pPr>
              <w:keepNext/>
              <w:spacing w:line="220" w:lineRule="auto"/>
            </w:pPr>
            <w:r>
              <w:rPr>
                <w:color w:val="000000"/>
                <w:sz w:val="17"/>
              </w:rPr>
              <w:t>ETHOS</w:t>
            </w:r>
          </w:p>
        </w:tc>
        <w:tc>
          <w:tcPr>
            <w:tcW w:w="856" w:type="dxa"/>
            <w:vAlign w:val="center"/>
          </w:tcPr>
          <w:p w14:paraId="766E830A" w14:textId="77777777" w:rsidR="00173CEA" w:rsidRDefault="00173CEA" w:rsidP="00EA1421">
            <w:pPr>
              <w:keepNext/>
              <w:spacing w:line="220" w:lineRule="auto"/>
              <w:jc w:val="center"/>
            </w:pPr>
            <w:r>
              <w:rPr>
                <w:color w:val="000000"/>
                <w:sz w:val="17"/>
              </w:rPr>
              <w:t>7.17</w:t>
            </w:r>
          </w:p>
        </w:tc>
        <w:tc>
          <w:tcPr>
            <w:tcW w:w="856" w:type="dxa"/>
            <w:vAlign w:val="center"/>
          </w:tcPr>
          <w:p w14:paraId="08A60F7F" w14:textId="77777777" w:rsidR="00173CEA" w:rsidRDefault="00173CEA" w:rsidP="00EA1421">
            <w:pPr>
              <w:keepNext/>
              <w:spacing w:line="220" w:lineRule="auto"/>
              <w:jc w:val="center"/>
            </w:pPr>
            <w:r>
              <w:rPr>
                <w:color w:val="000000"/>
                <w:sz w:val="17"/>
              </w:rPr>
              <w:t>19.95</w:t>
            </w:r>
          </w:p>
        </w:tc>
        <w:tc>
          <w:tcPr>
            <w:tcW w:w="856" w:type="dxa"/>
            <w:vAlign w:val="center"/>
          </w:tcPr>
          <w:p w14:paraId="65AD2E29" w14:textId="77777777" w:rsidR="00173CEA" w:rsidRDefault="00173CEA" w:rsidP="00EA1421">
            <w:pPr>
              <w:keepNext/>
              <w:spacing w:line="220" w:lineRule="auto"/>
              <w:jc w:val="center"/>
            </w:pPr>
            <w:r>
              <w:rPr>
                <w:color w:val="000000"/>
                <w:sz w:val="17"/>
              </w:rPr>
              <w:t>28.68</w:t>
            </w:r>
          </w:p>
        </w:tc>
        <w:tc>
          <w:tcPr>
            <w:tcW w:w="856" w:type="dxa"/>
            <w:vAlign w:val="center"/>
          </w:tcPr>
          <w:p w14:paraId="3FD0CF7C" w14:textId="77777777" w:rsidR="00173CEA" w:rsidRDefault="00173CEA" w:rsidP="00EA1421">
            <w:pPr>
              <w:keepNext/>
              <w:spacing w:line="220" w:lineRule="auto"/>
              <w:jc w:val="center"/>
            </w:pPr>
            <w:r>
              <w:rPr>
                <w:color w:val="000000"/>
                <w:sz w:val="17"/>
              </w:rPr>
              <w:t>0.1447</w:t>
            </w:r>
          </w:p>
        </w:tc>
      </w:tr>
      <w:tr w:rsidR="00173CEA" w14:paraId="282346AA" w14:textId="77777777" w:rsidTr="00AE2D33">
        <w:trPr>
          <w:cantSplit/>
        </w:trPr>
        <w:tc>
          <w:tcPr>
            <w:tcW w:w="1400" w:type="dxa"/>
            <w:vAlign w:val="center"/>
          </w:tcPr>
          <w:p w14:paraId="5296EB73" w14:textId="77777777" w:rsidR="00173CEA" w:rsidRDefault="00173CEA" w:rsidP="00EA1421">
            <w:pPr>
              <w:keepNext/>
              <w:spacing w:line="220" w:lineRule="auto"/>
            </w:pPr>
            <w:r>
              <w:rPr>
                <w:color w:val="000000"/>
                <w:sz w:val="17"/>
              </w:rPr>
              <w:t>Med-BERT</w:t>
            </w:r>
          </w:p>
        </w:tc>
        <w:tc>
          <w:tcPr>
            <w:tcW w:w="856" w:type="dxa"/>
            <w:vAlign w:val="center"/>
          </w:tcPr>
          <w:p w14:paraId="02D37BAA" w14:textId="77777777" w:rsidR="00173CEA" w:rsidRDefault="00173CEA" w:rsidP="00EA1421">
            <w:pPr>
              <w:keepNext/>
              <w:spacing w:line="220" w:lineRule="auto"/>
              <w:jc w:val="center"/>
            </w:pPr>
            <w:r>
              <w:rPr>
                <w:color w:val="000000"/>
                <w:sz w:val="17"/>
              </w:rPr>
              <w:t>6.52</w:t>
            </w:r>
          </w:p>
        </w:tc>
        <w:tc>
          <w:tcPr>
            <w:tcW w:w="856" w:type="dxa"/>
            <w:vAlign w:val="center"/>
          </w:tcPr>
          <w:p w14:paraId="063BD6EB" w14:textId="77777777" w:rsidR="00173CEA" w:rsidRDefault="00173CEA" w:rsidP="00EA1421">
            <w:pPr>
              <w:keepNext/>
              <w:spacing w:line="220" w:lineRule="auto"/>
              <w:jc w:val="center"/>
            </w:pPr>
            <w:r>
              <w:rPr>
                <w:color w:val="000000"/>
                <w:sz w:val="17"/>
              </w:rPr>
              <w:t>19.04</w:t>
            </w:r>
          </w:p>
        </w:tc>
        <w:tc>
          <w:tcPr>
            <w:tcW w:w="856" w:type="dxa"/>
            <w:vAlign w:val="center"/>
          </w:tcPr>
          <w:p w14:paraId="40B0A4A7" w14:textId="77777777" w:rsidR="00173CEA" w:rsidRDefault="00173CEA" w:rsidP="00EA1421">
            <w:pPr>
              <w:keepNext/>
              <w:spacing w:line="220" w:lineRule="auto"/>
              <w:jc w:val="center"/>
            </w:pPr>
            <w:r>
              <w:rPr>
                <w:color w:val="000000"/>
                <w:sz w:val="17"/>
              </w:rPr>
              <w:t>28.75</w:t>
            </w:r>
          </w:p>
        </w:tc>
        <w:tc>
          <w:tcPr>
            <w:tcW w:w="856" w:type="dxa"/>
            <w:vAlign w:val="center"/>
          </w:tcPr>
          <w:p w14:paraId="53A97CBD" w14:textId="77777777" w:rsidR="00173CEA" w:rsidRDefault="00173CEA" w:rsidP="00EA1421">
            <w:pPr>
              <w:keepNext/>
              <w:spacing w:line="220" w:lineRule="auto"/>
              <w:jc w:val="center"/>
            </w:pPr>
            <w:r>
              <w:rPr>
                <w:color w:val="000000"/>
                <w:sz w:val="17"/>
              </w:rPr>
              <w:t>0.1393</w:t>
            </w:r>
          </w:p>
        </w:tc>
      </w:tr>
      <w:tr w:rsidR="00173CEA" w14:paraId="62DC743B" w14:textId="77777777" w:rsidTr="00AE2D33">
        <w:trPr>
          <w:cantSplit/>
        </w:trPr>
        <w:tc>
          <w:tcPr>
            <w:tcW w:w="1400" w:type="dxa"/>
            <w:vAlign w:val="center"/>
          </w:tcPr>
          <w:p w14:paraId="6C5A9FBA" w14:textId="77777777" w:rsidR="00173CEA" w:rsidRDefault="00173CEA" w:rsidP="00EA1421">
            <w:pPr>
              <w:keepNext/>
              <w:spacing w:line="220" w:lineRule="auto"/>
            </w:pPr>
            <w:r>
              <w:rPr>
                <w:color w:val="000000"/>
                <w:sz w:val="17"/>
              </w:rPr>
              <w:t>TrajGPT</w:t>
            </w:r>
          </w:p>
        </w:tc>
        <w:tc>
          <w:tcPr>
            <w:tcW w:w="856" w:type="dxa"/>
            <w:vAlign w:val="center"/>
          </w:tcPr>
          <w:p w14:paraId="6BAE96B5" w14:textId="77777777" w:rsidR="00173CEA" w:rsidRDefault="00173CEA" w:rsidP="00EA1421">
            <w:pPr>
              <w:keepNext/>
              <w:spacing w:line="220" w:lineRule="auto"/>
              <w:jc w:val="center"/>
            </w:pPr>
            <w:r>
              <w:rPr>
                <w:color w:val="000000"/>
                <w:sz w:val="17"/>
              </w:rPr>
              <w:t>2.61</w:t>
            </w:r>
          </w:p>
        </w:tc>
        <w:tc>
          <w:tcPr>
            <w:tcW w:w="856" w:type="dxa"/>
            <w:vAlign w:val="center"/>
          </w:tcPr>
          <w:p w14:paraId="23D88C93" w14:textId="77777777" w:rsidR="00173CEA" w:rsidRDefault="00173CEA" w:rsidP="00EA1421">
            <w:pPr>
              <w:keepNext/>
              <w:spacing w:line="220" w:lineRule="auto"/>
              <w:jc w:val="center"/>
            </w:pPr>
            <w:r>
              <w:rPr>
                <w:color w:val="000000"/>
                <w:sz w:val="17"/>
              </w:rPr>
              <w:t>9.26</w:t>
            </w:r>
          </w:p>
        </w:tc>
        <w:tc>
          <w:tcPr>
            <w:tcW w:w="856" w:type="dxa"/>
            <w:vAlign w:val="center"/>
          </w:tcPr>
          <w:p w14:paraId="4595AFC1" w14:textId="77777777" w:rsidR="00173CEA" w:rsidRDefault="00173CEA" w:rsidP="00EA1421">
            <w:pPr>
              <w:keepNext/>
              <w:spacing w:line="220" w:lineRule="auto"/>
              <w:jc w:val="center"/>
            </w:pPr>
            <w:r>
              <w:rPr>
                <w:color w:val="000000"/>
                <w:sz w:val="17"/>
              </w:rPr>
              <w:t>14.80</w:t>
            </w:r>
          </w:p>
        </w:tc>
        <w:tc>
          <w:tcPr>
            <w:tcW w:w="856" w:type="dxa"/>
            <w:vAlign w:val="center"/>
          </w:tcPr>
          <w:p w14:paraId="1A845C7A" w14:textId="77777777" w:rsidR="00173CEA" w:rsidRDefault="00173CEA" w:rsidP="00EA1421">
            <w:pPr>
              <w:keepNext/>
              <w:spacing w:line="220" w:lineRule="auto"/>
              <w:jc w:val="center"/>
            </w:pPr>
            <w:r>
              <w:rPr>
                <w:color w:val="000000"/>
                <w:sz w:val="17"/>
              </w:rPr>
              <w:t>0.0711</w:t>
            </w:r>
          </w:p>
        </w:tc>
      </w:tr>
      <w:tr w:rsidR="00173CEA" w14:paraId="341F84CF" w14:textId="77777777" w:rsidTr="00AE2D33">
        <w:trPr>
          <w:cantSplit/>
        </w:trPr>
        <w:tc>
          <w:tcPr>
            <w:tcW w:w="1400" w:type="dxa"/>
            <w:tcBorders>
              <w:bottom w:val="single" w:sz="12" w:space="0" w:color="auto"/>
            </w:tcBorders>
            <w:vAlign w:val="center"/>
          </w:tcPr>
          <w:p w14:paraId="3E63F950" w14:textId="77777777" w:rsidR="00173CEA" w:rsidRDefault="00173CEA" w:rsidP="00EA1421">
            <w:pPr>
              <w:spacing w:line="220" w:lineRule="auto"/>
            </w:pPr>
            <w:r>
              <w:rPr>
                <w:color w:val="000000"/>
                <w:sz w:val="17"/>
              </w:rPr>
              <w:t>TCF</w:t>
            </w:r>
          </w:p>
        </w:tc>
        <w:tc>
          <w:tcPr>
            <w:tcW w:w="856" w:type="dxa"/>
            <w:tcBorders>
              <w:bottom w:val="single" w:sz="12" w:space="0" w:color="auto"/>
            </w:tcBorders>
            <w:vAlign w:val="center"/>
          </w:tcPr>
          <w:p w14:paraId="1C6051E6" w14:textId="77777777" w:rsidR="00173CEA" w:rsidRDefault="00173CEA" w:rsidP="00EA1421">
            <w:pPr>
              <w:spacing w:line="220" w:lineRule="auto"/>
              <w:jc w:val="center"/>
            </w:pPr>
            <w:r>
              <w:rPr>
                <w:color w:val="000000"/>
                <w:sz w:val="17"/>
              </w:rPr>
              <w:t>3.98</w:t>
            </w:r>
          </w:p>
        </w:tc>
        <w:tc>
          <w:tcPr>
            <w:tcW w:w="856" w:type="dxa"/>
            <w:tcBorders>
              <w:bottom w:val="single" w:sz="12" w:space="0" w:color="auto"/>
            </w:tcBorders>
            <w:vAlign w:val="center"/>
          </w:tcPr>
          <w:p w14:paraId="3632A43F" w14:textId="77777777" w:rsidR="00173CEA" w:rsidRDefault="00173CEA" w:rsidP="00EA1421">
            <w:pPr>
              <w:spacing w:line="220" w:lineRule="auto"/>
              <w:jc w:val="center"/>
            </w:pPr>
            <w:r>
              <w:rPr>
                <w:color w:val="000000"/>
                <w:sz w:val="17"/>
              </w:rPr>
              <w:t>13.56</w:t>
            </w:r>
          </w:p>
        </w:tc>
        <w:tc>
          <w:tcPr>
            <w:tcW w:w="856" w:type="dxa"/>
            <w:tcBorders>
              <w:bottom w:val="single" w:sz="12" w:space="0" w:color="auto"/>
            </w:tcBorders>
            <w:vAlign w:val="center"/>
          </w:tcPr>
          <w:p w14:paraId="4FD3C77F" w14:textId="77777777" w:rsidR="00173CEA" w:rsidRDefault="00173CEA" w:rsidP="00EA1421">
            <w:pPr>
              <w:spacing w:line="220" w:lineRule="auto"/>
              <w:jc w:val="center"/>
            </w:pPr>
            <w:r>
              <w:rPr>
                <w:color w:val="000000"/>
                <w:sz w:val="17"/>
              </w:rPr>
              <w:t>20.47</w:t>
            </w:r>
          </w:p>
        </w:tc>
        <w:tc>
          <w:tcPr>
            <w:tcW w:w="856" w:type="dxa"/>
            <w:tcBorders>
              <w:bottom w:val="single" w:sz="12" w:space="0" w:color="auto"/>
            </w:tcBorders>
            <w:vAlign w:val="center"/>
          </w:tcPr>
          <w:p w14:paraId="0A993F56" w14:textId="77777777" w:rsidR="00173CEA" w:rsidRDefault="00173CEA" w:rsidP="00EA1421">
            <w:pPr>
              <w:spacing w:line="220" w:lineRule="auto"/>
              <w:jc w:val="center"/>
            </w:pPr>
            <w:r>
              <w:rPr>
                <w:color w:val="000000"/>
                <w:sz w:val="17"/>
              </w:rPr>
              <w:t>0.0990</w:t>
            </w:r>
          </w:p>
        </w:tc>
      </w:tr>
    </w:tbl>
    <w:p w14:paraId="22920E61" w14:textId="77777777" w:rsidR="00173CEA" w:rsidRDefault="00173CEA" w:rsidP="00173CEA">
      <w:pPr>
        <w:spacing w:after="60"/>
        <w:jc w:val="both"/>
        <w:rPr>
          <w:color w:val="000000"/>
          <w:lang w:eastAsia="zh-CN"/>
        </w:rPr>
      </w:pPr>
      <w:r>
        <w:rPr>
          <w:rFonts w:hint="eastAsia"/>
          <w:color w:val="000000"/>
          <w:sz w:val="18"/>
          <w:lang w:eastAsia="zh-CN"/>
        </w:rPr>
        <w:t>N = 1,534 next-diagnosis targets; one target per patient, history ends at the clinical event immediately preceding the target; Top@k ranks each method's registered diagnostic candidates, with 1,123 candidates for most methods and 1,255 native diagnosis entries for Delphi. Values are not comparable with the multitype-generation metrics in Supplementary Table S9.</w:t>
      </w:r>
    </w:p>
    <w:p w14:paraId="28652E2A" w14:textId="091DC76A" w:rsidR="00173CEA" w:rsidRDefault="00173CEA" w:rsidP="00173CEA">
      <w:pPr>
        <w:keepNext/>
        <w:spacing w:after="60"/>
        <w:jc w:val="center"/>
        <w:rPr>
          <w:color w:val="000000"/>
          <w:lang w:eastAsia="zh-CN"/>
        </w:rPr>
      </w:pPr>
      <w:r>
        <w:rPr>
          <w:rFonts w:hint="eastAsia"/>
          <w:color w:val="000000"/>
          <w:sz w:val="18"/>
          <w:lang w:eastAsia="zh-CN"/>
        </w:rPr>
        <w:t>TABLE III. UKB untimed diagnosis-content generation and</w:t>
      </w:r>
      <w:r w:rsidR="00AF0ECF">
        <w:rPr>
          <w:rFonts w:hint="eastAsia"/>
          <w:color w:val="000000"/>
          <w:sz w:val="18"/>
          <w:lang w:eastAsia="zh-CN"/>
        </w:rPr>
        <w:t xml:space="preserve"> </w:t>
      </w:r>
      <w:r>
        <w:rPr>
          <w:rFonts w:hint="eastAsia"/>
          <w:color w:val="000000"/>
          <w:sz w:val="18"/>
          <w:lang w:eastAsia="zh-CN"/>
        </w:rPr>
        <w:t>ten-year first-diagnosis timing</w:t>
      </w:r>
    </w:p>
    <w:tbl>
      <w:tblPr>
        <w:tblW w:w="4824" w:type="dxa"/>
        <w:tblBorders>
          <w:top w:val="single" w:sz="12" w:space="0" w:color="000000" w:themeColor="text1"/>
          <w:bottom w:val="single" w:sz="12" w:space="0" w:color="000000" w:themeColor="text1"/>
        </w:tblBorders>
        <w:tblLayout w:type="fixed"/>
        <w:tblCellMar>
          <w:top w:w="45" w:type="dxa"/>
          <w:left w:w="55" w:type="dxa"/>
          <w:bottom w:w="45" w:type="dxa"/>
          <w:right w:w="55" w:type="dxa"/>
        </w:tblCellMar>
        <w:tblLook w:val="04A0" w:firstRow="1" w:lastRow="0" w:firstColumn="1" w:lastColumn="0" w:noHBand="0" w:noVBand="1"/>
        <w:tblCaption w:val="Table III"/>
      </w:tblPr>
      <w:tblGrid>
        <w:gridCol w:w="1400"/>
        <w:gridCol w:w="856"/>
        <w:gridCol w:w="856"/>
        <w:gridCol w:w="856"/>
        <w:gridCol w:w="856"/>
      </w:tblGrid>
      <w:tr w:rsidR="00173CEA" w14:paraId="4FC33F01" w14:textId="77777777" w:rsidTr="00AE2D33">
        <w:trPr>
          <w:cantSplit/>
          <w:tblHeader/>
        </w:trPr>
        <w:tc>
          <w:tcPr>
            <w:tcW w:w="1400" w:type="dxa"/>
            <w:tcBorders>
              <w:top w:val="single" w:sz="12" w:space="0" w:color="000000" w:themeColor="text1"/>
              <w:bottom w:val="single" w:sz="12" w:space="0" w:color="000000" w:themeColor="text1"/>
            </w:tcBorders>
            <w:shd w:val="clear" w:color="auto" w:fill="E9EDF0"/>
            <w:vAlign w:val="center"/>
          </w:tcPr>
          <w:p w14:paraId="4CA8BA34" w14:textId="77777777" w:rsidR="00173CEA" w:rsidRDefault="00173CEA" w:rsidP="00EA1421">
            <w:pPr>
              <w:keepNext/>
              <w:spacing w:line="220" w:lineRule="auto"/>
            </w:pPr>
            <w:r>
              <w:rPr>
                <w:b/>
                <w:color w:val="000000"/>
                <w:sz w:val="17"/>
              </w:rPr>
              <w:t>Method</w:t>
            </w:r>
          </w:p>
        </w:tc>
        <w:tc>
          <w:tcPr>
            <w:tcW w:w="856" w:type="dxa"/>
            <w:tcBorders>
              <w:top w:val="single" w:sz="12" w:space="0" w:color="000000" w:themeColor="text1"/>
              <w:bottom w:val="single" w:sz="12" w:space="0" w:color="000000" w:themeColor="text1"/>
            </w:tcBorders>
            <w:shd w:val="clear" w:color="auto" w:fill="E9EDF0"/>
            <w:vAlign w:val="center"/>
          </w:tcPr>
          <w:p w14:paraId="7FFC3886" w14:textId="2163CA89" w:rsidR="00173CEA" w:rsidRDefault="00173CEA" w:rsidP="00EA1421">
            <w:pPr>
              <w:keepNext/>
              <w:spacing w:line="220" w:lineRule="auto"/>
              <w:jc w:val="center"/>
            </w:pPr>
            <w:r>
              <w:rPr>
                <w:b/>
                <w:color w:val="000000"/>
                <w:sz w:val="17"/>
              </w:rPr>
              <w:t>Jaccard</w:t>
            </w:r>
            <w:r>
              <w:rPr>
                <w:b/>
                <w:color w:val="000000"/>
                <w:sz w:val="17"/>
              </w:rPr>
              <w:br/>
              <w:t>(%)</w:t>
            </w:r>
            <w:r w:rsidR="00501EDC">
              <w:rPr>
                <w:rFonts w:ascii="Microsoft JhengHei" w:eastAsia="Microsoft JhengHei" w:hAnsi="Microsoft JhengHei" w:hint="eastAsia"/>
                <w:b/>
                <w:color w:val="000000"/>
                <w:sz w:val="16"/>
                <w:lang w:eastAsia="zh-CN"/>
              </w:rPr>
              <w:t>↑</w:t>
            </w:r>
          </w:p>
        </w:tc>
        <w:tc>
          <w:tcPr>
            <w:tcW w:w="856" w:type="dxa"/>
            <w:tcBorders>
              <w:top w:val="single" w:sz="12" w:space="0" w:color="000000" w:themeColor="text1"/>
              <w:bottom w:val="single" w:sz="12" w:space="0" w:color="000000" w:themeColor="text1"/>
            </w:tcBorders>
            <w:shd w:val="clear" w:color="auto" w:fill="E9EDF0"/>
            <w:vAlign w:val="center"/>
          </w:tcPr>
          <w:p w14:paraId="0A117281" w14:textId="0C5DAF75" w:rsidR="00173CEA" w:rsidRDefault="00173CEA" w:rsidP="00EA1421">
            <w:pPr>
              <w:keepNext/>
              <w:spacing w:line="220" w:lineRule="auto"/>
              <w:jc w:val="center"/>
            </w:pPr>
            <w:r>
              <w:rPr>
                <w:b/>
                <w:color w:val="000000"/>
                <w:sz w:val="17"/>
              </w:rPr>
              <w:t>Precision</w:t>
            </w:r>
            <w:r>
              <w:rPr>
                <w:b/>
                <w:color w:val="000000"/>
                <w:sz w:val="17"/>
              </w:rPr>
              <w:br/>
              <w:t>(%)</w:t>
            </w:r>
            <w:r w:rsidR="00501EDC">
              <w:rPr>
                <w:rFonts w:ascii="Microsoft JhengHei" w:eastAsia="Microsoft JhengHei" w:hAnsi="Microsoft JhengHei" w:hint="eastAsia"/>
                <w:b/>
                <w:color w:val="000000"/>
                <w:sz w:val="16"/>
                <w:lang w:eastAsia="zh-CN"/>
              </w:rPr>
              <w:t>↑</w:t>
            </w:r>
          </w:p>
        </w:tc>
        <w:tc>
          <w:tcPr>
            <w:tcW w:w="856" w:type="dxa"/>
            <w:tcBorders>
              <w:top w:val="single" w:sz="12" w:space="0" w:color="000000" w:themeColor="text1"/>
              <w:bottom w:val="single" w:sz="12" w:space="0" w:color="000000" w:themeColor="text1"/>
            </w:tcBorders>
            <w:shd w:val="clear" w:color="auto" w:fill="E9EDF0"/>
            <w:vAlign w:val="center"/>
          </w:tcPr>
          <w:p w14:paraId="5A628239" w14:textId="6737A71A" w:rsidR="00173CEA" w:rsidRDefault="00F35D23" w:rsidP="00EA1421">
            <w:pPr>
              <w:keepNext/>
              <w:spacing w:line="220" w:lineRule="auto"/>
              <w:jc w:val="center"/>
            </w:pPr>
            <w:r>
              <w:rPr>
                <w:rFonts w:hint="eastAsia"/>
                <w:b/>
                <w:color w:val="000000"/>
                <w:sz w:val="17"/>
                <w:lang w:eastAsia="zh-CN"/>
              </w:rPr>
              <w:t>Time</w:t>
            </w:r>
            <w:r w:rsidR="00173CEA">
              <w:rPr>
                <w:b/>
                <w:color w:val="000000"/>
                <w:sz w:val="17"/>
              </w:rPr>
              <w:br/>
              <w:t>MAE</w:t>
            </w:r>
            <w:r w:rsidR="00501EDC">
              <w:rPr>
                <w:rFonts w:ascii="Microsoft JhengHei" w:eastAsia="Microsoft JhengHei" w:hAnsi="Microsoft JhengHei" w:hint="eastAsia"/>
                <w:b/>
                <w:color w:val="000000"/>
                <w:sz w:val="16"/>
                <w:lang w:eastAsia="zh-CN"/>
              </w:rPr>
              <w:t>↓</w:t>
            </w:r>
          </w:p>
        </w:tc>
        <w:tc>
          <w:tcPr>
            <w:tcW w:w="856" w:type="dxa"/>
            <w:tcBorders>
              <w:top w:val="single" w:sz="12" w:space="0" w:color="000000" w:themeColor="text1"/>
              <w:bottom w:val="single" w:sz="12" w:space="0" w:color="000000" w:themeColor="text1"/>
            </w:tcBorders>
            <w:shd w:val="clear" w:color="auto" w:fill="E9EDF0"/>
            <w:vAlign w:val="center"/>
          </w:tcPr>
          <w:p w14:paraId="102AA9DD" w14:textId="5D128243" w:rsidR="00173CEA" w:rsidRDefault="00173CEA" w:rsidP="00EA1421">
            <w:pPr>
              <w:keepNext/>
              <w:spacing w:line="220" w:lineRule="auto"/>
              <w:jc w:val="center"/>
            </w:pPr>
            <w:r>
              <w:rPr>
                <w:b/>
                <w:color w:val="000000"/>
                <w:sz w:val="17"/>
              </w:rPr>
              <w:t>Norm.</w:t>
            </w:r>
            <w:r>
              <w:rPr>
                <w:b/>
                <w:color w:val="000000"/>
                <w:sz w:val="17"/>
              </w:rPr>
              <w:br/>
              <w:t>edit</w:t>
            </w:r>
            <w:r w:rsidR="00501EDC">
              <w:rPr>
                <w:rFonts w:ascii="Microsoft JhengHei" w:eastAsia="Microsoft JhengHei" w:hAnsi="Microsoft JhengHei" w:hint="eastAsia"/>
                <w:b/>
                <w:color w:val="000000"/>
                <w:sz w:val="16"/>
                <w:lang w:eastAsia="zh-CN"/>
              </w:rPr>
              <w:t>↓</w:t>
            </w:r>
          </w:p>
        </w:tc>
      </w:tr>
      <w:tr w:rsidR="005D1E5C" w14:paraId="242ED4FF" w14:textId="77777777" w:rsidTr="00AE2D33">
        <w:trPr>
          <w:cantSplit/>
        </w:trPr>
        <w:tc>
          <w:tcPr>
            <w:tcW w:w="1400" w:type="dxa"/>
            <w:vAlign w:val="center"/>
          </w:tcPr>
          <w:p w14:paraId="001625F3" w14:textId="71960B2E" w:rsidR="005D1E5C" w:rsidRDefault="005D1E5C" w:rsidP="005D1E5C">
            <w:pPr>
              <w:keepNext/>
              <w:spacing w:line="220" w:lineRule="auto"/>
              <w:rPr>
                <w:lang w:eastAsia="zh-CN"/>
              </w:rPr>
            </w:pPr>
            <w:r>
              <w:rPr>
                <w:rFonts w:hint="eastAsia"/>
                <w:color w:val="000000"/>
                <w:sz w:val="17"/>
                <w:lang w:eastAsia="zh-CN"/>
              </w:rPr>
              <w:t>Ours(</w:t>
            </w:r>
            <w:r>
              <w:rPr>
                <w:color w:val="000000"/>
                <w:sz w:val="17"/>
              </w:rPr>
              <w:t>Relative</w:t>
            </w:r>
            <w:r>
              <w:rPr>
                <w:rFonts w:hint="eastAsia"/>
                <w:color w:val="000000"/>
                <w:sz w:val="17"/>
                <w:lang w:eastAsia="zh-CN"/>
              </w:rPr>
              <w:t>)</w:t>
            </w:r>
          </w:p>
        </w:tc>
        <w:tc>
          <w:tcPr>
            <w:tcW w:w="856" w:type="dxa"/>
            <w:vAlign w:val="center"/>
          </w:tcPr>
          <w:p w14:paraId="6CBA7AD2" w14:textId="74C1A583" w:rsidR="005D1E5C" w:rsidRDefault="005D1E5C" w:rsidP="005D1E5C">
            <w:pPr>
              <w:keepNext/>
              <w:spacing w:line="220" w:lineRule="auto"/>
              <w:jc w:val="center"/>
            </w:pPr>
            <w:r>
              <w:rPr>
                <w:color w:val="000000"/>
                <w:sz w:val="17"/>
              </w:rPr>
              <w:t>2.938</w:t>
            </w:r>
          </w:p>
        </w:tc>
        <w:tc>
          <w:tcPr>
            <w:tcW w:w="856" w:type="dxa"/>
            <w:vAlign w:val="center"/>
          </w:tcPr>
          <w:p w14:paraId="4906B630" w14:textId="43F79231" w:rsidR="005D1E5C" w:rsidRDefault="005D1E5C" w:rsidP="005D1E5C">
            <w:pPr>
              <w:keepNext/>
              <w:spacing w:line="220" w:lineRule="auto"/>
              <w:jc w:val="center"/>
            </w:pPr>
            <w:r>
              <w:rPr>
                <w:b/>
                <w:color w:val="000000"/>
                <w:sz w:val="17"/>
              </w:rPr>
              <w:t>4.777</w:t>
            </w:r>
          </w:p>
        </w:tc>
        <w:tc>
          <w:tcPr>
            <w:tcW w:w="856" w:type="dxa"/>
            <w:vAlign w:val="center"/>
          </w:tcPr>
          <w:p w14:paraId="21882648" w14:textId="0BB04888" w:rsidR="005D1E5C" w:rsidRDefault="005D1E5C" w:rsidP="005D1E5C">
            <w:pPr>
              <w:keepNext/>
              <w:spacing w:line="220" w:lineRule="auto"/>
              <w:jc w:val="center"/>
            </w:pPr>
            <w:r>
              <w:rPr>
                <w:rFonts w:hint="eastAsia"/>
                <w:b/>
                <w:color w:val="000000"/>
                <w:sz w:val="17"/>
                <w:lang w:eastAsia="zh-CN"/>
              </w:rPr>
              <w:t>515.66 / [70.74]</w:t>
            </w:r>
          </w:p>
        </w:tc>
        <w:tc>
          <w:tcPr>
            <w:tcW w:w="856" w:type="dxa"/>
            <w:vAlign w:val="center"/>
          </w:tcPr>
          <w:p w14:paraId="7F315FA2" w14:textId="04DB3E03" w:rsidR="005D1E5C" w:rsidRDefault="005D1E5C" w:rsidP="005D1E5C">
            <w:pPr>
              <w:keepNext/>
              <w:spacing w:line="220" w:lineRule="auto"/>
              <w:jc w:val="center"/>
            </w:pPr>
            <w:r>
              <w:rPr>
                <w:b/>
                <w:color w:val="000000"/>
                <w:sz w:val="17"/>
              </w:rPr>
              <w:t>0.9343</w:t>
            </w:r>
          </w:p>
        </w:tc>
      </w:tr>
      <w:tr w:rsidR="005D1E5C" w14:paraId="3778AA6A" w14:textId="77777777" w:rsidTr="00AE2D33">
        <w:trPr>
          <w:cantSplit/>
        </w:trPr>
        <w:tc>
          <w:tcPr>
            <w:tcW w:w="1400" w:type="dxa"/>
            <w:vAlign w:val="center"/>
          </w:tcPr>
          <w:p w14:paraId="33FCF3E7" w14:textId="290F0DCE" w:rsidR="005D1E5C" w:rsidRDefault="005D1E5C" w:rsidP="005D1E5C">
            <w:pPr>
              <w:keepNext/>
              <w:spacing w:line="220" w:lineRule="auto"/>
              <w:rPr>
                <w:lang w:eastAsia="zh-CN"/>
              </w:rPr>
            </w:pPr>
            <w:r>
              <w:rPr>
                <w:rFonts w:hint="eastAsia"/>
                <w:color w:val="000000"/>
                <w:sz w:val="17"/>
                <w:lang w:eastAsia="zh-CN"/>
              </w:rPr>
              <w:t>Ours(</w:t>
            </w:r>
            <w:r>
              <w:rPr>
                <w:color w:val="000000"/>
                <w:sz w:val="17"/>
              </w:rPr>
              <w:t>Absolute</w:t>
            </w:r>
            <w:r>
              <w:rPr>
                <w:rFonts w:hint="eastAsia"/>
                <w:color w:val="000000"/>
                <w:sz w:val="17"/>
                <w:lang w:eastAsia="zh-CN"/>
              </w:rPr>
              <w:t>)</w:t>
            </w:r>
          </w:p>
        </w:tc>
        <w:tc>
          <w:tcPr>
            <w:tcW w:w="856" w:type="dxa"/>
            <w:vAlign w:val="center"/>
          </w:tcPr>
          <w:p w14:paraId="0A25AC8E" w14:textId="54924399" w:rsidR="005D1E5C" w:rsidRDefault="005D1E5C" w:rsidP="005D1E5C">
            <w:pPr>
              <w:keepNext/>
              <w:spacing w:line="220" w:lineRule="auto"/>
              <w:jc w:val="center"/>
            </w:pPr>
            <w:r>
              <w:rPr>
                <w:color w:val="000000"/>
                <w:sz w:val="17"/>
              </w:rPr>
              <w:t>2.741</w:t>
            </w:r>
          </w:p>
        </w:tc>
        <w:tc>
          <w:tcPr>
            <w:tcW w:w="856" w:type="dxa"/>
            <w:vAlign w:val="center"/>
          </w:tcPr>
          <w:p w14:paraId="62596993" w14:textId="0A3830C8" w:rsidR="005D1E5C" w:rsidRDefault="005D1E5C" w:rsidP="005D1E5C">
            <w:pPr>
              <w:keepNext/>
              <w:spacing w:line="220" w:lineRule="auto"/>
              <w:jc w:val="center"/>
            </w:pPr>
            <w:r>
              <w:rPr>
                <w:color w:val="000000"/>
                <w:sz w:val="17"/>
              </w:rPr>
              <w:t>3.927</w:t>
            </w:r>
          </w:p>
        </w:tc>
        <w:tc>
          <w:tcPr>
            <w:tcW w:w="856" w:type="dxa"/>
            <w:vAlign w:val="center"/>
          </w:tcPr>
          <w:p w14:paraId="1B3409C4" w14:textId="28B42739" w:rsidR="005D1E5C" w:rsidRDefault="005D1E5C" w:rsidP="005D1E5C">
            <w:pPr>
              <w:keepNext/>
              <w:spacing w:line="220" w:lineRule="auto"/>
              <w:jc w:val="center"/>
            </w:pPr>
            <w:r>
              <w:rPr>
                <w:rFonts w:hint="eastAsia"/>
                <w:color w:val="000000"/>
                <w:sz w:val="17"/>
                <w:lang w:eastAsia="zh-CN"/>
              </w:rPr>
              <w:t>519.07 / [77.63]</w:t>
            </w:r>
          </w:p>
        </w:tc>
        <w:tc>
          <w:tcPr>
            <w:tcW w:w="856" w:type="dxa"/>
            <w:vAlign w:val="center"/>
          </w:tcPr>
          <w:p w14:paraId="3667641E" w14:textId="225182E3" w:rsidR="005D1E5C" w:rsidRDefault="005D1E5C" w:rsidP="005D1E5C">
            <w:pPr>
              <w:keepNext/>
              <w:spacing w:line="220" w:lineRule="auto"/>
              <w:jc w:val="center"/>
            </w:pPr>
            <w:r>
              <w:rPr>
                <w:color w:val="000000"/>
                <w:sz w:val="17"/>
              </w:rPr>
              <w:t>0.9509</w:t>
            </w:r>
          </w:p>
        </w:tc>
      </w:tr>
      <w:tr w:rsidR="005D1E5C" w14:paraId="5411FD12" w14:textId="77777777" w:rsidTr="00AE2D33">
        <w:trPr>
          <w:cantSplit/>
        </w:trPr>
        <w:tc>
          <w:tcPr>
            <w:tcW w:w="1400" w:type="dxa"/>
            <w:vAlign w:val="center"/>
          </w:tcPr>
          <w:p w14:paraId="33ADF9F4" w14:textId="77777777" w:rsidR="005D1E5C" w:rsidRDefault="005D1E5C" w:rsidP="005D1E5C">
            <w:pPr>
              <w:keepNext/>
              <w:spacing w:line="220" w:lineRule="auto"/>
            </w:pPr>
            <w:r>
              <w:rPr>
                <w:color w:val="000000"/>
                <w:sz w:val="17"/>
              </w:rPr>
              <w:t>Delphi</w:t>
            </w:r>
          </w:p>
        </w:tc>
        <w:tc>
          <w:tcPr>
            <w:tcW w:w="856" w:type="dxa"/>
            <w:vAlign w:val="center"/>
          </w:tcPr>
          <w:p w14:paraId="345ACBC6" w14:textId="77777777" w:rsidR="005D1E5C" w:rsidRDefault="005D1E5C" w:rsidP="005D1E5C">
            <w:pPr>
              <w:keepNext/>
              <w:spacing w:line="220" w:lineRule="auto"/>
              <w:jc w:val="center"/>
            </w:pPr>
            <w:r>
              <w:rPr>
                <w:color w:val="000000"/>
                <w:sz w:val="17"/>
              </w:rPr>
              <w:t>1.655</w:t>
            </w:r>
          </w:p>
        </w:tc>
        <w:tc>
          <w:tcPr>
            <w:tcW w:w="856" w:type="dxa"/>
            <w:vAlign w:val="center"/>
          </w:tcPr>
          <w:p w14:paraId="1A48455F" w14:textId="77777777" w:rsidR="005D1E5C" w:rsidRDefault="005D1E5C" w:rsidP="005D1E5C">
            <w:pPr>
              <w:keepNext/>
              <w:spacing w:line="220" w:lineRule="auto"/>
              <w:jc w:val="center"/>
            </w:pPr>
            <w:r>
              <w:rPr>
                <w:color w:val="000000"/>
                <w:sz w:val="17"/>
              </w:rPr>
              <w:t>2.158</w:t>
            </w:r>
          </w:p>
        </w:tc>
        <w:tc>
          <w:tcPr>
            <w:tcW w:w="856" w:type="dxa"/>
            <w:vAlign w:val="center"/>
          </w:tcPr>
          <w:p w14:paraId="619A0A34" w14:textId="797F55AC" w:rsidR="005D1E5C" w:rsidRDefault="005D1E5C" w:rsidP="005D1E5C">
            <w:pPr>
              <w:keepNext/>
              <w:spacing w:line="220" w:lineRule="auto"/>
              <w:jc w:val="center"/>
            </w:pPr>
            <w:r>
              <w:rPr>
                <w:rFonts w:hint="eastAsia"/>
                <w:color w:val="000000"/>
                <w:sz w:val="17"/>
                <w:lang w:eastAsia="zh-CN"/>
              </w:rPr>
              <w:t>695.38 / [86.67]</w:t>
            </w:r>
          </w:p>
        </w:tc>
        <w:tc>
          <w:tcPr>
            <w:tcW w:w="856" w:type="dxa"/>
            <w:vAlign w:val="center"/>
          </w:tcPr>
          <w:p w14:paraId="6D864BAC" w14:textId="77777777" w:rsidR="005D1E5C" w:rsidRDefault="005D1E5C" w:rsidP="005D1E5C">
            <w:pPr>
              <w:keepNext/>
              <w:spacing w:line="220" w:lineRule="auto"/>
              <w:jc w:val="center"/>
            </w:pPr>
            <w:r>
              <w:rPr>
                <w:color w:val="000000"/>
                <w:sz w:val="17"/>
              </w:rPr>
              <w:t>0.9816</w:t>
            </w:r>
          </w:p>
        </w:tc>
      </w:tr>
      <w:tr w:rsidR="005D1E5C" w14:paraId="705244AB" w14:textId="77777777" w:rsidTr="00AE2D33">
        <w:trPr>
          <w:cantSplit/>
        </w:trPr>
        <w:tc>
          <w:tcPr>
            <w:tcW w:w="1400" w:type="dxa"/>
            <w:vAlign w:val="center"/>
          </w:tcPr>
          <w:p w14:paraId="5126717B" w14:textId="77777777" w:rsidR="005D1E5C" w:rsidRDefault="005D1E5C" w:rsidP="005D1E5C">
            <w:pPr>
              <w:keepNext/>
              <w:spacing w:line="220" w:lineRule="auto"/>
            </w:pPr>
            <w:r>
              <w:rPr>
                <w:color w:val="000000"/>
                <w:sz w:val="17"/>
              </w:rPr>
              <w:t>GPT</w:t>
            </w:r>
          </w:p>
        </w:tc>
        <w:tc>
          <w:tcPr>
            <w:tcW w:w="856" w:type="dxa"/>
            <w:vAlign w:val="center"/>
          </w:tcPr>
          <w:p w14:paraId="4ADC62A2" w14:textId="77777777" w:rsidR="005D1E5C" w:rsidRDefault="005D1E5C" w:rsidP="005D1E5C">
            <w:pPr>
              <w:keepNext/>
              <w:spacing w:line="220" w:lineRule="auto"/>
              <w:jc w:val="center"/>
            </w:pPr>
            <w:r>
              <w:rPr>
                <w:color w:val="000000"/>
                <w:sz w:val="17"/>
              </w:rPr>
              <w:t>3.047</w:t>
            </w:r>
          </w:p>
        </w:tc>
        <w:tc>
          <w:tcPr>
            <w:tcW w:w="856" w:type="dxa"/>
            <w:vAlign w:val="center"/>
          </w:tcPr>
          <w:p w14:paraId="03C0D0B9" w14:textId="77777777" w:rsidR="005D1E5C" w:rsidRDefault="005D1E5C" w:rsidP="005D1E5C">
            <w:pPr>
              <w:keepNext/>
              <w:spacing w:line="220" w:lineRule="auto"/>
              <w:jc w:val="center"/>
            </w:pPr>
            <w:r>
              <w:rPr>
                <w:color w:val="000000"/>
                <w:sz w:val="17"/>
              </w:rPr>
              <w:t>3.330</w:t>
            </w:r>
          </w:p>
        </w:tc>
        <w:tc>
          <w:tcPr>
            <w:tcW w:w="856" w:type="dxa"/>
            <w:vAlign w:val="center"/>
          </w:tcPr>
          <w:p w14:paraId="171403F4" w14:textId="0C72B011" w:rsidR="005D1E5C" w:rsidRDefault="005D1E5C" w:rsidP="005D1E5C">
            <w:pPr>
              <w:keepNext/>
              <w:spacing w:line="220" w:lineRule="auto"/>
              <w:jc w:val="center"/>
            </w:pPr>
            <w:r>
              <w:rPr>
                <w:rFonts w:hint="eastAsia"/>
                <w:color w:val="000000"/>
                <w:sz w:val="17"/>
                <w:lang w:eastAsia="zh-CN"/>
              </w:rPr>
              <w:t>642.69 / [83.47]</w:t>
            </w:r>
          </w:p>
        </w:tc>
        <w:tc>
          <w:tcPr>
            <w:tcW w:w="856" w:type="dxa"/>
            <w:vAlign w:val="center"/>
          </w:tcPr>
          <w:p w14:paraId="75E86AB3" w14:textId="77777777" w:rsidR="005D1E5C" w:rsidRDefault="005D1E5C" w:rsidP="005D1E5C">
            <w:pPr>
              <w:keepNext/>
              <w:spacing w:line="220" w:lineRule="auto"/>
              <w:jc w:val="center"/>
            </w:pPr>
            <w:r>
              <w:rPr>
                <w:color w:val="000000"/>
                <w:sz w:val="17"/>
              </w:rPr>
              <w:t>0.9823</w:t>
            </w:r>
          </w:p>
        </w:tc>
      </w:tr>
      <w:tr w:rsidR="005D1E5C" w14:paraId="2B47C60E" w14:textId="77777777" w:rsidTr="00AE2D33">
        <w:trPr>
          <w:cantSplit/>
        </w:trPr>
        <w:tc>
          <w:tcPr>
            <w:tcW w:w="1400" w:type="dxa"/>
            <w:vAlign w:val="center"/>
          </w:tcPr>
          <w:p w14:paraId="1F2146D7" w14:textId="77777777" w:rsidR="005D1E5C" w:rsidRDefault="005D1E5C" w:rsidP="005D1E5C">
            <w:pPr>
              <w:keepNext/>
              <w:spacing w:line="220" w:lineRule="auto"/>
            </w:pPr>
            <w:r>
              <w:rPr>
                <w:color w:val="000000"/>
                <w:sz w:val="17"/>
              </w:rPr>
              <w:t>BERT</w:t>
            </w:r>
          </w:p>
        </w:tc>
        <w:tc>
          <w:tcPr>
            <w:tcW w:w="856" w:type="dxa"/>
            <w:vAlign w:val="center"/>
          </w:tcPr>
          <w:p w14:paraId="5AA75D2D" w14:textId="77777777" w:rsidR="005D1E5C" w:rsidRDefault="005D1E5C" w:rsidP="005D1E5C">
            <w:pPr>
              <w:keepNext/>
              <w:spacing w:line="220" w:lineRule="auto"/>
              <w:jc w:val="center"/>
            </w:pPr>
            <w:r>
              <w:rPr>
                <w:color w:val="000000"/>
                <w:sz w:val="17"/>
              </w:rPr>
              <w:t>3.286</w:t>
            </w:r>
          </w:p>
        </w:tc>
        <w:tc>
          <w:tcPr>
            <w:tcW w:w="856" w:type="dxa"/>
            <w:vAlign w:val="center"/>
          </w:tcPr>
          <w:p w14:paraId="61AE7497" w14:textId="77777777" w:rsidR="005D1E5C" w:rsidRDefault="005D1E5C" w:rsidP="005D1E5C">
            <w:pPr>
              <w:keepNext/>
              <w:spacing w:line="220" w:lineRule="auto"/>
              <w:jc w:val="center"/>
            </w:pPr>
            <w:r>
              <w:rPr>
                <w:color w:val="000000"/>
                <w:sz w:val="17"/>
              </w:rPr>
              <w:t>3.646</w:t>
            </w:r>
          </w:p>
        </w:tc>
        <w:tc>
          <w:tcPr>
            <w:tcW w:w="856" w:type="dxa"/>
            <w:vAlign w:val="center"/>
          </w:tcPr>
          <w:p w14:paraId="7CBBBE9C" w14:textId="784A65B4" w:rsidR="005D1E5C" w:rsidRDefault="005D1E5C" w:rsidP="005D1E5C">
            <w:pPr>
              <w:keepNext/>
              <w:spacing w:line="220" w:lineRule="auto"/>
              <w:jc w:val="center"/>
            </w:pPr>
            <w:r>
              <w:rPr>
                <w:rFonts w:hint="eastAsia"/>
                <w:color w:val="000000"/>
                <w:sz w:val="17"/>
                <w:lang w:eastAsia="zh-CN"/>
              </w:rPr>
              <w:t>636.76 / [83.51]</w:t>
            </w:r>
          </w:p>
        </w:tc>
        <w:tc>
          <w:tcPr>
            <w:tcW w:w="856" w:type="dxa"/>
            <w:vAlign w:val="center"/>
          </w:tcPr>
          <w:p w14:paraId="498C6D3E" w14:textId="77777777" w:rsidR="005D1E5C" w:rsidRDefault="005D1E5C" w:rsidP="005D1E5C">
            <w:pPr>
              <w:keepNext/>
              <w:spacing w:line="220" w:lineRule="auto"/>
              <w:jc w:val="center"/>
            </w:pPr>
            <w:r>
              <w:rPr>
                <w:color w:val="000000"/>
                <w:sz w:val="17"/>
              </w:rPr>
              <w:t>0.9828</w:t>
            </w:r>
          </w:p>
        </w:tc>
      </w:tr>
      <w:tr w:rsidR="005D1E5C" w14:paraId="75B47872" w14:textId="77777777" w:rsidTr="00AE2D33">
        <w:trPr>
          <w:cantSplit/>
        </w:trPr>
        <w:tc>
          <w:tcPr>
            <w:tcW w:w="1400" w:type="dxa"/>
            <w:vAlign w:val="center"/>
          </w:tcPr>
          <w:p w14:paraId="7B85DB74" w14:textId="77777777" w:rsidR="005D1E5C" w:rsidRDefault="005D1E5C" w:rsidP="005D1E5C">
            <w:pPr>
              <w:keepNext/>
              <w:spacing w:line="220" w:lineRule="auto"/>
            </w:pPr>
            <w:r>
              <w:rPr>
                <w:color w:val="000000"/>
                <w:sz w:val="17"/>
              </w:rPr>
              <w:t>ETHOS</w:t>
            </w:r>
          </w:p>
        </w:tc>
        <w:tc>
          <w:tcPr>
            <w:tcW w:w="856" w:type="dxa"/>
            <w:vAlign w:val="center"/>
          </w:tcPr>
          <w:p w14:paraId="5940DF36" w14:textId="77777777" w:rsidR="005D1E5C" w:rsidRDefault="005D1E5C" w:rsidP="005D1E5C">
            <w:pPr>
              <w:keepNext/>
              <w:spacing w:line="220" w:lineRule="auto"/>
              <w:jc w:val="center"/>
            </w:pPr>
            <w:r>
              <w:rPr>
                <w:color w:val="000000"/>
                <w:sz w:val="17"/>
              </w:rPr>
              <w:t>2.299</w:t>
            </w:r>
          </w:p>
        </w:tc>
        <w:tc>
          <w:tcPr>
            <w:tcW w:w="856" w:type="dxa"/>
            <w:vAlign w:val="center"/>
          </w:tcPr>
          <w:p w14:paraId="28BFEE04" w14:textId="77777777" w:rsidR="005D1E5C" w:rsidRDefault="005D1E5C" w:rsidP="005D1E5C">
            <w:pPr>
              <w:keepNext/>
              <w:spacing w:line="220" w:lineRule="auto"/>
              <w:jc w:val="center"/>
            </w:pPr>
            <w:r>
              <w:rPr>
                <w:color w:val="000000"/>
                <w:sz w:val="17"/>
              </w:rPr>
              <w:t>2.475</w:t>
            </w:r>
          </w:p>
        </w:tc>
        <w:tc>
          <w:tcPr>
            <w:tcW w:w="856" w:type="dxa"/>
            <w:vAlign w:val="center"/>
          </w:tcPr>
          <w:p w14:paraId="661AC94C" w14:textId="2009CCDF" w:rsidR="005D1E5C" w:rsidRDefault="005D1E5C" w:rsidP="005D1E5C">
            <w:pPr>
              <w:keepNext/>
              <w:spacing w:line="220" w:lineRule="auto"/>
              <w:jc w:val="center"/>
            </w:pPr>
            <w:r>
              <w:rPr>
                <w:rFonts w:hint="eastAsia"/>
                <w:color w:val="000000"/>
                <w:sz w:val="17"/>
                <w:lang w:eastAsia="zh-CN"/>
              </w:rPr>
              <w:t>636.10 / [83.87]</w:t>
            </w:r>
          </w:p>
        </w:tc>
        <w:tc>
          <w:tcPr>
            <w:tcW w:w="856" w:type="dxa"/>
            <w:vAlign w:val="center"/>
          </w:tcPr>
          <w:p w14:paraId="2CA94B24" w14:textId="77777777" w:rsidR="005D1E5C" w:rsidRDefault="005D1E5C" w:rsidP="005D1E5C">
            <w:pPr>
              <w:keepNext/>
              <w:spacing w:line="220" w:lineRule="auto"/>
              <w:jc w:val="center"/>
            </w:pPr>
            <w:r>
              <w:rPr>
                <w:color w:val="000000"/>
                <w:sz w:val="17"/>
              </w:rPr>
              <w:t>0.9840</w:t>
            </w:r>
          </w:p>
        </w:tc>
      </w:tr>
      <w:tr w:rsidR="005D1E5C" w14:paraId="6D8F5BCA" w14:textId="77777777" w:rsidTr="00AE2D33">
        <w:trPr>
          <w:cantSplit/>
        </w:trPr>
        <w:tc>
          <w:tcPr>
            <w:tcW w:w="1400" w:type="dxa"/>
            <w:vAlign w:val="center"/>
          </w:tcPr>
          <w:p w14:paraId="277D9B7C" w14:textId="77777777" w:rsidR="005D1E5C" w:rsidRDefault="005D1E5C" w:rsidP="005D1E5C">
            <w:pPr>
              <w:keepNext/>
              <w:spacing w:line="220" w:lineRule="auto"/>
            </w:pPr>
            <w:r>
              <w:rPr>
                <w:color w:val="000000"/>
                <w:sz w:val="17"/>
              </w:rPr>
              <w:t>Med-BERT</w:t>
            </w:r>
          </w:p>
        </w:tc>
        <w:tc>
          <w:tcPr>
            <w:tcW w:w="856" w:type="dxa"/>
            <w:vAlign w:val="center"/>
          </w:tcPr>
          <w:p w14:paraId="18C2B772" w14:textId="77777777" w:rsidR="005D1E5C" w:rsidRDefault="005D1E5C" w:rsidP="005D1E5C">
            <w:pPr>
              <w:keepNext/>
              <w:spacing w:line="220" w:lineRule="auto"/>
              <w:jc w:val="center"/>
            </w:pPr>
            <w:r>
              <w:rPr>
                <w:b/>
                <w:color w:val="000000"/>
                <w:sz w:val="17"/>
              </w:rPr>
              <w:t>3.365</w:t>
            </w:r>
          </w:p>
        </w:tc>
        <w:tc>
          <w:tcPr>
            <w:tcW w:w="856" w:type="dxa"/>
            <w:vAlign w:val="center"/>
          </w:tcPr>
          <w:p w14:paraId="01044A43" w14:textId="77777777" w:rsidR="005D1E5C" w:rsidRDefault="005D1E5C" w:rsidP="005D1E5C">
            <w:pPr>
              <w:keepNext/>
              <w:spacing w:line="220" w:lineRule="auto"/>
              <w:jc w:val="center"/>
            </w:pPr>
            <w:r>
              <w:rPr>
                <w:color w:val="000000"/>
                <w:sz w:val="17"/>
              </w:rPr>
              <w:t>3.758</w:t>
            </w:r>
          </w:p>
        </w:tc>
        <w:tc>
          <w:tcPr>
            <w:tcW w:w="856" w:type="dxa"/>
            <w:vAlign w:val="center"/>
          </w:tcPr>
          <w:p w14:paraId="1CA1A882" w14:textId="6A2BC462" w:rsidR="005D1E5C" w:rsidRDefault="005D1E5C" w:rsidP="005D1E5C">
            <w:pPr>
              <w:keepNext/>
              <w:spacing w:line="220" w:lineRule="auto"/>
              <w:jc w:val="center"/>
            </w:pPr>
            <w:r>
              <w:rPr>
                <w:rFonts w:hint="eastAsia"/>
                <w:color w:val="000000"/>
                <w:sz w:val="17"/>
                <w:lang w:eastAsia="zh-CN"/>
              </w:rPr>
              <w:t>633.72 / [83.62]</w:t>
            </w:r>
          </w:p>
        </w:tc>
        <w:tc>
          <w:tcPr>
            <w:tcW w:w="856" w:type="dxa"/>
            <w:vAlign w:val="center"/>
          </w:tcPr>
          <w:p w14:paraId="00CA579A" w14:textId="77777777" w:rsidR="005D1E5C" w:rsidRDefault="005D1E5C" w:rsidP="005D1E5C">
            <w:pPr>
              <w:keepNext/>
              <w:spacing w:line="220" w:lineRule="auto"/>
              <w:jc w:val="center"/>
            </w:pPr>
            <w:r>
              <w:rPr>
                <w:color w:val="000000"/>
                <w:sz w:val="17"/>
              </w:rPr>
              <w:t>0.9829</w:t>
            </w:r>
          </w:p>
        </w:tc>
      </w:tr>
      <w:tr w:rsidR="005D1E5C" w14:paraId="044CF1A3" w14:textId="77777777" w:rsidTr="00AE2D33">
        <w:trPr>
          <w:cantSplit/>
        </w:trPr>
        <w:tc>
          <w:tcPr>
            <w:tcW w:w="1400" w:type="dxa"/>
            <w:vAlign w:val="center"/>
          </w:tcPr>
          <w:p w14:paraId="2FC1365B" w14:textId="77777777" w:rsidR="005D1E5C" w:rsidRDefault="005D1E5C" w:rsidP="005D1E5C">
            <w:pPr>
              <w:keepNext/>
              <w:spacing w:line="220" w:lineRule="auto"/>
            </w:pPr>
            <w:r>
              <w:rPr>
                <w:color w:val="000000"/>
                <w:sz w:val="17"/>
              </w:rPr>
              <w:t>TrajGPT</w:t>
            </w:r>
          </w:p>
        </w:tc>
        <w:tc>
          <w:tcPr>
            <w:tcW w:w="856" w:type="dxa"/>
            <w:vAlign w:val="center"/>
          </w:tcPr>
          <w:p w14:paraId="224EFFED" w14:textId="77777777" w:rsidR="005D1E5C" w:rsidRDefault="005D1E5C" w:rsidP="005D1E5C">
            <w:pPr>
              <w:keepNext/>
              <w:spacing w:line="220" w:lineRule="auto"/>
              <w:jc w:val="center"/>
            </w:pPr>
            <w:r>
              <w:rPr>
                <w:color w:val="000000"/>
                <w:sz w:val="17"/>
              </w:rPr>
              <w:t>2.346</w:t>
            </w:r>
          </w:p>
        </w:tc>
        <w:tc>
          <w:tcPr>
            <w:tcW w:w="856" w:type="dxa"/>
            <w:vAlign w:val="center"/>
          </w:tcPr>
          <w:p w14:paraId="4BBCE9C9" w14:textId="77777777" w:rsidR="005D1E5C" w:rsidRDefault="005D1E5C" w:rsidP="005D1E5C">
            <w:pPr>
              <w:keepNext/>
              <w:spacing w:line="220" w:lineRule="auto"/>
              <w:jc w:val="center"/>
            </w:pPr>
            <w:r>
              <w:rPr>
                <w:color w:val="000000"/>
                <w:sz w:val="17"/>
              </w:rPr>
              <w:t>2.563</w:t>
            </w:r>
          </w:p>
        </w:tc>
        <w:tc>
          <w:tcPr>
            <w:tcW w:w="856" w:type="dxa"/>
            <w:vAlign w:val="center"/>
          </w:tcPr>
          <w:p w14:paraId="296190D3" w14:textId="74C72FBA" w:rsidR="005D1E5C" w:rsidRDefault="005D1E5C" w:rsidP="005D1E5C">
            <w:pPr>
              <w:keepNext/>
              <w:spacing w:line="220" w:lineRule="auto"/>
              <w:jc w:val="center"/>
            </w:pPr>
            <w:r>
              <w:rPr>
                <w:rFonts w:hint="eastAsia"/>
                <w:color w:val="000000"/>
                <w:sz w:val="17"/>
                <w:lang w:eastAsia="zh-CN"/>
              </w:rPr>
              <w:t>652.98 / [83.40]</w:t>
            </w:r>
          </w:p>
        </w:tc>
        <w:tc>
          <w:tcPr>
            <w:tcW w:w="856" w:type="dxa"/>
            <w:vAlign w:val="center"/>
          </w:tcPr>
          <w:p w14:paraId="1EFDA919" w14:textId="77777777" w:rsidR="005D1E5C" w:rsidRDefault="005D1E5C" w:rsidP="005D1E5C">
            <w:pPr>
              <w:keepNext/>
              <w:spacing w:line="220" w:lineRule="auto"/>
              <w:jc w:val="center"/>
            </w:pPr>
            <w:r>
              <w:rPr>
                <w:color w:val="000000"/>
                <w:sz w:val="17"/>
              </w:rPr>
              <w:t>0.9854</w:t>
            </w:r>
          </w:p>
        </w:tc>
      </w:tr>
      <w:tr w:rsidR="005D1E5C" w14:paraId="47F87AF6" w14:textId="77777777" w:rsidTr="00AE2D33">
        <w:trPr>
          <w:cantSplit/>
        </w:trPr>
        <w:tc>
          <w:tcPr>
            <w:tcW w:w="1400" w:type="dxa"/>
            <w:vAlign w:val="center"/>
          </w:tcPr>
          <w:p w14:paraId="16DEAD9E" w14:textId="77777777" w:rsidR="005D1E5C" w:rsidRDefault="005D1E5C" w:rsidP="005D1E5C">
            <w:pPr>
              <w:spacing w:line="220" w:lineRule="auto"/>
            </w:pPr>
            <w:r>
              <w:rPr>
                <w:color w:val="000000"/>
                <w:sz w:val="17"/>
              </w:rPr>
              <w:t>TCF</w:t>
            </w:r>
          </w:p>
        </w:tc>
        <w:tc>
          <w:tcPr>
            <w:tcW w:w="856" w:type="dxa"/>
            <w:vAlign w:val="center"/>
          </w:tcPr>
          <w:p w14:paraId="77B75119" w14:textId="77777777" w:rsidR="005D1E5C" w:rsidRDefault="005D1E5C" w:rsidP="005D1E5C">
            <w:pPr>
              <w:spacing w:line="220" w:lineRule="auto"/>
              <w:jc w:val="center"/>
            </w:pPr>
            <w:r>
              <w:rPr>
                <w:color w:val="000000"/>
                <w:sz w:val="17"/>
              </w:rPr>
              <w:t>2.928</w:t>
            </w:r>
          </w:p>
        </w:tc>
        <w:tc>
          <w:tcPr>
            <w:tcW w:w="856" w:type="dxa"/>
            <w:vAlign w:val="center"/>
          </w:tcPr>
          <w:p w14:paraId="4EAF2FF5" w14:textId="77777777" w:rsidR="005D1E5C" w:rsidRDefault="005D1E5C" w:rsidP="005D1E5C">
            <w:pPr>
              <w:spacing w:line="220" w:lineRule="auto"/>
              <w:jc w:val="center"/>
            </w:pPr>
            <w:r>
              <w:rPr>
                <w:color w:val="000000"/>
                <w:sz w:val="17"/>
              </w:rPr>
              <w:t>3.207</w:t>
            </w:r>
          </w:p>
        </w:tc>
        <w:tc>
          <w:tcPr>
            <w:tcW w:w="856" w:type="dxa"/>
            <w:vAlign w:val="center"/>
          </w:tcPr>
          <w:p w14:paraId="31CF97DB" w14:textId="55BC2FB6" w:rsidR="005D1E5C" w:rsidRDefault="005D1E5C" w:rsidP="005D1E5C">
            <w:pPr>
              <w:spacing w:line="220" w:lineRule="auto"/>
              <w:jc w:val="center"/>
            </w:pPr>
            <w:r>
              <w:rPr>
                <w:rFonts w:hint="eastAsia"/>
                <w:color w:val="000000"/>
                <w:sz w:val="17"/>
                <w:lang w:eastAsia="zh-CN"/>
              </w:rPr>
              <w:t>520.72 / [91.79]</w:t>
            </w:r>
          </w:p>
        </w:tc>
        <w:tc>
          <w:tcPr>
            <w:tcW w:w="856" w:type="dxa"/>
            <w:vAlign w:val="center"/>
          </w:tcPr>
          <w:p w14:paraId="04017BD6" w14:textId="77777777" w:rsidR="005D1E5C" w:rsidRDefault="005D1E5C" w:rsidP="005D1E5C">
            <w:pPr>
              <w:spacing w:line="220" w:lineRule="auto"/>
              <w:jc w:val="center"/>
            </w:pPr>
            <w:r>
              <w:rPr>
                <w:color w:val="000000"/>
                <w:sz w:val="17"/>
              </w:rPr>
              <w:t>0.9836</w:t>
            </w:r>
          </w:p>
        </w:tc>
      </w:tr>
    </w:tbl>
    <w:p w14:paraId="0FE819FA" w14:textId="77777777" w:rsidR="00173CEA" w:rsidRDefault="00173CEA" w:rsidP="00173CEA">
      <w:pPr>
        <w:spacing w:after="60"/>
        <w:jc w:val="both"/>
        <w:rPr>
          <w:color w:val="000000"/>
          <w:lang w:eastAsia="zh-CN"/>
        </w:rPr>
      </w:pPr>
      <w:r>
        <w:rPr>
          <w:rFonts w:hint="eastAsia"/>
          <w:color w:val="000000"/>
          <w:sz w:val="18"/>
          <w:lang w:eastAsia="zh-CN"/>
        </w:rPr>
        <w:t>N=1,669; 20 rollouts averaged within patient. Jaccard, precision and normalized edit distance are scored on generated diagnoses only, with up to 30 future diagnoses and a 256-native-event computation cap; diagnostic baselines without a native stopping rule reach the 30-diagnosis cap, so length is not a favorable-direction score. Bold marks the best mean, not significance. Recall and generated length are reported in Supplementary Tables S13a and S13b; For GPT, BERT, ETHOS, Med-BERT and TrajGPT, Time MAE uses a separately trained first-diagnosis time head on the frozen backbone; content and edit metrics retain the original untimed-generation protocol. Time MAE is conditional on an available predicted-reference pair, and rollout-pair availability is given in brackets (Supplementary Table S13e). These values are not comparable with the multitype-generation metrics in Supplementary Table S9.</w:t>
      </w:r>
    </w:p>
    <w:p w14:paraId="01C9AD79" w14:textId="68B6CAFF" w:rsidR="00BC132A" w:rsidRDefault="00173CEA" w:rsidP="00173CEA">
      <w:pPr>
        <w:rPr>
          <w:color w:val="000000"/>
          <w:lang w:eastAsia="zh-CN"/>
        </w:rPr>
      </w:pPr>
      <w:r>
        <w:rPr>
          <w:rFonts w:hint="eastAsia"/>
          <w:color w:val="000000"/>
          <w:lang w:eastAsia="zh-CN"/>
        </w:rPr>
        <w:t>In the separate 10</w:t>
      </w:r>
      <w:r w:rsidR="000E4464">
        <w:rPr>
          <w:rFonts w:hint="eastAsia"/>
          <w:color w:val="000000"/>
          <w:lang w:eastAsia="zh-CN"/>
        </w:rPr>
        <w:t xml:space="preserve"> </w:t>
      </w:r>
      <w:r>
        <w:rPr>
          <w:rFonts w:hint="eastAsia"/>
          <w:color w:val="000000"/>
          <w:lang w:eastAsia="zh-CN"/>
        </w:rPr>
        <w:t>year evaluation, A2 had Jaccard 2.938%, precision 4.757% and count MAE 3.598 (Supplementary Tables S13c and S13d).</w:t>
      </w:r>
      <w:r w:rsidR="000E4464">
        <w:rPr>
          <w:rFonts w:hint="eastAsia"/>
          <w:color w:val="000000"/>
          <w:lang w:eastAsia="zh-CN"/>
        </w:rPr>
        <w:t xml:space="preserve"> Also, the</w:t>
      </w:r>
      <w:r>
        <w:rPr>
          <w:rFonts w:hint="eastAsia"/>
          <w:color w:val="000000"/>
          <w:lang w:eastAsia="zh-CN"/>
        </w:rPr>
        <w:t xml:space="preserve"> </w:t>
      </w:r>
      <w:r w:rsidR="000E4464">
        <w:rPr>
          <w:rFonts w:hint="eastAsia"/>
          <w:color w:val="000000"/>
          <w:lang w:eastAsia="zh-CN"/>
        </w:rPr>
        <w:t>f</w:t>
      </w:r>
      <w:r>
        <w:rPr>
          <w:rFonts w:hint="eastAsia"/>
          <w:color w:val="000000"/>
          <w:lang w:eastAsia="zh-CN"/>
        </w:rPr>
        <w:t>irst</w:t>
      </w:r>
      <w:r w:rsidR="000E4464">
        <w:rPr>
          <w:rFonts w:hint="eastAsia"/>
          <w:color w:val="000000"/>
          <w:lang w:eastAsia="zh-CN"/>
        </w:rPr>
        <w:t xml:space="preserve"> </w:t>
      </w:r>
      <w:r>
        <w:rPr>
          <w:rFonts w:hint="eastAsia"/>
          <w:color w:val="000000"/>
          <w:lang w:eastAsia="zh-CN"/>
        </w:rPr>
        <w:t xml:space="preserve">diagnosis MAE was 515.66 days, versus 519.07 for </w:t>
      </w:r>
      <w:r w:rsidR="000E4464">
        <w:rPr>
          <w:rFonts w:hint="eastAsia"/>
          <w:color w:val="000000"/>
          <w:lang w:eastAsia="zh-CN"/>
        </w:rPr>
        <w:t>our absolute model</w:t>
      </w:r>
      <w:r>
        <w:rPr>
          <w:rFonts w:hint="eastAsia"/>
          <w:color w:val="000000"/>
          <w:lang w:eastAsia="zh-CN"/>
        </w:rPr>
        <w:t>, 695.38 for Delphi and 520.72 for TCF. Availability differed (70.74%-91.79%), so these conditional means do not establish timing superiority. ETHOS interval-membership results are reported separately (Supplementary Table S13c).</w:t>
      </w:r>
    </w:p>
    <w:p w14:paraId="012FDEA1" w14:textId="251DC352" w:rsidR="00BC132A" w:rsidRDefault="00000000" w:rsidP="00173CEA">
      <w:pPr>
        <w:pStyle w:val="3"/>
      </w:pPr>
      <w:r>
        <w:t>C. Fixed</w:t>
      </w:r>
      <w:r w:rsidR="00380C7D">
        <w:rPr>
          <w:rFonts w:hint="eastAsia"/>
          <w:lang w:eastAsia="zh-CN"/>
        </w:rPr>
        <w:t xml:space="preserve"> </w:t>
      </w:r>
      <w:r>
        <w:t>horizon prediction of selected diseases</w:t>
      </w:r>
    </w:p>
    <w:p w14:paraId="247C6CDB" w14:textId="77777777" w:rsidR="00BC132A" w:rsidRDefault="00000000">
      <w:pPr>
        <w:rPr>
          <w:color w:val="000000"/>
          <w:lang w:eastAsia="zh-CN"/>
        </w:rPr>
      </w:pPr>
      <w:r>
        <w:rPr>
          <w:color w:val="000000"/>
          <w:lang w:eastAsia="zh-CN"/>
        </w:rPr>
        <w:t xml:space="preserve">The horizon-query evaluation tests a different use of the learned history: disease-specific prediction at 1, 5 and 10 years. Table IV compares the corrected ten-outcome benchmark in 4,668 held-out participants (260,110 scored records; 277 valid AUROC strata). Relative had macro AUROC 0.7501 versus 0.7462 for Absolute and 0.7424 without absolute age; reference AUROCs ranged from 0.7051 to 0.7263. The AUROC advantage did not carry over to AUPRC, where Absolute was slightly higher (0.2646 versus 0.2616), and both Brier and ECE were lowest for MDRMF </w:t>
      </w:r>
      <w:r>
        <w:rPr>
          <w:color w:val="000000"/>
          <w:lang w:eastAsia="zh-CN"/>
        </w:rPr>
        <w:lastRenderedPageBreak/>
        <w:t>(0.0281 and 0.0244) rather than for either MedTrajectory variant.</w:t>
      </w:r>
    </w:p>
    <w:p w14:paraId="5468C109" w14:textId="66CCC474" w:rsidR="00BC132A" w:rsidRDefault="00000000">
      <w:pPr>
        <w:rPr>
          <w:color w:val="000000"/>
          <w:lang w:eastAsia="zh-CN"/>
        </w:rPr>
      </w:pPr>
      <w:r>
        <w:rPr>
          <w:color w:val="000000"/>
          <w:lang w:eastAsia="zh-CN"/>
        </w:rPr>
        <w:t>The prespecified Relative-minus-Absolute difference was +0.003893</w:t>
      </w:r>
      <w:r w:rsidR="00AD306A">
        <w:rPr>
          <w:rFonts w:hint="eastAsia"/>
          <w:color w:val="000000"/>
          <w:lang w:eastAsia="zh-CN"/>
        </w:rPr>
        <w:t>;</w:t>
      </w:r>
      <w:r>
        <w:rPr>
          <w:color w:val="000000"/>
          <w:lang w:eastAsia="zh-CN"/>
        </w:rPr>
        <w:t xml:space="preserve"> its lower bound (-0.005792) fell below the -0.005 noninferiority margin. Non-MedTrajectory comparisons are exploratory (Supplementary S2). These are system-level macro results, not evidence of improvement for every disease/window or an isolated benefit of adding the horizon head.</w:t>
      </w:r>
    </w:p>
    <w:p w14:paraId="51C25371" w14:textId="65A77A62" w:rsidR="00BC132A" w:rsidRDefault="00000000">
      <w:pPr>
        <w:keepNext/>
        <w:spacing w:before="80" w:after="60"/>
        <w:jc w:val="center"/>
        <w:rPr>
          <w:color w:val="000000"/>
          <w:lang w:eastAsia="zh-CN"/>
        </w:rPr>
      </w:pPr>
      <w:r>
        <w:rPr>
          <w:color w:val="000000"/>
          <w:sz w:val="18"/>
          <w:lang w:eastAsia="zh-CN"/>
        </w:rPr>
        <w:t>TABLE I</w:t>
      </w:r>
      <w:r w:rsidR="00E767AD">
        <w:rPr>
          <w:rFonts w:hint="eastAsia"/>
          <w:color w:val="000000"/>
          <w:sz w:val="18"/>
          <w:lang w:eastAsia="zh-CN"/>
        </w:rPr>
        <w:t>V</w:t>
      </w:r>
      <w:r>
        <w:rPr>
          <w:color w:val="000000"/>
          <w:sz w:val="18"/>
          <w:lang w:eastAsia="zh-CN"/>
        </w:rPr>
        <w:t>. Corrected fixed-horizon risk benchmark</w:t>
      </w:r>
    </w:p>
    <w:tbl>
      <w:tblPr>
        <w:tblW w:w="4824" w:type="dxa"/>
        <w:tblBorders>
          <w:top w:val="single" w:sz="12" w:space="0" w:color="000000" w:themeColor="text1"/>
          <w:bottom w:val="single" w:sz="12" w:space="0" w:color="000000" w:themeColor="text1"/>
        </w:tblBorders>
        <w:tblLayout w:type="fixed"/>
        <w:tblCellMar>
          <w:top w:w="40" w:type="dxa"/>
          <w:left w:w="85" w:type="dxa"/>
          <w:bottom w:w="40" w:type="dxa"/>
          <w:right w:w="85" w:type="dxa"/>
        </w:tblCellMar>
        <w:tblLook w:val="04A0" w:firstRow="1" w:lastRow="0" w:firstColumn="1" w:lastColumn="0" w:noHBand="0" w:noVBand="1"/>
      </w:tblPr>
      <w:tblGrid>
        <w:gridCol w:w="1271"/>
        <w:gridCol w:w="992"/>
        <w:gridCol w:w="993"/>
        <w:gridCol w:w="798"/>
        <w:gridCol w:w="770"/>
      </w:tblGrid>
      <w:tr w:rsidR="00BC132A" w14:paraId="14E4B42F" w14:textId="77777777" w:rsidTr="0013296E">
        <w:trPr>
          <w:cantSplit/>
          <w:tblHeader/>
        </w:trPr>
        <w:tc>
          <w:tcPr>
            <w:tcW w:w="1271" w:type="dxa"/>
            <w:tcBorders>
              <w:top w:val="single" w:sz="12" w:space="0" w:color="000000" w:themeColor="text1"/>
              <w:bottom w:val="single" w:sz="12" w:space="0" w:color="000000" w:themeColor="text1"/>
            </w:tcBorders>
            <w:shd w:val="clear" w:color="auto" w:fill="E9EDF0"/>
            <w:vAlign w:val="center"/>
          </w:tcPr>
          <w:p w14:paraId="2707FE0E" w14:textId="77777777" w:rsidR="00BC132A" w:rsidRDefault="00000000">
            <w:pPr>
              <w:spacing w:line="200" w:lineRule="auto"/>
            </w:pPr>
            <w:r>
              <w:rPr>
                <w:b/>
                <w:color w:val="000000"/>
                <w:sz w:val="16"/>
                <w:lang w:eastAsia="zh-CN"/>
              </w:rPr>
              <w:t>Model</w:t>
            </w:r>
          </w:p>
        </w:tc>
        <w:tc>
          <w:tcPr>
            <w:tcW w:w="992" w:type="dxa"/>
            <w:tcBorders>
              <w:top w:val="single" w:sz="12" w:space="0" w:color="000000" w:themeColor="text1"/>
              <w:bottom w:val="single" w:sz="12" w:space="0" w:color="000000" w:themeColor="text1"/>
            </w:tcBorders>
            <w:shd w:val="clear" w:color="auto" w:fill="E9EDF0"/>
            <w:vAlign w:val="center"/>
          </w:tcPr>
          <w:p w14:paraId="78AA170E" w14:textId="153FBE86" w:rsidR="00BC132A" w:rsidRPr="00501EDC" w:rsidRDefault="00000000">
            <w:pPr>
              <w:spacing w:line="200" w:lineRule="auto"/>
              <w:jc w:val="center"/>
            </w:pPr>
            <w:r>
              <w:rPr>
                <w:b/>
                <w:color w:val="000000"/>
                <w:sz w:val="16"/>
                <w:lang w:eastAsia="zh-CN"/>
              </w:rPr>
              <w:t>AUROC</w:t>
            </w:r>
            <w:r w:rsidR="00501EDC">
              <w:rPr>
                <w:rFonts w:ascii="Microsoft JhengHei" w:eastAsia="Microsoft JhengHei" w:hAnsi="Microsoft JhengHei" w:hint="eastAsia"/>
                <w:b/>
                <w:color w:val="000000"/>
                <w:sz w:val="16"/>
                <w:lang w:eastAsia="zh-CN"/>
              </w:rPr>
              <w:t>↑</w:t>
            </w:r>
          </w:p>
        </w:tc>
        <w:tc>
          <w:tcPr>
            <w:tcW w:w="993" w:type="dxa"/>
            <w:tcBorders>
              <w:top w:val="single" w:sz="12" w:space="0" w:color="000000" w:themeColor="text1"/>
              <w:bottom w:val="single" w:sz="12" w:space="0" w:color="000000" w:themeColor="text1"/>
            </w:tcBorders>
            <w:shd w:val="clear" w:color="auto" w:fill="E9EDF0"/>
            <w:vAlign w:val="center"/>
          </w:tcPr>
          <w:p w14:paraId="3043683A" w14:textId="2834F8EC" w:rsidR="00BC132A" w:rsidRDefault="00000000">
            <w:pPr>
              <w:spacing w:line="200" w:lineRule="auto"/>
              <w:jc w:val="center"/>
            </w:pPr>
            <w:r>
              <w:rPr>
                <w:b/>
                <w:color w:val="000000"/>
                <w:sz w:val="16"/>
                <w:lang w:eastAsia="zh-CN"/>
              </w:rPr>
              <w:t>AUPRC</w:t>
            </w:r>
            <w:r w:rsidR="00501EDC">
              <w:rPr>
                <w:rFonts w:ascii="Microsoft JhengHei" w:eastAsia="Microsoft JhengHei" w:hAnsi="Microsoft JhengHei" w:hint="eastAsia"/>
                <w:b/>
                <w:color w:val="000000"/>
                <w:sz w:val="16"/>
                <w:lang w:eastAsia="zh-CN"/>
              </w:rPr>
              <w:t>↑</w:t>
            </w:r>
          </w:p>
        </w:tc>
        <w:tc>
          <w:tcPr>
            <w:tcW w:w="798" w:type="dxa"/>
            <w:tcBorders>
              <w:top w:val="single" w:sz="12" w:space="0" w:color="000000" w:themeColor="text1"/>
              <w:bottom w:val="single" w:sz="12" w:space="0" w:color="000000" w:themeColor="text1"/>
            </w:tcBorders>
            <w:shd w:val="clear" w:color="auto" w:fill="E9EDF0"/>
            <w:vAlign w:val="center"/>
          </w:tcPr>
          <w:p w14:paraId="25024187" w14:textId="66E71EDF" w:rsidR="00BC132A" w:rsidRDefault="00000000">
            <w:pPr>
              <w:spacing w:line="200" w:lineRule="auto"/>
              <w:jc w:val="center"/>
            </w:pPr>
            <w:r>
              <w:rPr>
                <w:b/>
                <w:color w:val="000000"/>
                <w:sz w:val="16"/>
                <w:lang w:eastAsia="zh-CN"/>
              </w:rPr>
              <w:t>Brier</w:t>
            </w:r>
            <w:r w:rsidR="00501EDC">
              <w:rPr>
                <w:rFonts w:ascii="Microsoft JhengHei" w:eastAsia="Microsoft JhengHei" w:hAnsi="Microsoft JhengHei" w:hint="eastAsia"/>
                <w:b/>
                <w:color w:val="000000"/>
                <w:sz w:val="16"/>
                <w:lang w:eastAsia="zh-CN"/>
              </w:rPr>
              <w:t>↓</w:t>
            </w:r>
          </w:p>
        </w:tc>
        <w:tc>
          <w:tcPr>
            <w:tcW w:w="770" w:type="dxa"/>
            <w:tcBorders>
              <w:top w:val="single" w:sz="12" w:space="0" w:color="000000" w:themeColor="text1"/>
              <w:bottom w:val="single" w:sz="12" w:space="0" w:color="000000" w:themeColor="text1"/>
            </w:tcBorders>
            <w:shd w:val="clear" w:color="auto" w:fill="E9EDF0"/>
            <w:vAlign w:val="center"/>
          </w:tcPr>
          <w:p w14:paraId="6298A451" w14:textId="4B982E4C" w:rsidR="00BC132A" w:rsidRDefault="00000000">
            <w:pPr>
              <w:spacing w:line="200" w:lineRule="auto"/>
              <w:jc w:val="center"/>
            </w:pPr>
            <w:r>
              <w:rPr>
                <w:b/>
                <w:color w:val="000000"/>
                <w:sz w:val="16"/>
                <w:lang w:eastAsia="zh-CN"/>
              </w:rPr>
              <w:t>ECE</w:t>
            </w:r>
            <w:r w:rsidR="00501EDC">
              <w:rPr>
                <w:rFonts w:ascii="Microsoft JhengHei" w:eastAsia="Microsoft JhengHei" w:hAnsi="Microsoft JhengHei" w:hint="eastAsia"/>
                <w:b/>
                <w:color w:val="000000"/>
                <w:sz w:val="16"/>
                <w:lang w:eastAsia="zh-CN"/>
              </w:rPr>
              <w:t>↓</w:t>
            </w:r>
          </w:p>
        </w:tc>
      </w:tr>
      <w:tr w:rsidR="00BC132A" w14:paraId="7CD313A4" w14:textId="77777777" w:rsidTr="0013296E">
        <w:trPr>
          <w:cantSplit/>
        </w:trPr>
        <w:tc>
          <w:tcPr>
            <w:tcW w:w="1271" w:type="dxa"/>
            <w:tcBorders>
              <w:top w:val="single" w:sz="12" w:space="0" w:color="000000" w:themeColor="text1"/>
            </w:tcBorders>
            <w:shd w:val="clear" w:color="auto" w:fill="FFFFFF"/>
            <w:vAlign w:val="center"/>
          </w:tcPr>
          <w:p w14:paraId="24E1331C" w14:textId="77777777" w:rsidR="00BC132A" w:rsidRDefault="00000000">
            <w:pPr>
              <w:spacing w:line="200" w:lineRule="auto"/>
            </w:pPr>
            <w:r>
              <w:rPr>
                <w:color w:val="000000"/>
                <w:sz w:val="16"/>
                <w:lang w:eastAsia="zh-CN"/>
              </w:rPr>
              <w:t>MT Relative</w:t>
            </w:r>
          </w:p>
        </w:tc>
        <w:tc>
          <w:tcPr>
            <w:tcW w:w="992" w:type="dxa"/>
            <w:tcBorders>
              <w:top w:val="single" w:sz="12" w:space="0" w:color="000000" w:themeColor="text1"/>
            </w:tcBorders>
            <w:shd w:val="clear" w:color="auto" w:fill="FFFFFF"/>
            <w:vAlign w:val="center"/>
          </w:tcPr>
          <w:p w14:paraId="6E729050" w14:textId="77777777" w:rsidR="00BC132A" w:rsidRPr="00F4204B" w:rsidRDefault="00000000">
            <w:pPr>
              <w:spacing w:line="200" w:lineRule="auto"/>
              <w:jc w:val="center"/>
              <w:rPr>
                <w:b/>
                <w:bCs/>
              </w:rPr>
            </w:pPr>
            <w:r w:rsidRPr="00F4204B">
              <w:rPr>
                <w:b/>
                <w:bCs/>
                <w:color w:val="000000"/>
                <w:sz w:val="16"/>
                <w:lang w:eastAsia="zh-CN"/>
              </w:rPr>
              <w:t>0.7501</w:t>
            </w:r>
          </w:p>
        </w:tc>
        <w:tc>
          <w:tcPr>
            <w:tcW w:w="993" w:type="dxa"/>
            <w:tcBorders>
              <w:top w:val="single" w:sz="12" w:space="0" w:color="000000" w:themeColor="text1"/>
            </w:tcBorders>
            <w:shd w:val="clear" w:color="auto" w:fill="FFFFFF"/>
            <w:vAlign w:val="center"/>
          </w:tcPr>
          <w:p w14:paraId="3C17306B" w14:textId="0C0B37A8" w:rsidR="00BC132A" w:rsidRPr="00F4204B" w:rsidRDefault="00000000">
            <w:pPr>
              <w:spacing w:line="200" w:lineRule="auto"/>
              <w:jc w:val="center"/>
              <w:rPr>
                <w:b/>
                <w:bCs/>
              </w:rPr>
            </w:pPr>
            <w:r w:rsidRPr="00F4204B">
              <w:rPr>
                <w:b/>
                <w:bCs/>
                <w:color w:val="000000"/>
                <w:sz w:val="16"/>
                <w:lang w:eastAsia="zh-CN"/>
              </w:rPr>
              <w:t>0.2616</w:t>
            </w:r>
          </w:p>
        </w:tc>
        <w:tc>
          <w:tcPr>
            <w:tcW w:w="798" w:type="dxa"/>
            <w:tcBorders>
              <w:top w:val="single" w:sz="12" w:space="0" w:color="000000" w:themeColor="text1"/>
            </w:tcBorders>
            <w:shd w:val="clear" w:color="auto" w:fill="FFFFFF"/>
            <w:vAlign w:val="center"/>
          </w:tcPr>
          <w:p w14:paraId="60A94D50" w14:textId="2B3CA875" w:rsidR="00BC132A" w:rsidRPr="00F4204B" w:rsidRDefault="00000000">
            <w:pPr>
              <w:spacing w:line="200" w:lineRule="auto"/>
              <w:jc w:val="center"/>
              <w:rPr>
                <w:b/>
                <w:bCs/>
              </w:rPr>
            </w:pPr>
            <w:r w:rsidRPr="00F4204B">
              <w:rPr>
                <w:b/>
                <w:bCs/>
                <w:color w:val="000000"/>
                <w:sz w:val="16"/>
                <w:lang w:eastAsia="zh-CN"/>
              </w:rPr>
              <w:t>0.0314</w:t>
            </w:r>
          </w:p>
        </w:tc>
        <w:tc>
          <w:tcPr>
            <w:tcW w:w="770" w:type="dxa"/>
            <w:tcBorders>
              <w:top w:val="single" w:sz="12" w:space="0" w:color="000000" w:themeColor="text1"/>
            </w:tcBorders>
            <w:shd w:val="clear" w:color="auto" w:fill="FFFFFF"/>
            <w:vAlign w:val="center"/>
          </w:tcPr>
          <w:p w14:paraId="5A07EB19" w14:textId="77777777" w:rsidR="00BC132A" w:rsidRDefault="00000000">
            <w:pPr>
              <w:spacing w:line="200" w:lineRule="auto"/>
              <w:jc w:val="center"/>
            </w:pPr>
            <w:r>
              <w:rPr>
                <w:color w:val="000000"/>
                <w:sz w:val="16"/>
                <w:lang w:eastAsia="zh-CN"/>
              </w:rPr>
              <w:t>0.0323</w:t>
            </w:r>
          </w:p>
        </w:tc>
      </w:tr>
      <w:tr w:rsidR="00BC132A" w14:paraId="0776B772" w14:textId="77777777" w:rsidTr="0013296E">
        <w:trPr>
          <w:cantSplit/>
        </w:trPr>
        <w:tc>
          <w:tcPr>
            <w:tcW w:w="1271" w:type="dxa"/>
            <w:shd w:val="clear" w:color="auto" w:fill="F7F8F9"/>
            <w:vAlign w:val="center"/>
          </w:tcPr>
          <w:p w14:paraId="48A57A8E" w14:textId="77777777" w:rsidR="00BC132A" w:rsidRDefault="00000000">
            <w:pPr>
              <w:spacing w:line="200" w:lineRule="auto"/>
            </w:pPr>
            <w:r>
              <w:rPr>
                <w:color w:val="000000"/>
                <w:sz w:val="16"/>
                <w:lang w:eastAsia="zh-CN"/>
              </w:rPr>
              <w:t>MT Absolute</w:t>
            </w:r>
          </w:p>
        </w:tc>
        <w:tc>
          <w:tcPr>
            <w:tcW w:w="992" w:type="dxa"/>
            <w:shd w:val="clear" w:color="auto" w:fill="F7F8F9"/>
            <w:vAlign w:val="center"/>
          </w:tcPr>
          <w:p w14:paraId="0F5B7CB8" w14:textId="77777777" w:rsidR="00BC132A" w:rsidRDefault="00000000">
            <w:pPr>
              <w:spacing w:line="200" w:lineRule="auto"/>
              <w:jc w:val="center"/>
            </w:pPr>
            <w:r>
              <w:rPr>
                <w:color w:val="000000"/>
                <w:sz w:val="16"/>
                <w:lang w:eastAsia="zh-CN"/>
              </w:rPr>
              <w:t>0.7462</w:t>
            </w:r>
          </w:p>
        </w:tc>
        <w:tc>
          <w:tcPr>
            <w:tcW w:w="993" w:type="dxa"/>
            <w:shd w:val="clear" w:color="auto" w:fill="F7F8F9"/>
            <w:vAlign w:val="center"/>
          </w:tcPr>
          <w:p w14:paraId="43CC5E3C" w14:textId="5E66268F" w:rsidR="00BC132A" w:rsidRDefault="00000000">
            <w:pPr>
              <w:spacing w:line="200" w:lineRule="auto"/>
              <w:jc w:val="center"/>
            </w:pPr>
            <w:r>
              <w:rPr>
                <w:color w:val="000000"/>
                <w:sz w:val="16"/>
                <w:lang w:eastAsia="zh-CN"/>
              </w:rPr>
              <w:t>0.2646</w:t>
            </w:r>
          </w:p>
        </w:tc>
        <w:tc>
          <w:tcPr>
            <w:tcW w:w="798" w:type="dxa"/>
            <w:shd w:val="clear" w:color="auto" w:fill="F7F8F9"/>
            <w:vAlign w:val="center"/>
          </w:tcPr>
          <w:p w14:paraId="1247F0E7" w14:textId="02DE79B1" w:rsidR="00BC132A" w:rsidRDefault="00000000">
            <w:pPr>
              <w:spacing w:line="200" w:lineRule="auto"/>
              <w:jc w:val="center"/>
            </w:pPr>
            <w:r>
              <w:rPr>
                <w:color w:val="000000"/>
                <w:sz w:val="16"/>
                <w:lang w:eastAsia="zh-CN"/>
              </w:rPr>
              <w:t>0.0292</w:t>
            </w:r>
          </w:p>
        </w:tc>
        <w:tc>
          <w:tcPr>
            <w:tcW w:w="770" w:type="dxa"/>
            <w:shd w:val="clear" w:color="auto" w:fill="F7F8F9"/>
            <w:vAlign w:val="center"/>
          </w:tcPr>
          <w:p w14:paraId="6CF17DDF" w14:textId="77777777" w:rsidR="00BC132A" w:rsidRDefault="00000000">
            <w:pPr>
              <w:spacing w:line="200" w:lineRule="auto"/>
              <w:jc w:val="center"/>
            </w:pPr>
            <w:r>
              <w:rPr>
                <w:color w:val="000000"/>
                <w:sz w:val="16"/>
                <w:lang w:eastAsia="zh-CN"/>
              </w:rPr>
              <w:t>0.0305</w:t>
            </w:r>
          </w:p>
        </w:tc>
      </w:tr>
      <w:tr w:rsidR="00BC132A" w14:paraId="25928382" w14:textId="77777777" w:rsidTr="0013296E">
        <w:trPr>
          <w:cantSplit/>
        </w:trPr>
        <w:tc>
          <w:tcPr>
            <w:tcW w:w="1271" w:type="dxa"/>
            <w:shd w:val="clear" w:color="auto" w:fill="FFFFFF"/>
            <w:vAlign w:val="center"/>
          </w:tcPr>
          <w:p w14:paraId="70684563" w14:textId="77777777" w:rsidR="00BC132A" w:rsidRDefault="00000000">
            <w:pPr>
              <w:spacing w:line="200" w:lineRule="auto"/>
            </w:pPr>
            <w:r>
              <w:rPr>
                <w:color w:val="000000"/>
                <w:sz w:val="16"/>
                <w:lang w:eastAsia="zh-CN"/>
              </w:rPr>
              <w:t>Relative no-age</w:t>
            </w:r>
          </w:p>
        </w:tc>
        <w:tc>
          <w:tcPr>
            <w:tcW w:w="992" w:type="dxa"/>
            <w:shd w:val="clear" w:color="auto" w:fill="FFFFFF"/>
            <w:vAlign w:val="center"/>
          </w:tcPr>
          <w:p w14:paraId="6B3AD0E9" w14:textId="77777777" w:rsidR="00BC132A" w:rsidRDefault="00000000">
            <w:pPr>
              <w:spacing w:line="200" w:lineRule="auto"/>
              <w:jc w:val="center"/>
            </w:pPr>
            <w:r>
              <w:rPr>
                <w:color w:val="000000"/>
                <w:sz w:val="16"/>
                <w:lang w:eastAsia="zh-CN"/>
              </w:rPr>
              <w:t>0.7424</w:t>
            </w:r>
          </w:p>
        </w:tc>
        <w:tc>
          <w:tcPr>
            <w:tcW w:w="993" w:type="dxa"/>
            <w:shd w:val="clear" w:color="auto" w:fill="FFFFFF"/>
            <w:vAlign w:val="center"/>
          </w:tcPr>
          <w:p w14:paraId="4A6D74DA" w14:textId="77777777" w:rsidR="00BC132A" w:rsidRDefault="00000000">
            <w:pPr>
              <w:spacing w:line="200" w:lineRule="auto"/>
              <w:jc w:val="center"/>
            </w:pPr>
            <w:r>
              <w:rPr>
                <w:color w:val="000000"/>
                <w:sz w:val="16"/>
                <w:lang w:eastAsia="zh-CN"/>
              </w:rPr>
              <w:t>0.2103</w:t>
            </w:r>
          </w:p>
        </w:tc>
        <w:tc>
          <w:tcPr>
            <w:tcW w:w="798" w:type="dxa"/>
            <w:shd w:val="clear" w:color="auto" w:fill="FFFFFF"/>
            <w:vAlign w:val="center"/>
          </w:tcPr>
          <w:p w14:paraId="6428B2EC" w14:textId="77777777" w:rsidR="00BC132A" w:rsidRDefault="00000000">
            <w:pPr>
              <w:spacing w:line="200" w:lineRule="auto"/>
              <w:jc w:val="center"/>
            </w:pPr>
            <w:r>
              <w:rPr>
                <w:color w:val="000000"/>
                <w:sz w:val="16"/>
                <w:lang w:eastAsia="zh-CN"/>
              </w:rPr>
              <w:t>0.0363</w:t>
            </w:r>
          </w:p>
        </w:tc>
        <w:tc>
          <w:tcPr>
            <w:tcW w:w="770" w:type="dxa"/>
            <w:shd w:val="clear" w:color="auto" w:fill="FFFFFF"/>
            <w:vAlign w:val="center"/>
          </w:tcPr>
          <w:p w14:paraId="0864FEE0" w14:textId="77777777" w:rsidR="00BC132A" w:rsidRDefault="00000000">
            <w:pPr>
              <w:spacing w:line="200" w:lineRule="auto"/>
              <w:jc w:val="center"/>
            </w:pPr>
            <w:r>
              <w:rPr>
                <w:color w:val="000000"/>
                <w:sz w:val="16"/>
                <w:lang w:eastAsia="zh-CN"/>
              </w:rPr>
              <w:t>0.0378</w:t>
            </w:r>
          </w:p>
        </w:tc>
      </w:tr>
      <w:tr w:rsidR="00BC132A" w14:paraId="4480F67F" w14:textId="77777777" w:rsidTr="0013296E">
        <w:trPr>
          <w:cantSplit/>
        </w:trPr>
        <w:tc>
          <w:tcPr>
            <w:tcW w:w="1271" w:type="dxa"/>
            <w:shd w:val="clear" w:color="auto" w:fill="F7F8F9"/>
            <w:vAlign w:val="center"/>
          </w:tcPr>
          <w:p w14:paraId="00CBEB8C" w14:textId="77777777" w:rsidR="00BC132A" w:rsidRDefault="00000000">
            <w:pPr>
              <w:spacing w:line="200" w:lineRule="auto"/>
            </w:pPr>
            <w:r>
              <w:rPr>
                <w:color w:val="000000"/>
                <w:sz w:val="16"/>
                <w:lang w:eastAsia="zh-CN"/>
              </w:rPr>
              <w:t>Cox</w:t>
            </w:r>
          </w:p>
        </w:tc>
        <w:tc>
          <w:tcPr>
            <w:tcW w:w="992" w:type="dxa"/>
            <w:shd w:val="clear" w:color="auto" w:fill="F7F8F9"/>
            <w:vAlign w:val="center"/>
          </w:tcPr>
          <w:p w14:paraId="2A17FAC1" w14:textId="77777777" w:rsidR="00BC132A" w:rsidRDefault="00000000">
            <w:pPr>
              <w:spacing w:line="200" w:lineRule="auto"/>
              <w:jc w:val="center"/>
            </w:pPr>
            <w:r>
              <w:rPr>
                <w:color w:val="000000"/>
                <w:sz w:val="16"/>
                <w:lang w:eastAsia="zh-CN"/>
              </w:rPr>
              <w:t>0.7263</w:t>
            </w:r>
          </w:p>
        </w:tc>
        <w:tc>
          <w:tcPr>
            <w:tcW w:w="993" w:type="dxa"/>
            <w:shd w:val="clear" w:color="auto" w:fill="F7F8F9"/>
            <w:vAlign w:val="center"/>
          </w:tcPr>
          <w:p w14:paraId="74FB8DFC" w14:textId="77777777" w:rsidR="00BC132A" w:rsidRDefault="00000000">
            <w:pPr>
              <w:spacing w:line="200" w:lineRule="auto"/>
              <w:jc w:val="center"/>
            </w:pPr>
            <w:r>
              <w:rPr>
                <w:color w:val="000000"/>
                <w:sz w:val="16"/>
                <w:lang w:eastAsia="zh-CN"/>
              </w:rPr>
              <w:t>0.2062</w:t>
            </w:r>
          </w:p>
        </w:tc>
        <w:tc>
          <w:tcPr>
            <w:tcW w:w="798" w:type="dxa"/>
            <w:shd w:val="clear" w:color="auto" w:fill="F7F8F9"/>
            <w:vAlign w:val="center"/>
          </w:tcPr>
          <w:p w14:paraId="7182FA03" w14:textId="77777777" w:rsidR="00BC132A" w:rsidRDefault="00000000">
            <w:pPr>
              <w:spacing w:line="200" w:lineRule="auto"/>
              <w:jc w:val="center"/>
            </w:pPr>
            <w:r>
              <w:rPr>
                <w:color w:val="000000"/>
                <w:sz w:val="16"/>
                <w:lang w:eastAsia="zh-CN"/>
              </w:rPr>
              <w:t>0.0417</w:t>
            </w:r>
          </w:p>
        </w:tc>
        <w:tc>
          <w:tcPr>
            <w:tcW w:w="770" w:type="dxa"/>
            <w:shd w:val="clear" w:color="auto" w:fill="F7F8F9"/>
            <w:vAlign w:val="center"/>
          </w:tcPr>
          <w:p w14:paraId="48BE3841" w14:textId="77777777" w:rsidR="00BC132A" w:rsidRDefault="00000000">
            <w:pPr>
              <w:spacing w:line="200" w:lineRule="auto"/>
              <w:jc w:val="center"/>
            </w:pPr>
            <w:r>
              <w:rPr>
                <w:color w:val="000000"/>
                <w:sz w:val="16"/>
                <w:lang w:eastAsia="zh-CN"/>
              </w:rPr>
              <w:t>0.0366</w:t>
            </w:r>
          </w:p>
        </w:tc>
      </w:tr>
      <w:tr w:rsidR="00BC132A" w14:paraId="27DB3918" w14:textId="77777777" w:rsidTr="0013296E">
        <w:trPr>
          <w:cantSplit/>
        </w:trPr>
        <w:tc>
          <w:tcPr>
            <w:tcW w:w="1271" w:type="dxa"/>
            <w:shd w:val="clear" w:color="auto" w:fill="FFFFFF"/>
            <w:vAlign w:val="center"/>
          </w:tcPr>
          <w:p w14:paraId="227D3AA8" w14:textId="77777777" w:rsidR="00BC132A" w:rsidRDefault="00000000">
            <w:pPr>
              <w:spacing w:line="200" w:lineRule="auto"/>
            </w:pPr>
            <w:r>
              <w:rPr>
                <w:color w:val="000000"/>
                <w:sz w:val="16"/>
                <w:lang w:eastAsia="zh-CN"/>
              </w:rPr>
              <w:t>MDRMF</w:t>
            </w:r>
          </w:p>
        </w:tc>
        <w:tc>
          <w:tcPr>
            <w:tcW w:w="992" w:type="dxa"/>
            <w:shd w:val="clear" w:color="auto" w:fill="FFFFFF"/>
            <w:vAlign w:val="center"/>
          </w:tcPr>
          <w:p w14:paraId="394014AD" w14:textId="77777777" w:rsidR="00BC132A" w:rsidRDefault="00000000">
            <w:pPr>
              <w:spacing w:line="200" w:lineRule="auto"/>
              <w:jc w:val="center"/>
            </w:pPr>
            <w:r>
              <w:rPr>
                <w:color w:val="000000"/>
                <w:sz w:val="16"/>
                <w:lang w:eastAsia="zh-CN"/>
              </w:rPr>
              <w:t>0.7203</w:t>
            </w:r>
          </w:p>
        </w:tc>
        <w:tc>
          <w:tcPr>
            <w:tcW w:w="993" w:type="dxa"/>
            <w:shd w:val="clear" w:color="auto" w:fill="FFFFFF"/>
            <w:vAlign w:val="center"/>
          </w:tcPr>
          <w:p w14:paraId="6A65FBEC" w14:textId="77777777" w:rsidR="00BC132A" w:rsidRDefault="00000000">
            <w:pPr>
              <w:spacing w:line="200" w:lineRule="auto"/>
              <w:jc w:val="center"/>
            </w:pPr>
            <w:r>
              <w:rPr>
                <w:color w:val="000000"/>
                <w:sz w:val="16"/>
                <w:lang w:eastAsia="zh-CN"/>
              </w:rPr>
              <w:t>0.2134</w:t>
            </w:r>
          </w:p>
        </w:tc>
        <w:tc>
          <w:tcPr>
            <w:tcW w:w="798" w:type="dxa"/>
            <w:shd w:val="clear" w:color="auto" w:fill="FFFFFF"/>
            <w:vAlign w:val="center"/>
          </w:tcPr>
          <w:p w14:paraId="657E8D16" w14:textId="15C0E938" w:rsidR="00BC132A" w:rsidRDefault="00000000">
            <w:pPr>
              <w:spacing w:line="200" w:lineRule="auto"/>
              <w:jc w:val="center"/>
            </w:pPr>
            <w:r>
              <w:rPr>
                <w:color w:val="000000"/>
                <w:sz w:val="16"/>
                <w:lang w:eastAsia="zh-CN"/>
              </w:rPr>
              <w:t>0.0281</w:t>
            </w:r>
          </w:p>
        </w:tc>
        <w:tc>
          <w:tcPr>
            <w:tcW w:w="770" w:type="dxa"/>
            <w:shd w:val="clear" w:color="auto" w:fill="FFFFFF"/>
            <w:vAlign w:val="center"/>
          </w:tcPr>
          <w:p w14:paraId="42F7649A" w14:textId="6E678BAB" w:rsidR="00BC132A" w:rsidRPr="00F4204B" w:rsidRDefault="00000000">
            <w:pPr>
              <w:spacing w:line="200" w:lineRule="auto"/>
              <w:jc w:val="center"/>
              <w:rPr>
                <w:b/>
                <w:bCs/>
              </w:rPr>
            </w:pPr>
            <w:r w:rsidRPr="00F4204B">
              <w:rPr>
                <w:b/>
                <w:bCs/>
                <w:color w:val="000000"/>
                <w:sz w:val="16"/>
                <w:lang w:eastAsia="zh-CN"/>
              </w:rPr>
              <w:t>0.0244</w:t>
            </w:r>
          </w:p>
        </w:tc>
      </w:tr>
      <w:tr w:rsidR="00BC132A" w14:paraId="49B5B2F5" w14:textId="77777777" w:rsidTr="0013296E">
        <w:trPr>
          <w:cantSplit/>
        </w:trPr>
        <w:tc>
          <w:tcPr>
            <w:tcW w:w="1271" w:type="dxa"/>
            <w:shd w:val="clear" w:color="auto" w:fill="F7F8F9"/>
            <w:vAlign w:val="center"/>
          </w:tcPr>
          <w:p w14:paraId="202A1CB2" w14:textId="77777777" w:rsidR="00BC132A" w:rsidRDefault="00000000">
            <w:pPr>
              <w:spacing w:line="200" w:lineRule="auto"/>
            </w:pPr>
            <w:r>
              <w:rPr>
                <w:color w:val="000000"/>
                <w:sz w:val="16"/>
                <w:lang w:eastAsia="zh-CN"/>
              </w:rPr>
              <w:t>Logistic</w:t>
            </w:r>
          </w:p>
        </w:tc>
        <w:tc>
          <w:tcPr>
            <w:tcW w:w="992" w:type="dxa"/>
            <w:shd w:val="clear" w:color="auto" w:fill="F7F8F9"/>
            <w:vAlign w:val="center"/>
          </w:tcPr>
          <w:p w14:paraId="0A9B9D60" w14:textId="77777777" w:rsidR="00BC132A" w:rsidRDefault="00000000">
            <w:pPr>
              <w:spacing w:line="200" w:lineRule="auto"/>
              <w:jc w:val="center"/>
            </w:pPr>
            <w:r>
              <w:rPr>
                <w:color w:val="000000"/>
                <w:sz w:val="16"/>
                <w:lang w:eastAsia="zh-CN"/>
              </w:rPr>
              <w:t>0.7158</w:t>
            </w:r>
          </w:p>
        </w:tc>
        <w:tc>
          <w:tcPr>
            <w:tcW w:w="993" w:type="dxa"/>
            <w:shd w:val="clear" w:color="auto" w:fill="F7F8F9"/>
            <w:vAlign w:val="center"/>
          </w:tcPr>
          <w:p w14:paraId="0EF13502" w14:textId="77777777" w:rsidR="00BC132A" w:rsidRDefault="00000000">
            <w:pPr>
              <w:spacing w:line="200" w:lineRule="auto"/>
              <w:jc w:val="center"/>
            </w:pPr>
            <w:r>
              <w:rPr>
                <w:color w:val="000000"/>
                <w:sz w:val="16"/>
                <w:lang w:eastAsia="zh-CN"/>
              </w:rPr>
              <w:t>0.2046</w:t>
            </w:r>
          </w:p>
        </w:tc>
        <w:tc>
          <w:tcPr>
            <w:tcW w:w="798" w:type="dxa"/>
            <w:shd w:val="clear" w:color="auto" w:fill="F7F8F9"/>
            <w:vAlign w:val="center"/>
          </w:tcPr>
          <w:p w14:paraId="568B4BFE" w14:textId="77777777" w:rsidR="00BC132A" w:rsidRDefault="00000000">
            <w:pPr>
              <w:spacing w:line="200" w:lineRule="auto"/>
              <w:jc w:val="center"/>
            </w:pPr>
            <w:r>
              <w:rPr>
                <w:color w:val="000000"/>
                <w:sz w:val="16"/>
                <w:lang w:eastAsia="zh-CN"/>
              </w:rPr>
              <w:t>0.2795</w:t>
            </w:r>
          </w:p>
        </w:tc>
        <w:tc>
          <w:tcPr>
            <w:tcW w:w="770" w:type="dxa"/>
            <w:shd w:val="clear" w:color="auto" w:fill="F7F8F9"/>
            <w:vAlign w:val="center"/>
          </w:tcPr>
          <w:p w14:paraId="38EF26F1" w14:textId="77777777" w:rsidR="00BC132A" w:rsidRDefault="00000000">
            <w:pPr>
              <w:spacing w:line="200" w:lineRule="auto"/>
              <w:jc w:val="center"/>
            </w:pPr>
            <w:r>
              <w:rPr>
                <w:color w:val="000000"/>
                <w:sz w:val="16"/>
                <w:lang w:eastAsia="zh-CN"/>
              </w:rPr>
              <w:t>0.4612</w:t>
            </w:r>
          </w:p>
        </w:tc>
      </w:tr>
      <w:tr w:rsidR="00BC132A" w14:paraId="05FAC8E4" w14:textId="77777777" w:rsidTr="0013296E">
        <w:trPr>
          <w:cantSplit/>
        </w:trPr>
        <w:tc>
          <w:tcPr>
            <w:tcW w:w="1271" w:type="dxa"/>
            <w:shd w:val="clear" w:color="auto" w:fill="FFFFFF"/>
            <w:vAlign w:val="center"/>
          </w:tcPr>
          <w:p w14:paraId="5A9F3ED0" w14:textId="705B72D6" w:rsidR="00BC132A" w:rsidRDefault="00000000">
            <w:pPr>
              <w:spacing w:line="200" w:lineRule="auto"/>
            </w:pPr>
            <w:r>
              <w:rPr>
                <w:color w:val="000000"/>
                <w:sz w:val="16"/>
                <w:lang w:eastAsia="zh-CN"/>
              </w:rPr>
              <w:t>Med-BERT</w:t>
            </w:r>
          </w:p>
        </w:tc>
        <w:tc>
          <w:tcPr>
            <w:tcW w:w="992" w:type="dxa"/>
            <w:shd w:val="clear" w:color="auto" w:fill="FFFFFF"/>
            <w:vAlign w:val="center"/>
          </w:tcPr>
          <w:p w14:paraId="2A399B4A" w14:textId="77777777" w:rsidR="00BC132A" w:rsidRDefault="00000000">
            <w:pPr>
              <w:spacing w:line="200" w:lineRule="auto"/>
              <w:jc w:val="center"/>
            </w:pPr>
            <w:r>
              <w:rPr>
                <w:color w:val="000000"/>
                <w:sz w:val="16"/>
                <w:lang w:eastAsia="zh-CN"/>
              </w:rPr>
              <w:t>0.7051</w:t>
            </w:r>
          </w:p>
        </w:tc>
        <w:tc>
          <w:tcPr>
            <w:tcW w:w="993" w:type="dxa"/>
            <w:shd w:val="clear" w:color="auto" w:fill="FFFFFF"/>
            <w:vAlign w:val="center"/>
          </w:tcPr>
          <w:p w14:paraId="7F0724AB" w14:textId="77777777" w:rsidR="00BC132A" w:rsidRDefault="00000000">
            <w:pPr>
              <w:spacing w:line="200" w:lineRule="auto"/>
              <w:jc w:val="center"/>
            </w:pPr>
            <w:r>
              <w:rPr>
                <w:color w:val="000000"/>
                <w:sz w:val="16"/>
                <w:lang w:eastAsia="zh-CN"/>
              </w:rPr>
              <w:t>0.2014</w:t>
            </w:r>
          </w:p>
        </w:tc>
        <w:tc>
          <w:tcPr>
            <w:tcW w:w="798" w:type="dxa"/>
            <w:shd w:val="clear" w:color="auto" w:fill="FFFFFF"/>
            <w:vAlign w:val="center"/>
          </w:tcPr>
          <w:p w14:paraId="5016BC91" w14:textId="77777777" w:rsidR="00BC132A" w:rsidRDefault="00000000">
            <w:pPr>
              <w:spacing w:line="200" w:lineRule="auto"/>
              <w:jc w:val="center"/>
            </w:pPr>
            <w:r>
              <w:rPr>
                <w:color w:val="000000"/>
                <w:sz w:val="16"/>
                <w:lang w:eastAsia="zh-CN"/>
              </w:rPr>
              <w:t>0.0353</w:t>
            </w:r>
          </w:p>
        </w:tc>
        <w:tc>
          <w:tcPr>
            <w:tcW w:w="770" w:type="dxa"/>
            <w:shd w:val="clear" w:color="auto" w:fill="FFFFFF"/>
            <w:vAlign w:val="center"/>
          </w:tcPr>
          <w:p w14:paraId="134CD7AD" w14:textId="77777777" w:rsidR="00BC132A" w:rsidRDefault="00000000">
            <w:pPr>
              <w:spacing w:line="200" w:lineRule="auto"/>
              <w:jc w:val="center"/>
            </w:pPr>
            <w:r>
              <w:rPr>
                <w:color w:val="000000"/>
                <w:sz w:val="16"/>
                <w:lang w:eastAsia="zh-CN"/>
              </w:rPr>
              <w:t>0.0381</w:t>
            </w:r>
          </w:p>
        </w:tc>
      </w:tr>
    </w:tbl>
    <w:p w14:paraId="2B63447D" w14:textId="77777777" w:rsidR="00BC132A" w:rsidRDefault="00000000">
      <w:pPr>
        <w:rPr>
          <w:color w:val="000000"/>
          <w:lang w:eastAsia="zh-CN"/>
        </w:rPr>
      </w:pPr>
      <w:r>
        <w:rPr>
          <w:color w:val="000000"/>
          <w:lang w:eastAsia="zh-CN"/>
        </w:rPr>
        <w:t>MT: MedTrajectory. A0/A2/no-age are three-seed means; other systems use fixed seed-42 checkpoints. Higher AUROC/AUPRC and lower Brier/ECE are favorable. Med-BERT follows the configuration of the original publication and is not budget-matched to MedTrajectory; a budget-matched variant is retained in the aggregate numerical archive.</w:t>
      </w:r>
    </w:p>
    <w:p w14:paraId="1A473552" w14:textId="77777777" w:rsidR="00BC132A" w:rsidRDefault="00000000">
      <w:pPr>
        <w:pStyle w:val="3"/>
      </w:pPr>
      <w:r>
        <w:t>D. Death tokens and trajectory termination</w:t>
      </w:r>
    </w:p>
    <w:p w14:paraId="38D55053" w14:textId="2F2E8B16" w:rsidR="00BC132A" w:rsidRDefault="00000000">
      <w:pPr>
        <w:rPr>
          <w:color w:val="000000"/>
          <w:lang w:eastAsia="zh-CN"/>
        </w:rPr>
      </w:pPr>
      <w:r>
        <w:rPr>
          <w:color w:val="000000"/>
          <w:lang w:eastAsia="zh-CN"/>
        </w:rPr>
        <w:t>Mortality-related tokens encode clinical information and terminate a generated trajectory. Blocking them reduced validation Jaccard from 0.0697 to 0.0378 for Absolute and from 0.0834 to 0.0530 for Relative, while increasing count MAE in both models (Fig. 3A/B). Relative retained a paired content advantage of +0.0151  after blocking.</w:t>
      </w:r>
    </w:p>
    <w:p w14:paraId="6A774935" w14:textId="0CCCF9A5" w:rsidR="00BC132A" w:rsidRDefault="00000000">
      <w:pPr>
        <w:rPr>
          <w:color w:val="000000"/>
          <w:lang w:eastAsia="zh-CN"/>
        </w:rPr>
      </w:pPr>
      <w:r>
        <w:rPr>
          <w:color w:val="000000"/>
          <w:lang w:eastAsia="zh-CN"/>
        </w:rPr>
        <w:t xml:space="preserve">In the locked test, </w:t>
      </w:r>
      <w:r w:rsidR="0082498C">
        <w:rPr>
          <w:rFonts w:hint="eastAsia"/>
          <w:color w:val="000000"/>
          <w:lang w:eastAsia="zh-CN"/>
        </w:rPr>
        <w:t xml:space="preserve">the </w:t>
      </w:r>
      <w:r>
        <w:rPr>
          <w:color w:val="000000"/>
          <w:lang w:eastAsia="zh-CN"/>
        </w:rPr>
        <w:t xml:space="preserve">observed mortality was 0.1220, compared with rollout death frequencies 0.6530/0.7290 for </w:t>
      </w:r>
      <w:r w:rsidR="0082498C">
        <w:rPr>
          <w:rFonts w:hint="eastAsia"/>
          <w:color w:val="000000"/>
          <w:lang w:eastAsia="zh-CN"/>
        </w:rPr>
        <w:t>our two models</w:t>
      </w:r>
      <w:r>
        <w:rPr>
          <w:color w:val="000000"/>
          <w:lang w:eastAsia="zh-CN"/>
        </w:rPr>
        <w:t>. Figure 3C separately compares four models on the same outcome-observable validation subset. An independently calibrated head brought mean probabilities closer to observed mortality; this does not make rollout frequencies calibrated risk. Blocking changes the candidate distribution and stopping rule jointly, rather than identifying the training cause of excessive death generation.</w:t>
      </w:r>
    </w:p>
    <w:tbl>
      <w:tblPr>
        <w:tblW w:w="4824"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4824"/>
      </w:tblGrid>
      <w:tr w:rsidR="00BC132A" w14:paraId="5A644037" w14:textId="77777777">
        <w:trPr>
          <w:cantSplit/>
        </w:trPr>
        <w:tc>
          <w:tcPr>
            <w:tcW w:w="4824" w:type="dxa"/>
          </w:tcPr>
          <w:p w14:paraId="7D4053E9" w14:textId="2CA9ADD6" w:rsidR="00BC132A" w:rsidRDefault="00FC30A5" w:rsidP="00FC30A5">
            <w:pPr>
              <w:keepNext/>
              <w:spacing w:before="80" w:after="60"/>
            </w:pPr>
            <w:r w:rsidRPr="00FC30A5">
              <w:rPr>
                <w:noProof/>
              </w:rPr>
              <w:drawing>
                <wp:inline distT="0" distB="0" distL="0" distR="0" wp14:anchorId="047EAC62" wp14:editId="0426A290">
                  <wp:extent cx="3063240" cy="1881505"/>
                  <wp:effectExtent l="0" t="0" r="3810" b="4445"/>
                  <wp:docPr id="192140543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05433"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3063240" cy="1881505"/>
                          </a:xfrm>
                          <a:prstGeom prst="rect">
                            <a:avLst/>
                          </a:prstGeom>
                        </pic:spPr>
                      </pic:pic>
                    </a:graphicData>
                  </a:graphic>
                </wp:inline>
              </w:drawing>
            </w:r>
          </w:p>
          <w:p w14:paraId="27E013CC" w14:textId="67C62CFB" w:rsidR="00BC132A" w:rsidRDefault="00000000">
            <w:pPr>
              <w:rPr>
                <w:color w:val="000000"/>
                <w:lang w:eastAsia="zh-CN"/>
              </w:rPr>
            </w:pPr>
            <w:r>
              <w:rPr>
                <w:color w:val="000000"/>
                <w:sz w:val="18"/>
                <w:lang w:eastAsia="zh-CN"/>
              </w:rPr>
              <w:t xml:space="preserve">Figure 3. </w:t>
            </w:r>
            <w:r w:rsidR="00B4100B" w:rsidRPr="00B4100B">
              <w:rPr>
                <w:b/>
                <w:bCs/>
                <w:color w:val="000000"/>
                <w:sz w:val="18"/>
                <w:lang w:eastAsia="zh-CN"/>
              </w:rPr>
              <w:t>Effects of death</w:t>
            </w:r>
            <w:r w:rsidR="00B4100B">
              <w:rPr>
                <w:rFonts w:hint="eastAsia"/>
                <w:b/>
                <w:bCs/>
                <w:color w:val="000000"/>
                <w:sz w:val="18"/>
                <w:lang w:eastAsia="zh-CN"/>
              </w:rPr>
              <w:t xml:space="preserve"> </w:t>
            </w:r>
            <w:r w:rsidR="00B4100B" w:rsidRPr="00B4100B">
              <w:rPr>
                <w:b/>
                <w:bCs/>
                <w:color w:val="000000"/>
                <w:sz w:val="18"/>
                <w:lang w:eastAsia="zh-CN"/>
              </w:rPr>
              <w:t>token blocking on trajectory generation in UK Biobank.</w:t>
            </w:r>
            <w:r w:rsidR="00B4100B" w:rsidRPr="00B4100B">
              <w:rPr>
                <w:color w:val="000000"/>
                <w:sz w:val="18"/>
                <w:lang w:eastAsia="zh-CN"/>
              </w:rPr>
              <w:t xml:space="preserve"> Panels show changes in diagnosis Jaccard, event</w:t>
            </w:r>
            <w:r w:rsidR="00B4100B">
              <w:rPr>
                <w:rFonts w:hint="eastAsia"/>
                <w:color w:val="000000"/>
                <w:sz w:val="18"/>
                <w:lang w:eastAsia="zh-CN"/>
              </w:rPr>
              <w:t xml:space="preserve"> </w:t>
            </w:r>
            <w:r w:rsidR="00B4100B" w:rsidRPr="00B4100B">
              <w:rPr>
                <w:color w:val="000000"/>
                <w:sz w:val="18"/>
                <w:lang w:eastAsia="zh-CN"/>
              </w:rPr>
              <w:t>count mean absolute error (MAE), first-event-time MAE in days, Hit@10, and waiting</w:t>
            </w:r>
            <w:r w:rsidR="00B4100B">
              <w:rPr>
                <w:rFonts w:hint="eastAsia"/>
                <w:color w:val="000000"/>
                <w:sz w:val="18"/>
                <w:lang w:eastAsia="zh-CN"/>
              </w:rPr>
              <w:t xml:space="preserve"> </w:t>
            </w:r>
            <w:r w:rsidR="00B4100B" w:rsidRPr="00B4100B">
              <w:rPr>
                <w:color w:val="000000"/>
                <w:sz w:val="18"/>
                <w:lang w:eastAsia="zh-CN"/>
              </w:rPr>
              <w:t>time negative log</w:t>
            </w:r>
            <w:r w:rsidR="00B4100B">
              <w:rPr>
                <w:rFonts w:hint="eastAsia"/>
                <w:color w:val="000000"/>
                <w:sz w:val="18"/>
                <w:lang w:eastAsia="zh-CN"/>
              </w:rPr>
              <w:t xml:space="preserve"> </w:t>
            </w:r>
            <w:r w:rsidR="00B4100B" w:rsidRPr="00B4100B">
              <w:rPr>
                <w:color w:val="000000"/>
                <w:sz w:val="18"/>
                <w:lang w:eastAsia="zh-CN"/>
              </w:rPr>
              <w:t xml:space="preserve">likelihood (NLL). Points indicate mean paired differences, calculated as blocked minus original; error bars represent unadjusted 95% percentile confidence intervals. </w:t>
            </w:r>
            <w:r w:rsidR="00B4100B">
              <w:rPr>
                <w:rFonts w:hint="eastAsia"/>
                <w:color w:val="000000"/>
                <w:sz w:val="18"/>
                <w:lang w:eastAsia="zh-CN"/>
              </w:rPr>
              <w:t>Panels include 1,000 validation patients,</w:t>
            </w:r>
            <w:r w:rsidR="00B4100B" w:rsidRPr="00B4100B">
              <w:rPr>
                <w:color w:val="000000"/>
                <w:sz w:val="18"/>
                <w:lang w:eastAsia="zh-CN"/>
              </w:rPr>
              <w:t xml:space="preserve"> </w:t>
            </w:r>
            <w:r w:rsidR="00B4100B">
              <w:rPr>
                <w:rFonts w:hint="eastAsia"/>
                <w:color w:val="000000"/>
                <w:sz w:val="18"/>
                <w:lang w:eastAsia="zh-CN"/>
              </w:rPr>
              <w:t>and t</w:t>
            </w:r>
            <w:r w:rsidR="00B4100B" w:rsidRPr="00B4100B">
              <w:rPr>
                <w:color w:val="000000"/>
                <w:sz w:val="18"/>
                <w:lang w:eastAsia="zh-CN"/>
              </w:rPr>
              <w:t>rajectory sampling uses 20 rollouts per patient</w:t>
            </w:r>
            <w:r w:rsidR="00B4100B">
              <w:rPr>
                <w:rFonts w:hint="eastAsia"/>
                <w:color w:val="000000"/>
                <w:sz w:val="18"/>
                <w:lang w:eastAsia="zh-CN"/>
              </w:rPr>
              <w:t xml:space="preserve"> with</w:t>
            </w:r>
            <w:r w:rsidR="00B4100B" w:rsidRPr="00B4100B">
              <w:rPr>
                <w:color w:val="000000"/>
                <w:sz w:val="18"/>
                <w:lang w:eastAsia="zh-CN"/>
              </w:rPr>
              <w:t xml:space="preserve"> a 10-year window and a 30</w:t>
            </w:r>
            <w:r w:rsidR="00B4100B">
              <w:rPr>
                <w:rFonts w:hint="eastAsia"/>
                <w:color w:val="000000"/>
                <w:sz w:val="18"/>
                <w:lang w:eastAsia="zh-CN"/>
              </w:rPr>
              <w:t xml:space="preserve"> </w:t>
            </w:r>
            <w:r w:rsidR="00B4100B" w:rsidRPr="00B4100B">
              <w:rPr>
                <w:color w:val="000000"/>
                <w:sz w:val="18"/>
                <w:lang w:eastAsia="zh-CN"/>
              </w:rPr>
              <w:t>event cap. Blocking removes death from both event candidates and the waiting-time rate and prevents death-triggered termination; the experiment therefore evaluates their combined effect.</w:t>
            </w:r>
          </w:p>
        </w:tc>
      </w:tr>
    </w:tbl>
    <w:p w14:paraId="53006648" w14:textId="77777777" w:rsidR="00BC132A" w:rsidRDefault="00000000">
      <w:pPr>
        <w:pStyle w:val="3"/>
      </w:pPr>
      <w:r>
        <w:t>E. UKB future diagnosis-record discrimination</w:t>
      </w:r>
    </w:p>
    <w:p w14:paraId="5160AC00" w14:textId="7C7A2A22" w:rsidR="00BC132A" w:rsidRDefault="00000000">
      <w:pPr>
        <w:rPr>
          <w:color w:val="000000"/>
          <w:lang w:eastAsia="zh-CN"/>
        </w:rPr>
      </w:pPr>
      <w:r>
        <w:rPr>
          <w:color w:val="000000"/>
          <w:lang w:eastAsia="zh-CN"/>
        </w:rPr>
        <w:t>The UKB validation disease spectrum provides complementary evidence across diagnostic categories (Fig. 4). Among 80,546 participants, 186 ICD-10 categories met the threshold of 20 future records; median age</w:t>
      </w:r>
      <w:r w:rsidR="005D4A28">
        <w:rPr>
          <w:rFonts w:hint="eastAsia"/>
          <w:color w:val="000000"/>
          <w:lang w:eastAsia="zh-CN"/>
        </w:rPr>
        <w:t xml:space="preserve"> </w:t>
      </w:r>
      <w:r>
        <w:rPr>
          <w:color w:val="000000"/>
          <w:lang w:eastAsia="zh-CN"/>
        </w:rPr>
        <w:t>sex</w:t>
      </w:r>
      <w:r w:rsidR="005D4A28">
        <w:rPr>
          <w:rFonts w:hint="eastAsia"/>
          <w:color w:val="000000"/>
          <w:lang w:eastAsia="zh-CN"/>
        </w:rPr>
        <w:t xml:space="preserve"> </w:t>
      </w:r>
      <w:r>
        <w:rPr>
          <w:color w:val="000000"/>
          <w:lang w:eastAsia="zh-CN"/>
        </w:rPr>
        <w:t>stratified AUROC was 0.9063. This is exploratory future-record discrimination over remaining follow-up, not the fixed-horizon risk benchmark in Table IV.</w:t>
      </w:r>
    </w:p>
    <w:tbl>
      <w:tblPr>
        <w:tblW w:w="4824"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4824"/>
      </w:tblGrid>
      <w:tr w:rsidR="00BC132A" w14:paraId="1973DD5D" w14:textId="77777777">
        <w:trPr>
          <w:cantSplit/>
        </w:trPr>
        <w:tc>
          <w:tcPr>
            <w:tcW w:w="4824" w:type="dxa"/>
          </w:tcPr>
          <w:p w14:paraId="04B35FA9" w14:textId="77777777" w:rsidR="00BC132A" w:rsidRDefault="00000000">
            <w:pPr>
              <w:keepNext/>
              <w:spacing w:before="80" w:after="60"/>
              <w:jc w:val="center"/>
            </w:pPr>
            <w:r>
              <w:rPr>
                <w:noProof/>
              </w:rPr>
              <w:drawing>
                <wp:inline distT="0" distB="0" distL="0" distR="0" wp14:anchorId="70F699D8" wp14:editId="60E099B1">
                  <wp:extent cx="3063240" cy="1999307"/>
                  <wp:effectExtent l="0" t="0" r="3810" b="0"/>
                  <wp:docPr id="730477675" name="Figure_4_UKB_v10_original" descr="Figure 4. Exploratory UKB future diagnosis-record discrimination. A: age-sex-stratified AUROC versus training frequency for all 186 supported ICD-10 categories. B: the same values by source chapter group; parentheses give category counts. Dots are diseases; boxes show disease-level quartiles and 1.5-IQR whiskers, not uncertainty. This exploratory validation analysis is distinct from fixed-horizon 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77675" name="Figure_4_UKB_v10_original"/>
                          <pic:cNvPicPr/>
                        </pic:nvPicPr>
                        <pic:blipFill>
                          <a:blip r:embed="rId16" cstate="print">
                            <a:extLst>
                              <a:ext uri="{96DAC541-7B7A-43D3-8B79-37D633B846F1}">
                                <asvg:svgBlip xmlns:asvg="http://schemas.microsoft.com/office/drawing/2016/SVG/main" r:embed="rId17"/>
                              </a:ext>
                            </a:extLst>
                          </a:blip>
                          <a:stretch>
                            <a:fillRect/>
                          </a:stretch>
                        </pic:blipFill>
                        <pic:spPr>
                          <a:xfrm>
                            <a:off x="0" y="0"/>
                            <a:ext cx="3063240" cy="1999307"/>
                          </a:xfrm>
                          <a:prstGeom prst="rect">
                            <a:avLst/>
                          </a:prstGeom>
                        </pic:spPr>
                      </pic:pic>
                    </a:graphicData>
                  </a:graphic>
                </wp:inline>
              </w:drawing>
            </w:r>
          </w:p>
          <w:p w14:paraId="706979D5" w14:textId="77777777" w:rsidR="00BC132A" w:rsidRDefault="00000000">
            <w:pPr>
              <w:rPr>
                <w:color w:val="000000"/>
                <w:lang w:eastAsia="zh-CN"/>
              </w:rPr>
            </w:pPr>
            <w:r>
              <w:rPr>
                <w:color w:val="000000"/>
                <w:sz w:val="18"/>
                <w:lang w:eastAsia="zh-CN"/>
              </w:rPr>
              <w:t>Figure 4. Exploratory UKB future diagnosis-record discrimination. A: age-sex-stratified AUROC versus training frequency for all 186 supported ICD-10 categories. B: the same values by source chapter group; parentheses give category counts. Dots are diseases; boxes show disease-level quartiles and 1.5-IQR whiskers, not uncertainty. This exploratory validation analysis is distinct from fixed-horizon risk.</w:t>
            </w:r>
          </w:p>
        </w:tc>
      </w:tr>
    </w:tbl>
    <w:p w14:paraId="0CFFEB5D" w14:textId="77777777" w:rsidR="00BC132A" w:rsidRDefault="00000000">
      <w:pPr>
        <w:pStyle w:val="3"/>
      </w:pPr>
      <w:r>
        <w:t>F. MIMIC-IV adaptation and UKB-initialized transfer</w:t>
      </w:r>
    </w:p>
    <w:p w14:paraId="03C418FF" w14:textId="1075C27C" w:rsidR="00714353" w:rsidRDefault="00714353">
      <w:pPr>
        <w:rPr>
          <w:color w:val="000000"/>
          <w:lang w:eastAsia="zh-CN"/>
        </w:rPr>
      </w:pPr>
      <w:r w:rsidRPr="00714353">
        <w:rPr>
          <w:color w:val="000000"/>
          <w:lang w:eastAsia="zh-CN"/>
        </w:rPr>
        <w:t xml:space="preserve">For 78 supported future recorded diagnoses, Absolute/Relative achieved ordinary macro AUROCs of 0.8261/0.8272, compared with 0.6076 for diagnosis history and 0.5779 for the last diagnosis. Among 51 prefix-absent diagnoses, their AUROCs were 0.7707/0.7719. In the separate full-budget representation experiment, Relative improved rollout Jaccard </w:t>
      </w:r>
      <w:r w:rsidRPr="00714353">
        <w:rPr>
          <w:color w:val="000000"/>
          <w:lang w:eastAsia="zh-CN"/>
        </w:rPr>
        <w:lastRenderedPageBreak/>
        <w:t>over Absolute by 0.00172 and over index</w:t>
      </w:r>
      <w:r>
        <w:rPr>
          <w:rFonts w:hint="eastAsia"/>
          <w:color w:val="000000"/>
          <w:lang w:eastAsia="zh-CN"/>
        </w:rPr>
        <w:t xml:space="preserve"> </w:t>
      </w:r>
      <w:r w:rsidRPr="00714353">
        <w:rPr>
          <w:color w:val="000000"/>
          <w:lang w:eastAsia="zh-CN"/>
        </w:rPr>
        <w:t>phase RoPE by 0.00249, without established superiority over ETHOS.</w:t>
      </w:r>
    </w:p>
    <w:p w14:paraId="011BA0D4" w14:textId="232225EA" w:rsidR="00714353" w:rsidRPr="00714353" w:rsidRDefault="00913708" w:rsidP="00714353">
      <w:pPr>
        <w:rPr>
          <w:color w:val="000000"/>
          <w:lang w:eastAsia="zh-CN"/>
        </w:rPr>
      </w:pPr>
      <w:r>
        <w:rPr>
          <w:rFonts w:hint="eastAsia"/>
          <w:color w:val="000000"/>
          <w:lang w:eastAsia="zh-CN"/>
        </w:rPr>
        <w:t>In this experiment</w:t>
      </w:r>
      <w:r w:rsidR="00714353" w:rsidRPr="00714353">
        <w:rPr>
          <w:color w:val="000000"/>
          <w:lang w:eastAsia="zh-CN"/>
        </w:rPr>
        <w:t xml:space="preserve">, UKB initialization increased Jaccard from 0.01225 to 0.03702 for Absolute and from 0.01305 to 0.03670 for Relative (Fig. 5). ETHOS and Foresight showed similar gains of 0.02476 and 0.02495, respectively, whereas Med-BERT improved by 0.00233. After initialization, </w:t>
      </w:r>
      <w:r>
        <w:rPr>
          <w:rFonts w:hint="eastAsia"/>
          <w:color w:val="000000"/>
          <w:lang w:eastAsia="zh-CN"/>
        </w:rPr>
        <w:t>our Absolute model</w:t>
      </w:r>
      <w:r w:rsidR="00714353" w:rsidRPr="00714353">
        <w:rPr>
          <w:color w:val="000000"/>
          <w:lang w:eastAsia="zh-CN"/>
        </w:rPr>
        <w:t xml:space="preserve"> achieved the highest mean Jaccard and lowest Count MAE, while</w:t>
      </w:r>
      <w:r>
        <w:rPr>
          <w:rFonts w:hint="eastAsia"/>
          <w:color w:val="000000"/>
          <w:lang w:eastAsia="zh-CN"/>
        </w:rPr>
        <w:t xml:space="preserve"> our</w:t>
      </w:r>
      <w:r w:rsidR="00714353" w:rsidRPr="00714353">
        <w:rPr>
          <w:color w:val="000000"/>
          <w:lang w:eastAsia="zh-CN"/>
        </w:rPr>
        <w:t xml:space="preserve"> Relative achieved the highest recall (0.05603), lowest first</w:t>
      </w:r>
      <w:r>
        <w:rPr>
          <w:rFonts w:hint="eastAsia"/>
          <w:color w:val="000000"/>
          <w:lang w:eastAsia="zh-CN"/>
        </w:rPr>
        <w:t xml:space="preserve"> </w:t>
      </w:r>
      <w:r w:rsidR="00714353" w:rsidRPr="00714353">
        <w:rPr>
          <w:color w:val="000000"/>
          <w:lang w:eastAsia="zh-CN"/>
        </w:rPr>
        <w:t xml:space="preserve">record Time MAE 118.77 days, and lowest normalized edit distance 0.82326. </w:t>
      </w:r>
    </w:p>
    <w:p w14:paraId="65E28DCA" w14:textId="3E32F89B" w:rsidR="00BC132A" w:rsidRPr="00714353" w:rsidRDefault="00913708">
      <w:pPr>
        <w:rPr>
          <w:color w:val="000000"/>
          <w:lang w:eastAsia="zh-CN"/>
        </w:rPr>
      </w:pPr>
      <w:r>
        <w:rPr>
          <w:rFonts w:hint="eastAsia"/>
          <w:color w:val="000000"/>
          <w:lang w:eastAsia="zh-CN"/>
        </w:rPr>
        <w:t xml:space="preserve">Additionally, </w:t>
      </w:r>
      <w:r w:rsidR="00714353" w:rsidRPr="00714353">
        <w:rPr>
          <w:color w:val="000000"/>
          <w:lang w:eastAsia="zh-CN"/>
        </w:rPr>
        <w:t>UKB initialization improved Jaccard and recall in all five models. Normalized edit distance decreased in both</w:t>
      </w:r>
      <w:r>
        <w:rPr>
          <w:rFonts w:hint="eastAsia"/>
          <w:color w:val="000000"/>
          <w:lang w:eastAsia="zh-CN"/>
        </w:rPr>
        <w:t xml:space="preserve"> our models</w:t>
      </w:r>
      <w:r w:rsidR="00714353" w:rsidRPr="00714353">
        <w:rPr>
          <w:color w:val="000000"/>
          <w:lang w:eastAsia="zh-CN"/>
        </w:rPr>
        <w:t>, ETHOS, and Foresight, but increased in Med</w:t>
      </w:r>
      <w:r>
        <w:rPr>
          <w:rFonts w:hint="eastAsia"/>
          <w:color w:val="000000"/>
          <w:lang w:eastAsia="zh-CN"/>
        </w:rPr>
        <w:t>-</w:t>
      </w:r>
      <w:r w:rsidR="00714353" w:rsidRPr="00714353">
        <w:rPr>
          <w:color w:val="000000"/>
          <w:lang w:eastAsia="zh-CN"/>
        </w:rPr>
        <w:t xml:space="preserve">BERT. Time MAE was evaluated only for nonempty generated and reference futures. </w:t>
      </w:r>
      <w:r>
        <w:rPr>
          <w:rFonts w:hint="eastAsia"/>
          <w:color w:val="000000"/>
          <w:lang w:eastAsia="zh-CN"/>
        </w:rPr>
        <w:t>In short, t</w:t>
      </w:r>
      <w:r w:rsidR="00714353" w:rsidRPr="00714353">
        <w:rPr>
          <w:color w:val="000000"/>
          <w:lang w:eastAsia="zh-CN"/>
        </w:rPr>
        <w:t>hese results support improved diagnostic-content generation after target-domain adaptation, rather than uniform improvement across generation endpoints, zero-shot transportability, or equal total pretraining compute.</w:t>
      </w:r>
    </w:p>
    <w:tbl>
      <w:tblPr>
        <w:tblW w:w="4824"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4824"/>
      </w:tblGrid>
      <w:tr w:rsidR="00BC132A" w14:paraId="0B89C029" w14:textId="77777777">
        <w:trPr>
          <w:cantSplit/>
        </w:trPr>
        <w:tc>
          <w:tcPr>
            <w:tcW w:w="4824" w:type="dxa"/>
          </w:tcPr>
          <w:p w14:paraId="3F666E7A" w14:textId="7F913C81" w:rsidR="00BC132A" w:rsidRDefault="001F3315">
            <w:pPr>
              <w:keepNext/>
              <w:spacing w:before="80" w:after="60"/>
              <w:jc w:val="center"/>
            </w:pPr>
            <w:r w:rsidRPr="001F3315">
              <w:rPr>
                <w:noProof/>
              </w:rPr>
              <w:drawing>
                <wp:inline distT="0" distB="0" distL="0" distR="0" wp14:anchorId="01CB300E" wp14:editId="6AFF410E">
                  <wp:extent cx="3063240" cy="3641725"/>
                  <wp:effectExtent l="0" t="0" r="3810" b="0"/>
                  <wp:docPr id="49646400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64006"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3063240" cy="3641725"/>
                          </a:xfrm>
                          <a:prstGeom prst="rect">
                            <a:avLst/>
                          </a:prstGeom>
                        </pic:spPr>
                      </pic:pic>
                    </a:graphicData>
                  </a:graphic>
                </wp:inline>
              </w:drawing>
            </w:r>
          </w:p>
          <w:p w14:paraId="57A90DF8" w14:textId="4F74E76C" w:rsidR="00BC132A" w:rsidRDefault="00000000">
            <w:pPr>
              <w:rPr>
                <w:color w:val="000000"/>
                <w:lang w:eastAsia="zh-CN"/>
              </w:rPr>
            </w:pPr>
            <w:r>
              <w:rPr>
                <w:color w:val="000000"/>
                <w:sz w:val="18"/>
                <w:lang w:eastAsia="zh-CN"/>
              </w:rPr>
              <w:t>Figure 5. Effect of UKB initialization on free-generation performance in MIMIC-IV. (A) Training from scratch; (B) UKB-pretrained initialization, both with 10,000 target domain updates. Five models are evaluated using diagnosis Jaccard, recall, Count MAE, first-record Time MAE (days), and normalized edit distance. Values are mean +/- SD across three seeds, and green/red shading indicates better/worse rankings within each panel and metric. Bold values mark the best means, not statistical significance.</w:t>
            </w:r>
          </w:p>
        </w:tc>
      </w:tr>
    </w:tbl>
    <w:p w14:paraId="3E9D88EF" w14:textId="77777777" w:rsidR="005D33F6" w:rsidRDefault="0031392E">
      <w:pPr>
        <w:pStyle w:val="2"/>
      </w:pPr>
      <w:bookmarkStart w:id="17" w:name="vi.-discussion"/>
      <w:bookmarkEnd w:id="16"/>
      <w:r>
        <w:t>VI. DISCUSSION</w:t>
      </w:r>
    </w:p>
    <w:p w14:paraId="3C9B20D3" w14:textId="77777777" w:rsidR="005D33F6" w:rsidRDefault="0031392E">
      <w:pPr>
        <w:pStyle w:val="3"/>
      </w:pPr>
      <w:r>
        <w:t>A. Multitype continuous-time trajectory modeling</w:t>
      </w:r>
    </w:p>
    <w:p w14:paraId="53219D67" w14:textId="77777777" w:rsidR="00AD306A" w:rsidRDefault="00AD306A" w:rsidP="00AD306A">
      <w:r w:rsidRPr="00094513">
        <w:t xml:space="preserve">We developed MedTrajectory, a generative model for multitype longitudinal EHR trajectories that integrates heterogeneous clinical events with continuous temporal </w:t>
      </w:r>
      <w:r w:rsidRPr="00094513">
        <w:t>representations. Across the experiments reported here, expanding the event space beyond diagnosis-only sequences improved trajectory modeling, with procedures providing the largest incremental contribution. In UK Biobank, continuous relative-time information improved sampled clinical content, timing, and trajectory length, together with teacher-forced next-event ranking.</w:t>
      </w:r>
    </w:p>
    <w:p w14:paraId="4BA04CDD" w14:textId="77777777" w:rsidR="00AD306A" w:rsidRDefault="00AD306A" w:rsidP="00AD306A">
      <w:r w:rsidRPr="00A045E4">
        <w:t>These findings suggest that longitudinal EHR trajectories are better mo</w:t>
      </w:r>
      <w:r>
        <w:t xml:space="preserve">deled as heterogeneous clinical </w:t>
      </w:r>
      <w:r w:rsidRPr="00A045E4">
        <w:t>event processes than as disease sequences alone. Diagnoses describe observed disease sta</w:t>
      </w:r>
      <w:r>
        <w:t xml:space="preserve">tes, whereas procedures, cancer </w:t>
      </w:r>
      <w:r w:rsidRPr="00A045E4">
        <w:t>related records, mortality events, and temporal intervals supply compleme</w:t>
      </w:r>
      <w:r>
        <w:t xml:space="preserve">ntary information about patient </w:t>
      </w:r>
      <w:r w:rsidRPr="00A045E4">
        <w:t>state transitions. Notably, the benefit of relative time was obtained with a compact model, which suggests that representing clinical structure well may matter more than increasing model capacity in this setting.</w:t>
      </w:r>
    </w:p>
    <w:p w14:paraId="78FE697B" w14:textId="2EBB727C" w:rsidR="00AD306A" w:rsidRDefault="00AD306A" w:rsidP="00AD306A">
      <w:r>
        <w:t xml:space="preserve">Although the relative </w:t>
      </w:r>
      <w:r w:rsidRPr="008404DD">
        <w:t>time mode</w:t>
      </w:r>
      <w:r>
        <w:t xml:space="preserve">l consistently improved sampled </w:t>
      </w:r>
      <w:r w:rsidRPr="008404DD">
        <w:t>trajectory fidelity, absolute generation performance remained modest.</w:t>
      </w:r>
      <w:r w:rsidRPr="00800C80">
        <w:t xml:space="preserve"> The present results are therefore best read as evidence that richer event and temporal representations improve generative modeling, rather </w:t>
      </w:r>
      <w:r>
        <w:t xml:space="preserve">than as a demonstration of high </w:t>
      </w:r>
      <w:r w:rsidRPr="00800C80">
        <w:t>precision simulation of individual patient futures. The distinction matters for downstream clinical use, where sequence realism, calibration, and decision utility each require separate validation.</w:t>
      </w:r>
    </w:p>
    <w:p w14:paraId="7E6FF239" w14:textId="77777777" w:rsidR="005D33F6" w:rsidRDefault="00CB240A">
      <w:pPr>
        <w:pStyle w:val="3"/>
      </w:pPr>
      <w:r>
        <w:rPr>
          <w:rFonts w:hint="eastAsia"/>
          <w:lang w:eastAsia="zh-CN"/>
        </w:rPr>
        <w:t>B. Termination, risk readout and transfer</w:t>
      </w:r>
    </w:p>
    <w:p w14:paraId="6595A1E7" w14:textId="77777777" w:rsidR="008D4CAD" w:rsidRDefault="008D4CAD" w:rsidP="008D4CAD">
      <w:pPr>
        <w:rPr>
          <w:lang w:eastAsia="zh-CN"/>
        </w:rPr>
      </w:pPr>
      <w:r w:rsidRPr="002F7AF2">
        <w:rPr>
          <w:lang w:eastAsia="zh-CN"/>
        </w:rPr>
        <w:t>Improved trajectory generation did not establish a</w:t>
      </w:r>
      <w:r>
        <w:rPr>
          <w:lang w:eastAsia="zh-CN"/>
        </w:rPr>
        <w:t xml:space="preserve"> corresponding benefit in fixed </w:t>
      </w:r>
      <w:r w:rsidRPr="002F7AF2">
        <w:rPr>
          <w:lang w:eastAsia="zh-CN"/>
        </w:rPr>
        <w:t>horizo</w:t>
      </w:r>
      <w:r>
        <w:rPr>
          <w:lang w:eastAsia="zh-CN"/>
        </w:rPr>
        <w:t xml:space="preserve">n risk discrimination. The held </w:t>
      </w:r>
      <w:r w:rsidRPr="002F7AF2">
        <w:rPr>
          <w:lang w:eastAsia="zh-CN"/>
        </w:rPr>
        <w:t>out risk test</w:t>
      </w:r>
      <w:r>
        <w:rPr>
          <w:lang w:eastAsia="zh-CN"/>
        </w:rPr>
        <w:t xml:space="preserve"> produced a small positive seed </w:t>
      </w:r>
      <w:r w:rsidRPr="002F7AF2">
        <w:rPr>
          <w:lang w:eastAsia="zh-CN"/>
        </w:rPr>
        <w:t>averaged difference, with uncertainty spanning both improvement and deterioration. Generative trajectory modeling targets event types, ordering, timing, and trajectory length, whereas fixed-horizon risk prediction targets a predefined binary outcome. These results therefore support evaluating the two targets separately, rather than assuming that better generation preserves risk performance.</w:t>
      </w:r>
    </w:p>
    <w:p w14:paraId="38711414" w14:textId="77777777" w:rsidR="008D4CAD" w:rsidRDefault="008D4CAD" w:rsidP="008D4CAD">
      <w:pPr>
        <w:rPr>
          <w:lang w:eastAsia="zh-CN"/>
        </w:rPr>
      </w:pPr>
      <w:r>
        <w:rPr>
          <w:lang w:eastAsia="zh-CN"/>
        </w:rPr>
        <w:t xml:space="preserve">The relative </w:t>
      </w:r>
      <w:r w:rsidRPr="00BE6AA3">
        <w:rPr>
          <w:lang w:eastAsia="zh-CN"/>
        </w:rPr>
        <w:t>time representation may thus contribute most strongly when the prediction target depends on the detailed temporal organization o</w:t>
      </w:r>
      <w:r>
        <w:rPr>
          <w:lang w:eastAsia="zh-CN"/>
        </w:rPr>
        <w:t xml:space="preserve">f multiple future events. Fixed </w:t>
      </w:r>
      <w:r w:rsidRPr="00BE6AA3">
        <w:rPr>
          <w:lang w:eastAsia="zh-CN"/>
        </w:rPr>
        <w:t>horizon discrimination, by contrast, depends primarily on whether a target outcome occurs within a specified window, and much of the temporal structure that improves sequence realism may not alter the ranking of individuals for that binary endpoint. This interpretation is also consistent</w:t>
      </w:r>
      <w:r>
        <w:rPr>
          <w:lang w:eastAsia="zh-CN"/>
        </w:rPr>
        <w:t xml:space="preserve"> with the broad </w:t>
      </w:r>
      <w:r w:rsidRPr="00BE6AA3">
        <w:rPr>
          <w:lang w:eastAsia="zh-CN"/>
        </w:rPr>
        <w:t>spectrum analysis, in which the generative representat</w:t>
      </w:r>
      <w:r>
        <w:rPr>
          <w:lang w:eastAsia="zh-CN"/>
        </w:rPr>
        <w:t xml:space="preserve">ion retained substantial future </w:t>
      </w:r>
      <w:r w:rsidRPr="00BE6AA3">
        <w:rPr>
          <w:lang w:eastAsia="zh-CN"/>
        </w:rPr>
        <w:t>disease sign</w:t>
      </w:r>
      <w:r>
        <w:rPr>
          <w:lang w:eastAsia="zh-CN"/>
        </w:rPr>
        <w:t xml:space="preserve">al despite only modest Relative versus Absolute differences in fixed </w:t>
      </w:r>
      <w:r w:rsidRPr="00BE6AA3">
        <w:rPr>
          <w:lang w:eastAsia="zh-CN"/>
        </w:rPr>
        <w:t>horizon AUROC.</w:t>
      </w:r>
    </w:p>
    <w:p w14:paraId="2700B5B1" w14:textId="1314EDFD" w:rsidR="00BC132A" w:rsidRDefault="008D4CAD">
      <w:pPr>
        <w:rPr>
          <w:lang w:eastAsia="zh-CN"/>
        </w:rPr>
      </w:pPr>
      <w:r w:rsidRPr="00D649EC">
        <w:rPr>
          <w:lang w:eastAsia="zh-CN"/>
        </w:rPr>
        <w:t>Death events further illustrate this distinction. In an autoregressive trajectory model, death simultaneously represents an observed clinical</w:t>
      </w:r>
      <w:r>
        <w:rPr>
          <w:lang w:eastAsia="zh-CN"/>
        </w:rPr>
        <w:t xml:space="preserve"> event and a potential sequence </w:t>
      </w:r>
      <w:r w:rsidRPr="00D649EC">
        <w:rPr>
          <w:lang w:eastAsia="zh-CN"/>
        </w:rPr>
        <w:t>termination state</w:t>
      </w:r>
      <w:r>
        <w:rPr>
          <w:lang w:eastAsia="zh-CN"/>
        </w:rPr>
        <w:t xml:space="preserve">. </w:t>
      </w:r>
      <w:r w:rsidRPr="00D649EC">
        <w:rPr>
          <w:lang w:eastAsia="zh-CN"/>
        </w:rPr>
        <w:t>Our results indicate that event generation, traje</w:t>
      </w:r>
      <w:r>
        <w:rPr>
          <w:lang w:eastAsia="zh-CN"/>
        </w:rPr>
        <w:t xml:space="preserve">ctory termination, and clinical </w:t>
      </w:r>
      <w:r w:rsidRPr="00D649EC">
        <w:rPr>
          <w:lang w:eastAsia="zh-CN"/>
        </w:rPr>
        <w:t>risk estimation should be treated as related but distinct modeling objectives</w:t>
      </w:r>
      <w:r>
        <w:rPr>
          <w:lang w:eastAsia="zh-CN"/>
        </w:rPr>
        <w:t>.</w:t>
      </w:r>
    </w:p>
    <w:p w14:paraId="61470304" w14:textId="77777777" w:rsidR="007D7C92" w:rsidRPr="007D7C92" w:rsidRDefault="007D7C92">
      <w:pPr>
        <w:rPr>
          <w:i/>
          <w:iCs/>
          <w:lang w:eastAsia="zh-CN"/>
        </w:rPr>
      </w:pPr>
      <w:r>
        <w:rPr>
          <w:rFonts w:hint="eastAsia"/>
          <w:i/>
          <w:iCs/>
          <w:lang w:eastAsia="zh-CN"/>
        </w:rPr>
        <w:t>C</w:t>
      </w:r>
      <w:r w:rsidRPr="007D7C92">
        <w:rPr>
          <w:i/>
          <w:iCs/>
        </w:rPr>
        <w:t xml:space="preserve">. </w:t>
      </w:r>
      <w:r>
        <w:rPr>
          <w:rFonts w:hint="eastAsia"/>
          <w:i/>
          <w:iCs/>
          <w:lang w:eastAsia="zh-CN"/>
        </w:rPr>
        <w:t>Limitations and future directions</w:t>
      </w:r>
    </w:p>
    <w:p w14:paraId="70609F50" w14:textId="77777777" w:rsidR="006B3CE7" w:rsidRPr="00D529E6" w:rsidRDefault="006B3CE7" w:rsidP="006B3CE7">
      <w:r w:rsidRPr="00D529E6">
        <w:t xml:space="preserve">Firstly, MIMIC-IV includes dataset-specific training and adaptation from UKB-pretrained parameters, and we report both; this does not establish zero-shot transportability or unchanged-model external validation; broader generalization </w:t>
      </w:r>
      <w:r w:rsidRPr="00D529E6">
        <w:lastRenderedPageBreak/>
        <w:t>across healthcare systems and temporal representations requires further evaluation.</w:t>
      </w:r>
    </w:p>
    <w:p w14:paraId="45CCA6A4" w14:textId="67514205" w:rsidR="006B3CE7" w:rsidRPr="00D529E6" w:rsidRDefault="006B3CE7" w:rsidP="006B3CE7">
      <w:r w:rsidRPr="00D529E6">
        <w:t>Second</w:t>
      </w:r>
      <w:r>
        <w:rPr>
          <w:rFonts w:hint="eastAsia"/>
          <w:lang w:eastAsia="zh-CN"/>
        </w:rPr>
        <w:t>ly</w:t>
      </w:r>
      <w:r w:rsidRPr="00D529E6">
        <w:t>, the history</w:t>
      </w:r>
      <w:r>
        <w:rPr>
          <w:lang w:eastAsia="zh-CN"/>
        </w:rPr>
        <w:t xml:space="preserve"> </w:t>
      </w:r>
      <w:r w:rsidRPr="00D529E6">
        <w:t>future split in the locked generation task was defined by token count rather than aligned to a timestamp boundary. For 128 of 1,669 participants, the split therefore fell within a group of events sharing the same re</w:t>
      </w:r>
      <w:r>
        <w:t xml:space="preserve">corded age, such that some same </w:t>
      </w:r>
      <w:r w:rsidRPr="00D529E6">
        <w:t>time events entered the observed context while the remainder were withheld. This convention was prespecified and is reflected in the one-step waiting-time</w:t>
      </w:r>
      <w:r>
        <w:t xml:space="preserve"> objective, which excludes same </w:t>
      </w:r>
      <w:r w:rsidRPr="00D529E6">
        <w:t>day targets, but its influence on the remaining trajectory endpoints was not separately quantified.</w:t>
      </w:r>
    </w:p>
    <w:p w14:paraId="5721AEAE" w14:textId="514F90A9" w:rsidR="006B3CE7" w:rsidRDefault="006B3CE7" w:rsidP="006B3CE7">
      <w:r>
        <w:rPr>
          <w:rFonts w:hint="eastAsia"/>
          <w:lang w:eastAsia="zh-CN"/>
        </w:rPr>
        <w:t>Additionally</w:t>
      </w:r>
      <w:r w:rsidRPr="00D529E6">
        <w:t>, event</w:t>
      </w:r>
      <w:r>
        <w:rPr>
          <w:rFonts w:hint="eastAsia"/>
          <w:lang w:eastAsia="zh-CN"/>
        </w:rPr>
        <w:t xml:space="preserve"> </w:t>
      </w:r>
      <w:r w:rsidRPr="00D529E6">
        <w:t>count agreement is partly coupled to the prespecified terminal-event rule. Because rollouts terminate when a mortality</w:t>
      </w:r>
      <w:r w:rsidR="0082498C">
        <w:rPr>
          <w:rFonts w:hint="eastAsia"/>
          <w:lang w:eastAsia="zh-CN"/>
        </w:rPr>
        <w:t xml:space="preserve"> </w:t>
      </w:r>
      <w:r w:rsidRPr="00D529E6">
        <w:t>related event is generated, earlier terminal-event generation can mechanically shorten sampled trajectories. The mortality</w:t>
      </w:r>
      <w:r>
        <w:rPr>
          <w:rFonts w:hint="eastAsia"/>
          <w:lang w:eastAsia="zh-CN"/>
        </w:rPr>
        <w:t xml:space="preserve"> </w:t>
      </w:r>
      <w:r w:rsidRPr="00D529E6">
        <w:t>token ablation confirmed that this termination mechanism substantially affects event-count MAE; trajectory</w:t>
      </w:r>
      <w:r>
        <w:rPr>
          <w:rFonts w:hint="eastAsia"/>
          <w:lang w:eastAsia="zh-CN"/>
        </w:rPr>
        <w:t xml:space="preserve"> </w:t>
      </w:r>
      <w:r w:rsidRPr="00D529E6">
        <w:t>length results should therefore be interpreted jointly with the termination rule rather than as an independent count of events occurring within the follow</w:t>
      </w:r>
      <w:r>
        <w:rPr>
          <w:rFonts w:hint="eastAsia"/>
          <w:lang w:eastAsia="zh-CN"/>
        </w:rPr>
        <w:t xml:space="preserve"> </w:t>
      </w:r>
      <w:r w:rsidRPr="00D529E6">
        <w:t>up window.</w:t>
      </w:r>
    </w:p>
    <w:p w14:paraId="2A392128" w14:textId="77777777" w:rsidR="006B3CE7" w:rsidRDefault="006B3CE7" w:rsidP="006B3CE7">
      <w:pPr>
        <w:rPr>
          <w:lang w:eastAsia="zh-CN"/>
        </w:rPr>
      </w:pPr>
      <w:r>
        <w:rPr>
          <w:rFonts w:hint="eastAsia"/>
          <w:lang w:eastAsia="zh-CN"/>
        </w:rPr>
        <w:t>Furthermore</w:t>
      </w:r>
      <w:r w:rsidRPr="00D529E6">
        <w:t>, the current model focuses on structured clinical events and does not yet incorporate medications, laboratory measurements, imaging, or clinical text, which may provide additional information about patient state. Future work should investigate multimodal longitudinal patient representations and evaluate their clinical utility in prospective settings</w:t>
      </w:r>
      <w:r>
        <w:rPr>
          <w:rFonts w:hint="eastAsia"/>
          <w:lang w:eastAsia="zh-CN"/>
        </w:rPr>
        <w:t>.</w:t>
      </w:r>
    </w:p>
    <w:p w14:paraId="4F927759" w14:textId="1535A37F" w:rsidR="006B3CE7" w:rsidRPr="00D529E6" w:rsidRDefault="006B3CE7" w:rsidP="006B3CE7">
      <w:pPr>
        <w:rPr>
          <w:lang w:eastAsia="zh-CN"/>
        </w:rPr>
      </w:pPr>
      <w:r>
        <w:rPr>
          <w:lang w:eastAsia="zh-CN"/>
        </w:rPr>
        <w:t>Finally, the eligibility correction re-evaluated frozen risk models on eligible participants. An audit found no direct supervised-loss contribution from anchor-only records in the examined MedTrajectory training path. Feature-based baselines were not refitted or reselected on eligible-only data; their comparisons remain exploratory.</w:t>
      </w:r>
    </w:p>
    <w:p w14:paraId="096380C4" w14:textId="77777777" w:rsidR="005D33F6" w:rsidRDefault="0031392E">
      <w:pPr>
        <w:pStyle w:val="2"/>
      </w:pPr>
      <w:bookmarkStart w:id="18" w:name="vii.-conclusion"/>
      <w:bookmarkEnd w:id="17"/>
      <w:r>
        <w:t>VII. CONCLUSION</w:t>
      </w:r>
    </w:p>
    <w:p w14:paraId="494F9DD8" w14:textId="0AA259C5" w:rsidR="00BC132A" w:rsidRDefault="006B3CE7">
      <w:r w:rsidRPr="009519B2">
        <w:t>We present MedTrajectory, an autoregressive model for multitype longitudinal EHRs that combines heterogeneou</w:t>
      </w:r>
      <w:r>
        <w:t xml:space="preserve">s clinical events with absolute age and continuous relative </w:t>
      </w:r>
      <w:r w:rsidRPr="009519B2">
        <w:t>time representations</w:t>
      </w:r>
      <w:r>
        <w:rPr>
          <w:rFonts w:hint="eastAsia"/>
          <w:lang w:eastAsia="zh-CN"/>
        </w:rPr>
        <w:t>.</w:t>
      </w:r>
      <w:r>
        <w:t xml:space="preserve"> MedTrajectory integrates multitype clinical events with absolute age and continuous relative-time attention for future-trajectory generation, with a separate horizon-query risk readout. UKB establishes improved generation with the relative</w:t>
      </w:r>
      <w:r w:rsidR="00A123AF">
        <w:rPr>
          <w:rFonts w:hint="eastAsia"/>
          <w:lang w:eastAsia="zh-CN"/>
        </w:rPr>
        <w:t xml:space="preserve"> </w:t>
      </w:r>
      <w:r>
        <w:t>time branch. Death</w:t>
      </w:r>
      <w:r w:rsidR="00A123AF">
        <w:rPr>
          <w:rFonts w:hint="eastAsia"/>
          <w:lang w:eastAsia="zh-CN"/>
        </w:rPr>
        <w:t xml:space="preserve"> </w:t>
      </w:r>
      <w:r>
        <w:t>token analysis clarifies the contribution of termination while showing that the content advantage persists after token blocking. MIMIC-IV demonstrates task adaptation and improved generated diagnostic content from UKB initialization, with count and endpoint-specific tradeoffs. These findings support the framework's modeling and transfer value</w:t>
      </w:r>
      <w:r w:rsidR="00E54FC4">
        <w:rPr>
          <w:rFonts w:hint="eastAsia"/>
          <w:lang w:eastAsia="zh-CN"/>
        </w:rPr>
        <w:t>,</w:t>
      </w:r>
      <w:r>
        <w:t xml:space="preserve"> the corrected risk result and retrospective protocols delimit claims about clinical prediction and deployment.</w:t>
      </w:r>
    </w:p>
    <w:p w14:paraId="0E673B9E" w14:textId="77777777" w:rsidR="00412D36" w:rsidRDefault="00412D36" w:rsidP="00427B7A">
      <w:pPr>
        <w:pStyle w:val="3"/>
        <w:rPr>
          <w:b/>
          <w:i w:val="0"/>
          <w:lang w:eastAsia="zh-CN"/>
        </w:rPr>
      </w:pPr>
      <w:r w:rsidRPr="00412D36">
        <w:rPr>
          <w:rFonts w:hint="eastAsia"/>
          <w:b/>
          <w:i w:val="0"/>
          <w:lang w:eastAsia="zh-CN"/>
        </w:rPr>
        <w:t>Code</w:t>
      </w:r>
      <w:r w:rsidRPr="00412D36">
        <w:rPr>
          <w:b/>
          <w:i w:val="0"/>
          <w:lang w:eastAsia="zh-CN"/>
        </w:rPr>
        <w:t xml:space="preserve"> Availability</w:t>
      </w:r>
    </w:p>
    <w:p w14:paraId="2966CF34" w14:textId="77777777" w:rsidR="00412D36" w:rsidRPr="00412D36" w:rsidRDefault="00412D36" w:rsidP="00412D36">
      <w:pPr>
        <w:rPr>
          <w:lang w:eastAsia="zh-CN"/>
        </w:rPr>
      </w:pPr>
      <w:r w:rsidRPr="00412D36">
        <w:rPr>
          <w:lang w:eastAsia="zh-CN"/>
        </w:rPr>
        <w:t xml:space="preserve">The MedTrajectory source code and </w:t>
      </w:r>
      <w:r w:rsidRPr="00751AE6">
        <w:rPr>
          <w:color w:val="000000" w:themeColor="text1"/>
          <w:lang w:eastAsia="zh-CN"/>
        </w:rPr>
        <w:t xml:space="preserve">the full supplementary material </w:t>
      </w:r>
      <w:r w:rsidRPr="00412D36">
        <w:rPr>
          <w:lang w:eastAsia="zh-CN"/>
        </w:rPr>
        <w:t>are available at https://github.com/yang-shuai-yu/MedTrajectory under the Apache License 2.0. Access-controlled UK Biobank and MIMIC-IV records are not redistributed.</w:t>
      </w:r>
    </w:p>
    <w:p w14:paraId="56394DE8" w14:textId="77777777" w:rsidR="00412D36" w:rsidRDefault="00412D36" w:rsidP="00427B7A">
      <w:pPr>
        <w:pStyle w:val="2"/>
        <w:rPr>
          <w:i w:val="0"/>
          <w:lang w:eastAsia="zh-CN"/>
        </w:rPr>
      </w:pPr>
      <w:r w:rsidRPr="00412D36">
        <w:rPr>
          <w:rFonts w:hint="eastAsia"/>
          <w:i w:val="0"/>
          <w:lang w:eastAsia="zh-CN"/>
        </w:rPr>
        <w:t>ACKNOWLEDGMENT</w:t>
      </w:r>
    </w:p>
    <w:p w14:paraId="6F6E9F0F" w14:textId="77777777" w:rsidR="00412D36" w:rsidRPr="00412D36" w:rsidRDefault="00412D36" w:rsidP="00412D36">
      <w:pPr>
        <w:rPr>
          <w:lang w:eastAsia="zh-CN"/>
        </w:rPr>
      </w:pPr>
      <w:r w:rsidRPr="00412D36">
        <w:rPr>
          <w:lang w:eastAsia="zh-CN"/>
        </w:rPr>
        <w:t>The author used a commercially available large language model for English-language editing and readability improvement of this manuscript. The tool was used for language polishing only; it did not generate scientific content, data, analyses, or conclusions. The author reviewed and verified all text and takes full responsibility for the content of this article.</w:t>
      </w:r>
    </w:p>
    <w:bookmarkEnd w:id="18"/>
    <w:p w14:paraId="6827B735" w14:textId="77777777" w:rsidR="005D33F6" w:rsidRDefault="0031392E">
      <w:pPr>
        <w:pStyle w:val="2"/>
      </w:pPr>
      <w:r>
        <w:t>REFERENCES</w:t>
      </w:r>
    </w:p>
    <w:p w14:paraId="56AC6ABB" w14:textId="77777777" w:rsidR="005D33F6" w:rsidRPr="00F67EDB" w:rsidRDefault="00C10833" w:rsidP="00C10833">
      <w:pPr>
        <w:ind w:left="260" w:hanging="260"/>
        <w:rPr>
          <w:sz w:val="16"/>
        </w:rPr>
      </w:pPr>
      <w:r>
        <w:rPr>
          <w:sz w:val="16"/>
        </w:rPr>
        <w:t>[1] Y. Li et al., "BEHRT: Transformer for electronic health records," Sci. Rep., vol. 10, Art. no. 7155, 2020, doi: 10.1038/s41598-020-62922-y.</w:t>
      </w:r>
    </w:p>
    <w:p w14:paraId="2F877927" w14:textId="77777777" w:rsidR="005D33F6" w:rsidRPr="00F67EDB" w:rsidRDefault="00E96632" w:rsidP="00E96632">
      <w:pPr>
        <w:ind w:left="260" w:hanging="260"/>
        <w:rPr>
          <w:sz w:val="16"/>
        </w:rPr>
      </w:pPr>
      <w:r>
        <w:rPr>
          <w:sz w:val="16"/>
        </w:rPr>
        <w:t>[2] L. Rasmy, Y. Xiang, Z. Xie, C. Tao, and D. Zhi, "Med-BERT: Pretrained contextualized embeddings on large-scale structured electronic health records for disease prediction," npj Digit. Med., vol. 4, Art. no. 86, 2021, doi: 10.1038/s41746-021-00455-y.</w:t>
      </w:r>
    </w:p>
    <w:p w14:paraId="7B3F9240" w14:textId="77777777" w:rsidR="005D33F6" w:rsidRPr="00D76673" w:rsidRDefault="00D76673" w:rsidP="00D76673">
      <w:pPr>
        <w:ind w:left="260" w:hanging="260"/>
        <w:rPr>
          <w:sz w:val="16"/>
        </w:rPr>
      </w:pPr>
      <w:r>
        <w:rPr>
          <w:sz w:val="16"/>
        </w:rPr>
        <w:t>[3] Z. Kraljevic et al., "Foresight—a generative pretrained transformer for modelling of patient timelines using electronic health records: A retrospective modelling study," Lancet Digit. Health, vol. 6, no. 4, pp. e281–e290, Apr. 2024, doi: 10.1016/S2589-7500(24)00025-6.</w:t>
      </w:r>
    </w:p>
    <w:p w14:paraId="50DA8D39" w14:textId="77777777" w:rsidR="005D33F6" w:rsidRPr="00F67EDB" w:rsidRDefault="00933207" w:rsidP="00933207">
      <w:pPr>
        <w:ind w:left="260" w:hanging="260"/>
        <w:rPr>
          <w:sz w:val="16"/>
        </w:rPr>
      </w:pPr>
      <w:r>
        <w:rPr>
          <w:sz w:val="16"/>
        </w:rPr>
        <w:t>[4] P. Renc et al., "Zero shot health trajectory prediction using transformer," npj Digit. Med., vol. 7, Art. no. 256, 2024, doi: 10.1038/s41746-024-01235-0.</w:t>
      </w:r>
    </w:p>
    <w:p w14:paraId="6B6893CE" w14:textId="77777777" w:rsidR="005D33F6" w:rsidRPr="00F67EDB" w:rsidRDefault="00FA1C5A" w:rsidP="00FA1C5A">
      <w:pPr>
        <w:ind w:left="260" w:hanging="260"/>
        <w:rPr>
          <w:sz w:val="16"/>
        </w:rPr>
      </w:pPr>
      <w:r>
        <w:rPr>
          <w:sz w:val="16"/>
        </w:rPr>
        <w:t>[5] A. Shmatko et al., "Learning the natural history of human disease with generative transformers," Nature, vol. 647, no. 8088, pp. 248–256, Nov. 2025, doi: 10.1038/s41586-025-09529-3.</w:t>
      </w:r>
    </w:p>
    <w:p w14:paraId="25FB2658" w14:textId="77777777" w:rsidR="005D33F6" w:rsidRPr="00F67EDB" w:rsidRDefault="007D2D9B" w:rsidP="007D2D9B">
      <w:pPr>
        <w:ind w:left="260" w:hanging="260"/>
        <w:rPr>
          <w:sz w:val="16"/>
        </w:rPr>
      </w:pPr>
      <w:r>
        <w:rPr>
          <w:sz w:val="16"/>
        </w:rPr>
        <w:t>[6] P. Wu et al., "Mapping ICD-10 and ICD-10-CM codes to phecodes: Workflow development and initial evaluation," JMIR Med. Inform., vol. 7, no. 4, Art. no. e14325, 2019, doi: 10.2196/14325.</w:t>
      </w:r>
    </w:p>
    <w:p w14:paraId="2EFAD603" w14:textId="77777777" w:rsidR="005D33F6" w:rsidRPr="00F67EDB" w:rsidRDefault="00055F21" w:rsidP="00055F21">
      <w:pPr>
        <w:ind w:left="260" w:hanging="260"/>
        <w:rPr>
          <w:sz w:val="16"/>
        </w:rPr>
      </w:pPr>
      <w:r>
        <w:rPr>
          <w:sz w:val="16"/>
        </w:rPr>
        <w:t>[7] E. Choi, M. T. Bahadori, L. Song, W. F. Stewart, and J. Sun, "GRAM: Graph-based attention model for healthcare representation learning," in Proc. 23rd ACM SIGKDD Int. Conf. Knowledge Discovery and Data Mining, 2017, pp. 787–795, doi: 10.1145/3097983.3098126.</w:t>
      </w:r>
    </w:p>
    <w:p w14:paraId="67F0F4F9" w14:textId="77777777" w:rsidR="005D33F6" w:rsidRPr="00F67EDB" w:rsidRDefault="00A949EE" w:rsidP="00A949EE">
      <w:pPr>
        <w:ind w:left="260" w:hanging="260"/>
        <w:rPr>
          <w:sz w:val="16"/>
        </w:rPr>
      </w:pPr>
      <w:r>
        <w:rPr>
          <w:sz w:val="16"/>
        </w:rPr>
        <w:t>[8] Y. Gu et al., "Domain-specific language model pretraining for biomedical natural language processing," ACM Trans. Comput. Healthcare, vol. 3, no. 1, pp. 1–23, Jan. 2022, doi: 10.1145/3458754.</w:t>
      </w:r>
    </w:p>
    <w:p w14:paraId="21F2E407" w14:textId="77777777" w:rsidR="005D33F6" w:rsidRPr="00F67EDB" w:rsidRDefault="00A708D6" w:rsidP="00A708D6">
      <w:pPr>
        <w:ind w:left="260" w:hanging="260"/>
        <w:rPr>
          <w:sz w:val="16"/>
        </w:rPr>
      </w:pPr>
      <w:r>
        <w:rPr>
          <w:sz w:val="16"/>
        </w:rPr>
        <w:t>[9] F. Liu, E. Shareghi, Z. Meng, M. Basaldella, and N. Collier, "Self-alignment pretraining for biomedical entity representations," in Proc. Conf. North American Chapter Assoc. Computational Linguistics: Human Language Technologies, 2021, pp. 4228–4238, doi: 10.18653/v1/2021.naacl-main.334.</w:t>
      </w:r>
    </w:p>
    <w:p w14:paraId="7E22A5C6" w14:textId="77777777" w:rsidR="005D33F6" w:rsidRPr="00F67EDB" w:rsidRDefault="00F263E3" w:rsidP="00F263E3">
      <w:pPr>
        <w:ind w:left="260" w:hanging="260"/>
        <w:rPr>
          <w:sz w:val="16"/>
        </w:rPr>
      </w:pPr>
      <w:r>
        <w:rPr>
          <w:sz w:val="16"/>
        </w:rPr>
        <w:t>[10] E. Choi, M. T. Bahadori, A. Schuetz, W. F. Stewart, and J. Sun, "Doctor AI: Predicting clinical events via recurrent neural networks," in Proc. Machine Learning for Healthcare Conf., PMLR, vol. 56, 2016, pp. 301–318.</w:t>
      </w:r>
    </w:p>
    <w:p w14:paraId="123E96D7" w14:textId="77777777" w:rsidR="005D33F6" w:rsidRPr="00F67EDB" w:rsidRDefault="00F263E3" w:rsidP="00F263E3">
      <w:pPr>
        <w:ind w:left="260" w:hanging="260"/>
        <w:rPr>
          <w:sz w:val="16"/>
        </w:rPr>
      </w:pPr>
      <w:r>
        <w:rPr>
          <w:sz w:val="16"/>
        </w:rPr>
        <w:t>[11] E. Choi, M. T. Bahadori, J. A. Kulas, A. Schuetz, W. F. Stewart, and J. Sun, "RETAIN: An interpretable predictive model for healthcare using reverse time attention mechanism," in Advances in Neural Information Processing Systems, vol. 29, 2016.</w:t>
      </w:r>
    </w:p>
    <w:p w14:paraId="062D7DF7" w14:textId="77777777" w:rsidR="005D33F6" w:rsidRPr="00F67EDB" w:rsidRDefault="0038211F" w:rsidP="0038211F">
      <w:pPr>
        <w:ind w:left="260" w:hanging="260"/>
        <w:rPr>
          <w:sz w:val="16"/>
        </w:rPr>
      </w:pPr>
      <w:r>
        <w:rPr>
          <w:sz w:val="16"/>
        </w:rPr>
        <w:t>[12] C. Lee, W. R. Zame, J. Yoon, and M. van der Schaar, "DeepHit: A deep learning approach to survival analysis with competing risks," in Proc. AAAI Conf. Artif. Intell., vol. 32, no. 1, 2018, doi: 10.1609/aaai.v32i1.11842.</w:t>
      </w:r>
    </w:p>
    <w:p w14:paraId="1A4627A0" w14:textId="77777777" w:rsidR="005D33F6" w:rsidRPr="00F67EDB" w:rsidRDefault="008F7CFB" w:rsidP="008F7CFB">
      <w:pPr>
        <w:ind w:left="260" w:hanging="260"/>
        <w:rPr>
          <w:sz w:val="16"/>
        </w:rPr>
      </w:pPr>
      <w:r>
        <w:rPr>
          <w:sz w:val="16"/>
        </w:rPr>
        <w:t>[13] C. Lee, J. Yoon, and M. van der Schaar, "Dynamic-DeepHit: A deep learning approach for dynamic survival analysis with competing risks based on longitudinal data," IEEE Trans. Biomed. Eng., vol. 67, no. 1, pp. 122–133, Jan. 2020, doi: 10.1109/TBME.2019.2909027.</w:t>
      </w:r>
    </w:p>
    <w:p w14:paraId="106AF620" w14:textId="77777777" w:rsidR="005D33F6" w:rsidRPr="00F67EDB" w:rsidRDefault="004B18E9" w:rsidP="004B18E9">
      <w:pPr>
        <w:ind w:left="260" w:hanging="260"/>
        <w:rPr>
          <w:sz w:val="16"/>
        </w:rPr>
      </w:pPr>
      <w:r>
        <w:rPr>
          <w:sz w:val="16"/>
        </w:rPr>
        <w:t>[14] Z. Wang and J. Sun, "SurvTRACE: Transformers for survival analysis with competing events," in Proc. 13th ACM Int. Conf. Bioinformatics, Computational Biology and Health Informatics (ACM-BCB), 2022, pp. 1–9, doi: 10.1145/3535508.3545521.</w:t>
      </w:r>
    </w:p>
    <w:p w14:paraId="7270EAA9" w14:textId="77777777" w:rsidR="005D33F6" w:rsidRPr="00F67EDB" w:rsidRDefault="006C061E" w:rsidP="006C061E">
      <w:pPr>
        <w:ind w:left="260" w:hanging="260"/>
        <w:rPr>
          <w:sz w:val="16"/>
        </w:rPr>
      </w:pPr>
      <w:r>
        <w:rPr>
          <w:sz w:val="16"/>
        </w:rPr>
        <w:t>[15] H. Shinohara et al., "The potential of the transformer-based survival analysis model, SurvTrace, for predicting recurrent cardiovascular events and stratifying high-risk patients with ischemic heart disease," PLoS One, vol. 19, no. 6, Art. no. e0304423, 2024, doi: 10.1371/journal.pone.0304423.</w:t>
      </w:r>
    </w:p>
    <w:p w14:paraId="70E748B5" w14:textId="77777777" w:rsidR="005D33F6" w:rsidRPr="00F67EDB" w:rsidRDefault="002A2783" w:rsidP="002A2783">
      <w:pPr>
        <w:ind w:left="260" w:hanging="260"/>
        <w:rPr>
          <w:sz w:val="16"/>
        </w:rPr>
      </w:pPr>
      <w:r>
        <w:rPr>
          <w:sz w:val="16"/>
        </w:rPr>
        <w:t>[16] C. Pang et al., "CEHR-BERT: Incorporating temporal information from structured EHR data to improve prediction tasks," in Proc. Machine Learning for Health, PMLR, vol. 158, 2021, pp. 239–260.</w:t>
      </w:r>
    </w:p>
    <w:p w14:paraId="73DD3692" w14:textId="77777777" w:rsidR="008B44D9" w:rsidRPr="00681072" w:rsidRDefault="0031392E" w:rsidP="008B44D9">
      <w:pPr>
        <w:ind w:left="260" w:hanging="260"/>
      </w:pPr>
      <w:r>
        <w:rPr>
          <w:sz w:val="16"/>
        </w:rPr>
        <w:t xml:space="preserve">[17] J. Luo, M. Ye, C. Xiao, and F. Ma, "HiTANet: Hierarchical time-aware attention networks for risk prediction on electronic health records," in </w:t>
      </w:r>
      <w:r>
        <w:rPr>
          <w:sz w:val="16"/>
        </w:rPr>
        <w:lastRenderedPageBreak/>
        <w:t>Proc. 26th ACM SIGKDD Int. Conf. Knowledge Discovery and Data Mining, 2020, pp. 647–656, doi: 10.1145/3394486.3403107.</w:t>
      </w:r>
    </w:p>
    <w:p w14:paraId="088371C2" w14:textId="77777777" w:rsidR="005D33F6" w:rsidRPr="00F67EDB" w:rsidRDefault="00625EA2" w:rsidP="00625EA2">
      <w:pPr>
        <w:ind w:left="260" w:hanging="260"/>
        <w:rPr>
          <w:sz w:val="16"/>
        </w:rPr>
      </w:pPr>
      <w:r>
        <w:rPr>
          <w:sz w:val="16"/>
        </w:rPr>
        <w:t>[18] P. Renc et al., "Foundation model of electronic medical records for adaptive risk estimation," GigaScience, vol. 14, Art. no. giaf107, 2025, doi: 10.1093/gigascience/giaf107.</w:t>
      </w:r>
    </w:p>
    <w:p w14:paraId="35AFD68D" w14:textId="77777777" w:rsidR="005D33F6" w:rsidRDefault="00F2769C">
      <w:pPr>
        <w:ind w:left="260" w:hanging="260"/>
      </w:pPr>
      <w:r>
        <w:rPr>
          <w:sz w:val="16"/>
        </w:rPr>
        <w:t>[19] Alibaba Cloud, "Embedding," Alibaba Cloud Model Studio documentation. Accessed: Sep. 16, 2026. [Online]. Available: https://www.alibabacloud.com/help/en/model-studio/embedding</w:t>
      </w:r>
    </w:p>
    <w:p w14:paraId="35C6A61B" w14:textId="77777777" w:rsidR="00681072" w:rsidRPr="00681072" w:rsidRDefault="00681072" w:rsidP="008B44D9">
      <w:pPr>
        <w:ind w:left="260" w:hanging="260"/>
        <w:rPr>
          <w:sz w:val="16"/>
          <w:szCs w:val="16"/>
        </w:rPr>
      </w:pPr>
      <w:r>
        <w:rPr>
          <w:sz w:val="16"/>
          <w:szCs w:val="16"/>
        </w:rPr>
        <w:t>[20] A. Vaswani et al., "Attention is all you need," in Advances in Neural Information Processing Systems, vol. 30, 2017.</w:t>
      </w:r>
    </w:p>
    <w:p w14:paraId="20DF2D35" w14:textId="77777777" w:rsidR="005D33F6" w:rsidRPr="00F67EDB" w:rsidRDefault="00490188" w:rsidP="00490188">
      <w:pPr>
        <w:ind w:left="260" w:hanging="260"/>
        <w:rPr>
          <w:sz w:val="16"/>
        </w:rPr>
      </w:pPr>
      <w:r>
        <w:rPr>
          <w:sz w:val="16"/>
        </w:rPr>
        <w:t>[21] J. Su, M. Ahmed, Y. Lu, S. Pan, W. Bo, and Y. Liu, "RoFormer: Enhanced transformer with rotary position embedding," Neurocomputing, vol. 568, Art. no. 127063, 2024, doi: 10.1016/j.neucom.2023.127063.</w:t>
      </w:r>
    </w:p>
    <w:p w14:paraId="2CD6041A" w14:textId="77777777" w:rsidR="00BC132A" w:rsidRDefault="00000000">
      <w:pPr>
        <w:ind w:left="260" w:hanging="260"/>
        <w:rPr>
          <w:sz w:val="16"/>
          <w:szCs w:val="16"/>
        </w:rPr>
      </w:pPr>
      <w:r>
        <w:rPr>
          <w:sz w:val="16"/>
          <w:szCs w:val="16"/>
        </w:rPr>
        <w:t>[22] Z. Song, Q. Lu, H. Zhu, D. Buckeridge, and Y. Li, "TrajGPT: Irregular time-series representation learning of health trajectory," IEEE J. Biomed. Health Inform., vol. 30, no. 5, pp. 3888–3899, May 2026, doi: 10.1109/JBHI.2025.3620205.</w:t>
      </w:r>
    </w:p>
    <w:p w14:paraId="2968159D" w14:textId="77777777" w:rsidR="00494A95" w:rsidRDefault="00494A95" w:rsidP="008B44D9">
      <w:pPr>
        <w:ind w:left="260" w:hanging="260"/>
        <w:rPr>
          <w:sz w:val="16"/>
          <w:szCs w:val="16"/>
        </w:rPr>
      </w:pPr>
      <w:r>
        <w:rPr>
          <w:sz w:val="16"/>
          <w:szCs w:val="16"/>
        </w:rPr>
        <w:t>[23] C. Sudlow et al., "UK Biobank: An open access resource for identifying the causes of a wide range of complex diseases of middle and old age," PLoS Med., vol. 12, no. 3, Art. no. e1001779, 2015, doi: 10.1371/journal.pmed.1001779.</w:t>
      </w:r>
    </w:p>
    <w:p w14:paraId="1911FC68" w14:textId="77777777" w:rsidR="00681072" w:rsidRPr="00494A95" w:rsidRDefault="00681072" w:rsidP="008B44D9">
      <w:pPr>
        <w:ind w:left="260" w:hanging="260"/>
        <w:rPr>
          <w:sz w:val="16"/>
          <w:szCs w:val="16"/>
        </w:rPr>
      </w:pPr>
      <w:r>
        <w:rPr>
          <w:sz w:val="16"/>
          <w:szCs w:val="16"/>
        </w:rPr>
        <w:t>[24] A. E. W. Johnson et al., "MIMIC-IV, a freely accessible electronic health record dataset," Sci. Data, vol. 10, Art. no. 1, 2023, doi: 10.1038/s41597-022-01899-x.</w:t>
      </w:r>
    </w:p>
    <w:sectPr w:rsidR="00681072" w:rsidRPr="00494A95" w:rsidSect="008E4F03">
      <w:headerReference w:type="default" r:id="rId20"/>
      <w:footnotePr>
        <w:numFmt w:val="chicago"/>
      </w:footnotePr>
      <w:type w:val="continuous"/>
      <w:pgSz w:w="12240" w:h="15840"/>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F1DEE" w14:textId="77777777" w:rsidR="00090600" w:rsidRDefault="00090600">
      <w:r>
        <w:separator/>
      </w:r>
    </w:p>
  </w:endnote>
  <w:endnote w:type="continuationSeparator" w:id="0">
    <w:p w14:paraId="3C5C5802" w14:textId="77777777" w:rsidR="00090600" w:rsidRDefault="000906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imesLTStd-Roman">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FormataOTF-Bold">
    <w:panose1 w:val="00000000000000000000"/>
    <w:charset w:val="00"/>
    <w:family w:val="auto"/>
    <w:notTrueType/>
    <w:pitch w:val="default"/>
    <w:sig w:usb0="00000003" w:usb1="00000000" w:usb2="00000000" w:usb3="00000000" w:csb0="00000001" w:csb1="00000000"/>
  </w:font>
  <w:font w:name="FormataOTFMdIt">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icrosoft JhengHei">
    <w:panose1 w:val="020B0604030504040204"/>
    <w:charset w:val="88"/>
    <w:family w:val="swiss"/>
    <w:pitch w:val="variable"/>
    <w:sig w:usb0="000002A7" w:usb1="28CF4400" w:usb2="00000016" w:usb3="00000000" w:csb0="00100009"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4DD01" w14:textId="77777777" w:rsidR="00090600" w:rsidRDefault="00090600">
      <w:r>
        <w:separator/>
      </w:r>
    </w:p>
  </w:footnote>
  <w:footnote w:type="continuationSeparator" w:id="0">
    <w:p w14:paraId="440DC032" w14:textId="77777777" w:rsidR="00090600" w:rsidRDefault="000906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5C8DF" w14:textId="77777777" w:rsidR="009A692C" w:rsidRDefault="00960BCE">
    <w:pPr>
      <w:jc w:val="right"/>
    </w:pPr>
    <w:r>
      <w:fldChar w:fldCharType="begin"/>
    </w:r>
    <w:r>
      <w:instrText xml:space="preserve"> PAGE </w:instrText>
    </w:r>
    <w:r>
      <w:fldChar w:fldCharType="separate"/>
    </w:r>
    <w:r w:rsidR="00751AE6">
      <w:rPr>
        <w:noProof/>
      </w:rPr>
      <w:t>8</w:t>
    </w:r>
    <w:r>
      <w:rPr>
        <w:sz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D6799" w14:textId="77777777" w:rsidR="009A692C" w:rsidRDefault="00960BCE">
    <w:pPr>
      <w:jc w:val="right"/>
    </w:pPr>
    <w:r>
      <w:fldChar w:fldCharType="begin"/>
    </w:r>
    <w:r>
      <w:instrText xml:space="preserve"> PAGE </w:instrText>
    </w:r>
    <w:r>
      <w:fldChar w:fldCharType="separate"/>
    </w:r>
    <w:r w:rsidR="00751AE6">
      <w:rPr>
        <w:noProof/>
      </w:rPr>
      <w:t>8</w:t>
    </w:r>
    <w:r>
      <w:rPr>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D3AC22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B10CA0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0"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2"/>
      <w:lvlText w:val=""/>
      <w:lvlJc w:val="left"/>
      <w:pPr>
        <w:ind w:left="0" w:firstLine="0"/>
      </w:pPr>
    </w:lvl>
    <w:lvl w:ilvl="2">
      <w:start w:val="1"/>
      <w:numFmt w:val="bullet"/>
      <w:pStyle w:val="3"/>
      <w:lvlText w:val=""/>
      <w:lvlJc w:val="left"/>
      <w:pPr>
        <w:ind w:left="0" w:firstLine="0"/>
      </w:pPr>
    </w:lvl>
    <w:lvl w:ilvl="3">
      <w:start w:val="1"/>
      <w:numFmt w:val="bullet"/>
      <w:pStyle w:val="4"/>
      <w:lvlText w:val=""/>
      <w:lvlJc w:val="left"/>
      <w:pPr>
        <w:ind w:left="0" w:firstLine="0"/>
      </w:pPr>
    </w:lvl>
    <w:lvl w:ilvl="4">
      <w:start w:val="1"/>
      <w:numFmt w:val="bullet"/>
      <w:pStyle w:val="5"/>
      <w:lvlText w:val=""/>
      <w:lvlJc w:val="left"/>
      <w:pPr>
        <w:ind w:left="0" w:firstLine="0"/>
      </w:pPr>
    </w:lvl>
    <w:lvl w:ilvl="5">
      <w:start w:val="1"/>
      <w:numFmt w:val="bullet"/>
      <w:pStyle w:val="6"/>
      <w:lvlText w:val=""/>
      <w:lvlJc w:val="left"/>
      <w:pPr>
        <w:ind w:left="0" w:firstLine="0"/>
      </w:pPr>
    </w:lvl>
    <w:lvl w:ilvl="6">
      <w:start w:val="1"/>
      <w:numFmt w:val="bullet"/>
      <w:pStyle w:val="7"/>
      <w:lvlText w:val=""/>
      <w:lvlJc w:val="left"/>
      <w:pPr>
        <w:ind w:left="0" w:firstLine="0"/>
      </w:pPr>
    </w:lvl>
    <w:lvl w:ilvl="7">
      <w:start w:val="1"/>
      <w:numFmt w:val="bullet"/>
      <w:pStyle w:val="8"/>
      <w:lvlText w:val=""/>
      <w:lvlJc w:val="left"/>
      <w:pPr>
        <w:ind w:left="0" w:firstLine="0"/>
      </w:pPr>
    </w:lvl>
    <w:lvl w:ilvl="8">
      <w:start w:val="1"/>
      <w:numFmt w:val="bullet"/>
      <w:pStyle w:val="9"/>
      <w:lvlText w:val=""/>
      <w:lvlJc w:val="left"/>
      <w:pPr>
        <w:ind w:left="0" w:firstLine="0"/>
      </w:pPr>
    </w:lvl>
  </w:abstractNum>
  <w:num w:numId="1" w16cid:durableId="233704182">
    <w:abstractNumId w:val="11"/>
  </w:num>
  <w:num w:numId="2" w16cid:durableId="1146319964">
    <w:abstractNumId w:val="4"/>
  </w:num>
  <w:num w:numId="3" w16cid:durableId="1434479160">
    <w:abstractNumId w:val="3"/>
  </w:num>
  <w:num w:numId="4" w16cid:durableId="1474830499">
    <w:abstractNumId w:val="10"/>
  </w:num>
  <w:num w:numId="5" w16cid:durableId="215514511">
    <w:abstractNumId w:val="7"/>
  </w:num>
  <w:num w:numId="6" w16cid:durableId="1706178734">
    <w:abstractNumId w:val="8"/>
  </w:num>
  <w:num w:numId="7" w16cid:durableId="184393180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38301001">
    <w:abstractNumId w:val="6"/>
  </w:num>
  <w:num w:numId="9" w16cid:durableId="767308594">
    <w:abstractNumId w:val="5"/>
  </w:num>
  <w:num w:numId="10" w16cid:durableId="359278718">
    <w:abstractNumId w:val="9"/>
  </w:num>
  <w:num w:numId="11" w16cid:durableId="1251502678">
    <w:abstractNumId w:val="2"/>
  </w:num>
  <w:num w:numId="12" w16cid:durableId="1785537849">
    <w:abstractNumId w:val="11"/>
  </w:num>
  <w:num w:numId="13" w16cid:durableId="1520316776">
    <w:abstractNumId w:val="11"/>
  </w:num>
  <w:num w:numId="14" w16cid:durableId="714813806">
    <w:abstractNumId w:val="11"/>
  </w:num>
  <w:num w:numId="15" w16cid:durableId="1977761360">
    <w:abstractNumId w:val="11"/>
  </w:num>
  <w:num w:numId="16" w16cid:durableId="1408184206">
    <w:abstractNumId w:val="11"/>
  </w:num>
  <w:num w:numId="17" w16cid:durableId="1536766961">
    <w:abstractNumId w:val="11"/>
  </w:num>
  <w:num w:numId="18" w16cid:durableId="1641568742">
    <w:abstractNumId w:val="11"/>
  </w:num>
  <w:num w:numId="19" w16cid:durableId="641807913">
    <w:abstractNumId w:val="11"/>
  </w:num>
  <w:num w:numId="20" w16cid:durableId="427434162">
    <w:abstractNumId w:val="11"/>
  </w:num>
  <w:num w:numId="21" w16cid:durableId="685132123">
    <w:abstractNumId w:val="11"/>
  </w:num>
  <w:num w:numId="22" w16cid:durableId="145634793">
    <w:abstractNumId w:val="11"/>
  </w:num>
  <w:num w:numId="23" w16cid:durableId="361563880">
    <w:abstractNumId w:val="11"/>
  </w:num>
  <w:num w:numId="24" w16cid:durableId="1082875498">
    <w:abstractNumId w:val="11"/>
  </w:num>
  <w:num w:numId="25" w16cid:durableId="1161890881">
    <w:abstractNumId w:val="11"/>
  </w:num>
  <w:num w:numId="26" w16cid:durableId="726419182">
    <w:abstractNumId w:val="11"/>
  </w:num>
  <w:num w:numId="27" w16cid:durableId="248775668">
    <w:abstractNumId w:val="11"/>
  </w:num>
  <w:num w:numId="28" w16cid:durableId="1882665312">
    <w:abstractNumId w:val="11"/>
  </w:num>
  <w:num w:numId="29" w16cid:durableId="698898812">
    <w:abstractNumId w:val="0"/>
  </w:num>
  <w:num w:numId="30" w16cid:durableId="18265840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755390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removeDateAndTime/>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Fmt w:val="chicago"/>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E46"/>
    <w:rsid w:val="00002FAF"/>
    <w:rsid w:val="00021414"/>
    <w:rsid w:val="000317A7"/>
    <w:rsid w:val="00031B43"/>
    <w:rsid w:val="00033808"/>
    <w:rsid w:val="00033C5C"/>
    <w:rsid w:val="00036210"/>
    <w:rsid w:val="00036578"/>
    <w:rsid w:val="00040FC0"/>
    <w:rsid w:val="00053B2E"/>
    <w:rsid w:val="00053D3A"/>
    <w:rsid w:val="00053DFA"/>
    <w:rsid w:val="00055F21"/>
    <w:rsid w:val="000650E5"/>
    <w:rsid w:val="00071170"/>
    <w:rsid w:val="00071C20"/>
    <w:rsid w:val="000800EA"/>
    <w:rsid w:val="00081747"/>
    <w:rsid w:val="00085D7A"/>
    <w:rsid w:val="00087281"/>
    <w:rsid w:val="00090232"/>
    <w:rsid w:val="00090600"/>
    <w:rsid w:val="00092BFA"/>
    <w:rsid w:val="000933E9"/>
    <w:rsid w:val="000937AC"/>
    <w:rsid w:val="00093E34"/>
    <w:rsid w:val="00094513"/>
    <w:rsid w:val="000954C8"/>
    <w:rsid w:val="00096016"/>
    <w:rsid w:val="000A042E"/>
    <w:rsid w:val="000A28BE"/>
    <w:rsid w:val="000A4997"/>
    <w:rsid w:val="000A779E"/>
    <w:rsid w:val="000B03A1"/>
    <w:rsid w:val="000D2B96"/>
    <w:rsid w:val="000D5A71"/>
    <w:rsid w:val="000E344A"/>
    <w:rsid w:val="000E4464"/>
    <w:rsid w:val="000F2C11"/>
    <w:rsid w:val="000F2C89"/>
    <w:rsid w:val="000F74F2"/>
    <w:rsid w:val="000F77D3"/>
    <w:rsid w:val="00105FCB"/>
    <w:rsid w:val="0011422D"/>
    <w:rsid w:val="00114406"/>
    <w:rsid w:val="0011473A"/>
    <w:rsid w:val="00115CFF"/>
    <w:rsid w:val="00117EA9"/>
    <w:rsid w:val="00120FF9"/>
    <w:rsid w:val="00126C15"/>
    <w:rsid w:val="00130A2A"/>
    <w:rsid w:val="0013296E"/>
    <w:rsid w:val="00134E5C"/>
    <w:rsid w:val="00141A27"/>
    <w:rsid w:val="00141F5B"/>
    <w:rsid w:val="00142175"/>
    <w:rsid w:val="00144B6C"/>
    <w:rsid w:val="00151402"/>
    <w:rsid w:val="00152AB3"/>
    <w:rsid w:val="00170C54"/>
    <w:rsid w:val="00173CEA"/>
    <w:rsid w:val="001743EC"/>
    <w:rsid w:val="0017559B"/>
    <w:rsid w:val="001770D5"/>
    <w:rsid w:val="0019044E"/>
    <w:rsid w:val="00190B6E"/>
    <w:rsid w:val="00195EBD"/>
    <w:rsid w:val="001979B4"/>
    <w:rsid w:val="001A3FAB"/>
    <w:rsid w:val="001A4852"/>
    <w:rsid w:val="001A5DE0"/>
    <w:rsid w:val="001B0334"/>
    <w:rsid w:val="001B31A5"/>
    <w:rsid w:val="001B39B6"/>
    <w:rsid w:val="001B4DDB"/>
    <w:rsid w:val="001C10B7"/>
    <w:rsid w:val="001D1898"/>
    <w:rsid w:val="001D2874"/>
    <w:rsid w:val="001E0630"/>
    <w:rsid w:val="001E31FE"/>
    <w:rsid w:val="001E43CE"/>
    <w:rsid w:val="001E695B"/>
    <w:rsid w:val="001E7B2D"/>
    <w:rsid w:val="001E7C2B"/>
    <w:rsid w:val="001E7EDB"/>
    <w:rsid w:val="001F3315"/>
    <w:rsid w:val="001F512A"/>
    <w:rsid w:val="00203219"/>
    <w:rsid w:val="002050D4"/>
    <w:rsid w:val="00205E6E"/>
    <w:rsid w:val="002065DE"/>
    <w:rsid w:val="00207A2A"/>
    <w:rsid w:val="00207B5F"/>
    <w:rsid w:val="00210641"/>
    <w:rsid w:val="00210C12"/>
    <w:rsid w:val="00215695"/>
    <w:rsid w:val="00215AED"/>
    <w:rsid w:val="0022191D"/>
    <w:rsid w:val="002354EB"/>
    <w:rsid w:val="00237834"/>
    <w:rsid w:val="00250C18"/>
    <w:rsid w:val="002521E7"/>
    <w:rsid w:val="00252702"/>
    <w:rsid w:val="00254A31"/>
    <w:rsid w:val="00262B14"/>
    <w:rsid w:val="0026758D"/>
    <w:rsid w:val="0027211E"/>
    <w:rsid w:val="0027317A"/>
    <w:rsid w:val="0027578C"/>
    <w:rsid w:val="00280DEC"/>
    <w:rsid w:val="00282558"/>
    <w:rsid w:val="0028334B"/>
    <w:rsid w:val="00285E41"/>
    <w:rsid w:val="0029039B"/>
    <w:rsid w:val="002967D1"/>
    <w:rsid w:val="002A2783"/>
    <w:rsid w:val="002A5C66"/>
    <w:rsid w:val="002A64D8"/>
    <w:rsid w:val="002B00A2"/>
    <w:rsid w:val="002B032F"/>
    <w:rsid w:val="002B2A59"/>
    <w:rsid w:val="002B706D"/>
    <w:rsid w:val="002C5F7D"/>
    <w:rsid w:val="002D1EDB"/>
    <w:rsid w:val="002E04C7"/>
    <w:rsid w:val="002E32E8"/>
    <w:rsid w:val="002E7CF7"/>
    <w:rsid w:val="002F4311"/>
    <w:rsid w:val="002F560D"/>
    <w:rsid w:val="002F7AF2"/>
    <w:rsid w:val="003031D9"/>
    <w:rsid w:val="00307C12"/>
    <w:rsid w:val="003113B9"/>
    <w:rsid w:val="0031392E"/>
    <w:rsid w:val="00335943"/>
    <w:rsid w:val="0034039F"/>
    <w:rsid w:val="0034082F"/>
    <w:rsid w:val="00347C25"/>
    <w:rsid w:val="003536A8"/>
    <w:rsid w:val="00353C5B"/>
    <w:rsid w:val="00354A43"/>
    <w:rsid w:val="00357347"/>
    <w:rsid w:val="0036091A"/>
    <w:rsid w:val="0036591F"/>
    <w:rsid w:val="00366AA0"/>
    <w:rsid w:val="00380C7D"/>
    <w:rsid w:val="0038211F"/>
    <w:rsid w:val="00391129"/>
    <w:rsid w:val="0039153E"/>
    <w:rsid w:val="00393066"/>
    <w:rsid w:val="00393193"/>
    <w:rsid w:val="003934A9"/>
    <w:rsid w:val="00396384"/>
    <w:rsid w:val="003A0089"/>
    <w:rsid w:val="003A255C"/>
    <w:rsid w:val="003A66DA"/>
    <w:rsid w:val="003B5D35"/>
    <w:rsid w:val="003C516C"/>
    <w:rsid w:val="003D1AEB"/>
    <w:rsid w:val="003D32C5"/>
    <w:rsid w:val="003E02EE"/>
    <w:rsid w:val="003E1562"/>
    <w:rsid w:val="003E1933"/>
    <w:rsid w:val="003E251A"/>
    <w:rsid w:val="003E37F1"/>
    <w:rsid w:val="003E39A9"/>
    <w:rsid w:val="003E4FEA"/>
    <w:rsid w:val="004038E1"/>
    <w:rsid w:val="00405D0D"/>
    <w:rsid w:val="004063A4"/>
    <w:rsid w:val="00406FE7"/>
    <w:rsid w:val="00410284"/>
    <w:rsid w:val="00412D36"/>
    <w:rsid w:val="00413CB0"/>
    <w:rsid w:val="0041751A"/>
    <w:rsid w:val="004279AB"/>
    <w:rsid w:val="00432DB7"/>
    <w:rsid w:val="004330E9"/>
    <w:rsid w:val="0043349B"/>
    <w:rsid w:val="00442679"/>
    <w:rsid w:val="00452CDA"/>
    <w:rsid w:val="004535EC"/>
    <w:rsid w:val="0045662D"/>
    <w:rsid w:val="00456CF9"/>
    <w:rsid w:val="00461A94"/>
    <w:rsid w:val="00462B0C"/>
    <w:rsid w:val="00467B8E"/>
    <w:rsid w:val="00467C34"/>
    <w:rsid w:val="00474613"/>
    <w:rsid w:val="00483D8D"/>
    <w:rsid w:val="004847B3"/>
    <w:rsid w:val="00490188"/>
    <w:rsid w:val="00490226"/>
    <w:rsid w:val="00490CC5"/>
    <w:rsid w:val="00494A95"/>
    <w:rsid w:val="0049594B"/>
    <w:rsid w:val="004A32FF"/>
    <w:rsid w:val="004A60FB"/>
    <w:rsid w:val="004B18E9"/>
    <w:rsid w:val="004C56C2"/>
    <w:rsid w:val="004C62A1"/>
    <w:rsid w:val="004C7CE2"/>
    <w:rsid w:val="004E3733"/>
    <w:rsid w:val="004E47B0"/>
    <w:rsid w:val="004E4FE4"/>
    <w:rsid w:val="004E66C2"/>
    <w:rsid w:val="004F3AA3"/>
    <w:rsid w:val="005012EE"/>
    <w:rsid w:val="00501EDC"/>
    <w:rsid w:val="005029C8"/>
    <w:rsid w:val="005368C5"/>
    <w:rsid w:val="005425EA"/>
    <w:rsid w:val="00543974"/>
    <w:rsid w:val="00546952"/>
    <w:rsid w:val="00553337"/>
    <w:rsid w:val="00554330"/>
    <w:rsid w:val="005647E0"/>
    <w:rsid w:val="00572756"/>
    <w:rsid w:val="00572F7E"/>
    <w:rsid w:val="00581E9A"/>
    <w:rsid w:val="005A1E88"/>
    <w:rsid w:val="005A4731"/>
    <w:rsid w:val="005B43C2"/>
    <w:rsid w:val="005B4670"/>
    <w:rsid w:val="005C590B"/>
    <w:rsid w:val="005C68BC"/>
    <w:rsid w:val="005D1E5C"/>
    <w:rsid w:val="005D33F6"/>
    <w:rsid w:val="005D3D1F"/>
    <w:rsid w:val="005D4A28"/>
    <w:rsid w:val="005D67BB"/>
    <w:rsid w:val="005D6C8E"/>
    <w:rsid w:val="005D7629"/>
    <w:rsid w:val="005E2D10"/>
    <w:rsid w:val="005E2D47"/>
    <w:rsid w:val="005E3576"/>
    <w:rsid w:val="005E5045"/>
    <w:rsid w:val="005E74D6"/>
    <w:rsid w:val="005F4497"/>
    <w:rsid w:val="006045EA"/>
    <w:rsid w:val="0061158C"/>
    <w:rsid w:val="0062106A"/>
    <w:rsid w:val="00625EA2"/>
    <w:rsid w:val="00631E4F"/>
    <w:rsid w:val="00634558"/>
    <w:rsid w:val="0063543D"/>
    <w:rsid w:val="006368D9"/>
    <w:rsid w:val="006375EE"/>
    <w:rsid w:val="0063778F"/>
    <w:rsid w:val="00640AEC"/>
    <w:rsid w:val="00640DA0"/>
    <w:rsid w:val="00647A8E"/>
    <w:rsid w:val="006514FE"/>
    <w:rsid w:val="00657372"/>
    <w:rsid w:val="00660F88"/>
    <w:rsid w:val="0066173B"/>
    <w:rsid w:val="00662D1E"/>
    <w:rsid w:val="0066621D"/>
    <w:rsid w:val="00670AB0"/>
    <w:rsid w:val="0068101C"/>
    <w:rsid w:val="00681072"/>
    <w:rsid w:val="006947F7"/>
    <w:rsid w:val="00694E0B"/>
    <w:rsid w:val="006963CC"/>
    <w:rsid w:val="006A0A03"/>
    <w:rsid w:val="006A3D0F"/>
    <w:rsid w:val="006A47BB"/>
    <w:rsid w:val="006A717A"/>
    <w:rsid w:val="006A7E84"/>
    <w:rsid w:val="006A7F2A"/>
    <w:rsid w:val="006B31F9"/>
    <w:rsid w:val="006B3CE7"/>
    <w:rsid w:val="006C061E"/>
    <w:rsid w:val="006C2FD6"/>
    <w:rsid w:val="006C3028"/>
    <w:rsid w:val="006C5D97"/>
    <w:rsid w:val="006D7C03"/>
    <w:rsid w:val="006E18AE"/>
    <w:rsid w:val="006E42E3"/>
    <w:rsid w:val="006E4C1E"/>
    <w:rsid w:val="007054D1"/>
    <w:rsid w:val="007119C3"/>
    <w:rsid w:val="00714353"/>
    <w:rsid w:val="00715D5E"/>
    <w:rsid w:val="00716141"/>
    <w:rsid w:val="00721E40"/>
    <w:rsid w:val="00731EB3"/>
    <w:rsid w:val="00732E46"/>
    <w:rsid w:val="00733A05"/>
    <w:rsid w:val="00735830"/>
    <w:rsid w:val="00737026"/>
    <w:rsid w:val="00751AE6"/>
    <w:rsid w:val="00762CA8"/>
    <w:rsid w:val="00765004"/>
    <w:rsid w:val="00766FEE"/>
    <w:rsid w:val="007716FB"/>
    <w:rsid w:val="00771AA2"/>
    <w:rsid w:val="00790B6C"/>
    <w:rsid w:val="00794931"/>
    <w:rsid w:val="007956A0"/>
    <w:rsid w:val="007A547B"/>
    <w:rsid w:val="007A7CBE"/>
    <w:rsid w:val="007B6716"/>
    <w:rsid w:val="007C024E"/>
    <w:rsid w:val="007C13D5"/>
    <w:rsid w:val="007C3B3A"/>
    <w:rsid w:val="007D0227"/>
    <w:rsid w:val="007D2D9B"/>
    <w:rsid w:val="007D6B31"/>
    <w:rsid w:val="007D7936"/>
    <w:rsid w:val="007D7C92"/>
    <w:rsid w:val="007D7CBA"/>
    <w:rsid w:val="007E0F11"/>
    <w:rsid w:val="007E370B"/>
    <w:rsid w:val="007E6DBB"/>
    <w:rsid w:val="007F020C"/>
    <w:rsid w:val="007F10A4"/>
    <w:rsid w:val="007F4F79"/>
    <w:rsid w:val="007F4FB6"/>
    <w:rsid w:val="007F66D6"/>
    <w:rsid w:val="00800C80"/>
    <w:rsid w:val="00801170"/>
    <w:rsid w:val="00803765"/>
    <w:rsid w:val="008047C0"/>
    <w:rsid w:val="0080720F"/>
    <w:rsid w:val="00810154"/>
    <w:rsid w:val="00810159"/>
    <w:rsid w:val="00814116"/>
    <w:rsid w:val="00820D68"/>
    <w:rsid w:val="0082498C"/>
    <w:rsid w:val="008318B9"/>
    <w:rsid w:val="008336BD"/>
    <w:rsid w:val="00836ED1"/>
    <w:rsid w:val="008404DD"/>
    <w:rsid w:val="00843282"/>
    <w:rsid w:val="00847E0A"/>
    <w:rsid w:val="00850ABA"/>
    <w:rsid w:val="0085622A"/>
    <w:rsid w:val="00863134"/>
    <w:rsid w:val="008663B8"/>
    <w:rsid w:val="008671D5"/>
    <w:rsid w:val="008776F6"/>
    <w:rsid w:val="00883E70"/>
    <w:rsid w:val="00886757"/>
    <w:rsid w:val="0088699B"/>
    <w:rsid w:val="0088781B"/>
    <w:rsid w:val="00892FE7"/>
    <w:rsid w:val="00896462"/>
    <w:rsid w:val="008A02DC"/>
    <w:rsid w:val="008A610F"/>
    <w:rsid w:val="008B44D9"/>
    <w:rsid w:val="008B5337"/>
    <w:rsid w:val="008C0491"/>
    <w:rsid w:val="008C43C0"/>
    <w:rsid w:val="008D3363"/>
    <w:rsid w:val="008D49A2"/>
    <w:rsid w:val="008D4B29"/>
    <w:rsid w:val="008D4CAD"/>
    <w:rsid w:val="008D6AE3"/>
    <w:rsid w:val="008D7C5F"/>
    <w:rsid w:val="008E1EC1"/>
    <w:rsid w:val="008E4F03"/>
    <w:rsid w:val="008F7CFB"/>
    <w:rsid w:val="008F7D6F"/>
    <w:rsid w:val="009039AE"/>
    <w:rsid w:val="00913708"/>
    <w:rsid w:val="00926FCB"/>
    <w:rsid w:val="00930448"/>
    <w:rsid w:val="00930903"/>
    <w:rsid w:val="00932FBA"/>
    <w:rsid w:val="00933207"/>
    <w:rsid w:val="00934D4C"/>
    <w:rsid w:val="00936F35"/>
    <w:rsid w:val="009470A2"/>
    <w:rsid w:val="0095165F"/>
    <w:rsid w:val="009519B2"/>
    <w:rsid w:val="00951C72"/>
    <w:rsid w:val="00952DF5"/>
    <w:rsid w:val="009574B5"/>
    <w:rsid w:val="00960BCE"/>
    <w:rsid w:val="0096199E"/>
    <w:rsid w:val="00964782"/>
    <w:rsid w:val="00965866"/>
    <w:rsid w:val="00971F6F"/>
    <w:rsid w:val="0097321A"/>
    <w:rsid w:val="009737AC"/>
    <w:rsid w:val="009821A0"/>
    <w:rsid w:val="00992D2B"/>
    <w:rsid w:val="00993119"/>
    <w:rsid w:val="009A0AA6"/>
    <w:rsid w:val="009A692C"/>
    <w:rsid w:val="009A755F"/>
    <w:rsid w:val="009B31A5"/>
    <w:rsid w:val="009C3F3A"/>
    <w:rsid w:val="009C60DF"/>
    <w:rsid w:val="009C63B6"/>
    <w:rsid w:val="009D6B46"/>
    <w:rsid w:val="009E5133"/>
    <w:rsid w:val="009E51E7"/>
    <w:rsid w:val="009F0D87"/>
    <w:rsid w:val="009F1F39"/>
    <w:rsid w:val="009F2337"/>
    <w:rsid w:val="009F3011"/>
    <w:rsid w:val="009F3244"/>
    <w:rsid w:val="009F644A"/>
    <w:rsid w:val="00A029E3"/>
    <w:rsid w:val="00A045E4"/>
    <w:rsid w:val="00A1135D"/>
    <w:rsid w:val="00A123AF"/>
    <w:rsid w:val="00A15233"/>
    <w:rsid w:val="00A261D2"/>
    <w:rsid w:val="00A27E16"/>
    <w:rsid w:val="00A300D2"/>
    <w:rsid w:val="00A36E1A"/>
    <w:rsid w:val="00A41540"/>
    <w:rsid w:val="00A43C6B"/>
    <w:rsid w:val="00A45841"/>
    <w:rsid w:val="00A530D2"/>
    <w:rsid w:val="00A56742"/>
    <w:rsid w:val="00A56EE0"/>
    <w:rsid w:val="00A6122B"/>
    <w:rsid w:val="00A708D6"/>
    <w:rsid w:val="00A725CD"/>
    <w:rsid w:val="00A80759"/>
    <w:rsid w:val="00A80BDA"/>
    <w:rsid w:val="00A853F3"/>
    <w:rsid w:val="00A9460E"/>
    <w:rsid w:val="00A949EE"/>
    <w:rsid w:val="00AB4755"/>
    <w:rsid w:val="00AB4964"/>
    <w:rsid w:val="00AB4C22"/>
    <w:rsid w:val="00AB7247"/>
    <w:rsid w:val="00AB7A12"/>
    <w:rsid w:val="00AC0B8D"/>
    <w:rsid w:val="00AC0E99"/>
    <w:rsid w:val="00AC68B8"/>
    <w:rsid w:val="00AD0B37"/>
    <w:rsid w:val="00AD306A"/>
    <w:rsid w:val="00AD50EC"/>
    <w:rsid w:val="00AD69B4"/>
    <w:rsid w:val="00AD7CC7"/>
    <w:rsid w:val="00AE0B64"/>
    <w:rsid w:val="00AE2D33"/>
    <w:rsid w:val="00AE4A31"/>
    <w:rsid w:val="00AF0ECF"/>
    <w:rsid w:val="00AF510D"/>
    <w:rsid w:val="00AF6D88"/>
    <w:rsid w:val="00B01D88"/>
    <w:rsid w:val="00B034B2"/>
    <w:rsid w:val="00B07BB7"/>
    <w:rsid w:val="00B12F42"/>
    <w:rsid w:val="00B13BB4"/>
    <w:rsid w:val="00B20216"/>
    <w:rsid w:val="00B40ED8"/>
    <w:rsid w:val="00B4100B"/>
    <w:rsid w:val="00B45146"/>
    <w:rsid w:val="00B57394"/>
    <w:rsid w:val="00B765F0"/>
    <w:rsid w:val="00B82985"/>
    <w:rsid w:val="00B9486E"/>
    <w:rsid w:val="00BA3C0F"/>
    <w:rsid w:val="00BB15EA"/>
    <w:rsid w:val="00BB3512"/>
    <w:rsid w:val="00BC04DC"/>
    <w:rsid w:val="00BC132A"/>
    <w:rsid w:val="00BC23F6"/>
    <w:rsid w:val="00BC3A4D"/>
    <w:rsid w:val="00BC3BA3"/>
    <w:rsid w:val="00BC4CFA"/>
    <w:rsid w:val="00BC5FD9"/>
    <w:rsid w:val="00BC7CDC"/>
    <w:rsid w:val="00BD19CF"/>
    <w:rsid w:val="00BE1235"/>
    <w:rsid w:val="00BE6AA3"/>
    <w:rsid w:val="00BF13F8"/>
    <w:rsid w:val="00BF7957"/>
    <w:rsid w:val="00C0518F"/>
    <w:rsid w:val="00C0776E"/>
    <w:rsid w:val="00C10833"/>
    <w:rsid w:val="00C21F8E"/>
    <w:rsid w:val="00C302ED"/>
    <w:rsid w:val="00C30DC9"/>
    <w:rsid w:val="00C32099"/>
    <w:rsid w:val="00C322A9"/>
    <w:rsid w:val="00C45A46"/>
    <w:rsid w:val="00C45E3C"/>
    <w:rsid w:val="00C53A5A"/>
    <w:rsid w:val="00C636AB"/>
    <w:rsid w:val="00C80669"/>
    <w:rsid w:val="00C81F0C"/>
    <w:rsid w:val="00C90335"/>
    <w:rsid w:val="00CA0A8C"/>
    <w:rsid w:val="00CA0F4A"/>
    <w:rsid w:val="00CA0FAB"/>
    <w:rsid w:val="00CA33CC"/>
    <w:rsid w:val="00CB240A"/>
    <w:rsid w:val="00CB55B1"/>
    <w:rsid w:val="00CB6F31"/>
    <w:rsid w:val="00CD01C8"/>
    <w:rsid w:val="00CD5EA5"/>
    <w:rsid w:val="00CE0746"/>
    <w:rsid w:val="00CE23C2"/>
    <w:rsid w:val="00CE4233"/>
    <w:rsid w:val="00CF6E6F"/>
    <w:rsid w:val="00D06DED"/>
    <w:rsid w:val="00D105CA"/>
    <w:rsid w:val="00D10F8D"/>
    <w:rsid w:val="00D1196B"/>
    <w:rsid w:val="00D11DC8"/>
    <w:rsid w:val="00D1354D"/>
    <w:rsid w:val="00D1698D"/>
    <w:rsid w:val="00D22498"/>
    <w:rsid w:val="00D252C7"/>
    <w:rsid w:val="00D26420"/>
    <w:rsid w:val="00D26B18"/>
    <w:rsid w:val="00D27047"/>
    <w:rsid w:val="00D27BAA"/>
    <w:rsid w:val="00D3585D"/>
    <w:rsid w:val="00D37048"/>
    <w:rsid w:val="00D41FAA"/>
    <w:rsid w:val="00D529E6"/>
    <w:rsid w:val="00D56BE4"/>
    <w:rsid w:val="00D6028C"/>
    <w:rsid w:val="00D60BAB"/>
    <w:rsid w:val="00D649EC"/>
    <w:rsid w:val="00D6612E"/>
    <w:rsid w:val="00D67F70"/>
    <w:rsid w:val="00D71394"/>
    <w:rsid w:val="00D71487"/>
    <w:rsid w:val="00D71C3D"/>
    <w:rsid w:val="00D74A81"/>
    <w:rsid w:val="00D76106"/>
    <w:rsid w:val="00D76673"/>
    <w:rsid w:val="00D81335"/>
    <w:rsid w:val="00D835C4"/>
    <w:rsid w:val="00D85147"/>
    <w:rsid w:val="00D90C82"/>
    <w:rsid w:val="00D91194"/>
    <w:rsid w:val="00D938DE"/>
    <w:rsid w:val="00D96CD3"/>
    <w:rsid w:val="00D970BF"/>
    <w:rsid w:val="00D971ED"/>
    <w:rsid w:val="00D97EC0"/>
    <w:rsid w:val="00DA11E8"/>
    <w:rsid w:val="00DA1706"/>
    <w:rsid w:val="00DA3E5A"/>
    <w:rsid w:val="00DA5088"/>
    <w:rsid w:val="00DA5C71"/>
    <w:rsid w:val="00DA777E"/>
    <w:rsid w:val="00DB2464"/>
    <w:rsid w:val="00DB3364"/>
    <w:rsid w:val="00DC12FB"/>
    <w:rsid w:val="00DC3D02"/>
    <w:rsid w:val="00DC3FBE"/>
    <w:rsid w:val="00DC6697"/>
    <w:rsid w:val="00DC758F"/>
    <w:rsid w:val="00DC7BD5"/>
    <w:rsid w:val="00DC7C56"/>
    <w:rsid w:val="00DD1914"/>
    <w:rsid w:val="00DE7F3E"/>
    <w:rsid w:val="00DF36E0"/>
    <w:rsid w:val="00DF6629"/>
    <w:rsid w:val="00E077C5"/>
    <w:rsid w:val="00E145AF"/>
    <w:rsid w:val="00E1667A"/>
    <w:rsid w:val="00E17D24"/>
    <w:rsid w:val="00E40D9C"/>
    <w:rsid w:val="00E41A3A"/>
    <w:rsid w:val="00E45781"/>
    <w:rsid w:val="00E54FC4"/>
    <w:rsid w:val="00E5519F"/>
    <w:rsid w:val="00E557DE"/>
    <w:rsid w:val="00E5718C"/>
    <w:rsid w:val="00E57D3D"/>
    <w:rsid w:val="00E625A7"/>
    <w:rsid w:val="00E653B5"/>
    <w:rsid w:val="00E723F4"/>
    <w:rsid w:val="00E72FD9"/>
    <w:rsid w:val="00E73941"/>
    <w:rsid w:val="00E767AD"/>
    <w:rsid w:val="00E800BA"/>
    <w:rsid w:val="00E8212E"/>
    <w:rsid w:val="00E85480"/>
    <w:rsid w:val="00E908DC"/>
    <w:rsid w:val="00E911EC"/>
    <w:rsid w:val="00E96632"/>
    <w:rsid w:val="00EB1A48"/>
    <w:rsid w:val="00EB37BB"/>
    <w:rsid w:val="00EC07D3"/>
    <w:rsid w:val="00EC31CC"/>
    <w:rsid w:val="00EC37D5"/>
    <w:rsid w:val="00EC7B86"/>
    <w:rsid w:val="00ED37AC"/>
    <w:rsid w:val="00ED70F6"/>
    <w:rsid w:val="00EE0AC1"/>
    <w:rsid w:val="00EE2C19"/>
    <w:rsid w:val="00EF33C0"/>
    <w:rsid w:val="00EF53A0"/>
    <w:rsid w:val="00EF6430"/>
    <w:rsid w:val="00EF6F40"/>
    <w:rsid w:val="00F02057"/>
    <w:rsid w:val="00F06769"/>
    <w:rsid w:val="00F263E3"/>
    <w:rsid w:val="00F2769C"/>
    <w:rsid w:val="00F35D23"/>
    <w:rsid w:val="00F36E47"/>
    <w:rsid w:val="00F37F2E"/>
    <w:rsid w:val="00F41F66"/>
    <w:rsid w:val="00F4204B"/>
    <w:rsid w:val="00F4467C"/>
    <w:rsid w:val="00F45CE7"/>
    <w:rsid w:val="00F47F24"/>
    <w:rsid w:val="00F54DBD"/>
    <w:rsid w:val="00F6022F"/>
    <w:rsid w:val="00F643F4"/>
    <w:rsid w:val="00F6700F"/>
    <w:rsid w:val="00F67EDB"/>
    <w:rsid w:val="00F70689"/>
    <w:rsid w:val="00F71130"/>
    <w:rsid w:val="00F735A3"/>
    <w:rsid w:val="00F92850"/>
    <w:rsid w:val="00F95EC8"/>
    <w:rsid w:val="00F96F18"/>
    <w:rsid w:val="00F973D1"/>
    <w:rsid w:val="00FA1C5A"/>
    <w:rsid w:val="00FA2648"/>
    <w:rsid w:val="00FC0D92"/>
    <w:rsid w:val="00FC30A5"/>
    <w:rsid w:val="00FD26E2"/>
    <w:rsid w:val="00FD4134"/>
    <w:rsid w:val="00FE3A02"/>
    <w:rsid w:val="00FE4CD8"/>
    <w:rsid w:val="00FF18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2DE1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autoRedefine/>
    <w:uiPriority w:val="9"/>
    <w:qFormat/>
    <w:rsid w:val="004E3733"/>
    <w:pPr>
      <w:keepNext/>
      <w:spacing w:before="240" w:after="80"/>
      <w:jc w:val="center"/>
      <w:outlineLvl w:val="0"/>
    </w:pPr>
    <w:rPr>
      <w:rFonts w:ascii="Arial" w:hAnsi="Arial"/>
      <w:smallCaps/>
      <w:color w:val="000000"/>
      <w:kern w:val="28"/>
    </w:rPr>
  </w:style>
  <w:style w:type="paragraph" w:styleId="2">
    <w:name w:val="heading 2"/>
    <w:basedOn w:val="a"/>
    <w:next w:val="a"/>
    <w:link w:val="20"/>
    <w:uiPriority w:val="9"/>
    <w:unhideWhenUsed/>
    <w:qFormat/>
    <w:rsid w:val="005647E0"/>
    <w:pPr>
      <w:keepNext/>
      <w:numPr>
        <w:ilvl w:val="1"/>
        <w:numId w:val="1"/>
      </w:numPr>
      <w:spacing w:before="120" w:after="60"/>
      <w:outlineLvl w:val="1"/>
    </w:pPr>
    <w:rPr>
      <w:rFonts w:ascii="Arial" w:hAnsi="Arial"/>
      <w:i/>
      <w:iCs/>
      <w:color w:val="000000"/>
    </w:rPr>
  </w:style>
  <w:style w:type="paragraph" w:styleId="3">
    <w:name w:val="heading 3"/>
    <w:basedOn w:val="a"/>
    <w:next w:val="a"/>
    <w:uiPriority w:val="9"/>
    <w:unhideWhenUsed/>
    <w:qFormat/>
    <w:pPr>
      <w:keepNext/>
      <w:numPr>
        <w:ilvl w:val="2"/>
        <w:numId w:val="1"/>
      </w:numPr>
      <w:outlineLvl w:val="2"/>
    </w:pPr>
    <w:rPr>
      <w:i/>
      <w:iCs/>
    </w:rPr>
  </w:style>
  <w:style w:type="paragraph" w:styleId="4">
    <w:name w:val="heading 4"/>
    <w:basedOn w:val="a"/>
    <w:next w:val="a"/>
    <w:uiPriority w:val="9"/>
    <w:unhideWhenUsed/>
    <w:qFormat/>
    <w:pPr>
      <w:keepNext/>
      <w:numPr>
        <w:ilvl w:val="3"/>
        <w:numId w:val="1"/>
      </w:numPr>
      <w:spacing w:before="240" w:after="60"/>
      <w:outlineLvl w:val="3"/>
    </w:pPr>
    <w:rPr>
      <w:i/>
      <w:iCs/>
      <w:sz w:val="18"/>
      <w:szCs w:val="18"/>
    </w:rPr>
  </w:style>
  <w:style w:type="paragraph" w:styleId="5">
    <w:name w:val="heading 5"/>
    <w:basedOn w:val="a"/>
    <w:next w:val="a"/>
    <w:uiPriority w:val="9"/>
    <w:semiHidden/>
    <w:unhideWhenUsed/>
    <w:qFormat/>
    <w:pPr>
      <w:numPr>
        <w:ilvl w:val="4"/>
        <w:numId w:val="1"/>
      </w:numPr>
      <w:spacing w:before="240" w:after="60"/>
      <w:outlineLvl w:val="4"/>
    </w:pPr>
    <w:rPr>
      <w:sz w:val="18"/>
      <w:szCs w:val="18"/>
    </w:rPr>
  </w:style>
  <w:style w:type="paragraph" w:styleId="6">
    <w:name w:val="heading 6"/>
    <w:basedOn w:val="a"/>
    <w:next w:val="a"/>
    <w:uiPriority w:val="9"/>
    <w:semiHidden/>
    <w:unhideWhenUsed/>
    <w:qFormat/>
    <w:pPr>
      <w:numPr>
        <w:ilvl w:val="5"/>
        <w:numId w:val="1"/>
      </w:numPr>
      <w:spacing w:before="240" w:after="60"/>
      <w:outlineLvl w:val="5"/>
    </w:pPr>
    <w:rPr>
      <w:i/>
      <w:iCs/>
      <w:sz w:val="16"/>
      <w:szCs w:val="16"/>
    </w:rPr>
  </w:style>
  <w:style w:type="paragraph" w:styleId="7">
    <w:name w:val="heading 7"/>
    <w:basedOn w:val="a"/>
    <w:next w:val="a"/>
    <w:uiPriority w:val="9"/>
    <w:qFormat/>
    <w:pPr>
      <w:numPr>
        <w:ilvl w:val="6"/>
        <w:numId w:val="1"/>
      </w:numPr>
      <w:spacing w:before="240" w:after="60"/>
      <w:outlineLvl w:val="6"/>
    </w:pPr>
    <w:rPr>
      <w:sz w:val="16"/>
      <w:szCs w:val="16"/>
    </w:rPr>
  </w:style>
  <w:style w:type="paragraph" w:styleId="8">
    <w:name w:val="heading 8"/>
    <w:basedOn w:val="a"/>
    <w:next w:val="a"/>
    <w:uiPriority w:val="9"/>
    <w:qFormat/>
    <w:pPr>
      <w:numPr>
        <w:ilvl w:val="7"/>
        <w:numId w:val="1"/>
      </w:numPr>
      <w:spacing w:before="240" w:after="60"/>
      <w:outlineLvl w:val="7"/>
    </w:pPr>
    <w:rPr>
      <w:i/>
      <w:iCs/>
      <w:sz w:val="16"/>
      <w:szCs w:val="16"/>
    </w:rPr>
  </w:style>
  <w:style w:type="paragraph" w:styleId="9">
    <w:name w:val="heading 9"/>
    <w:basedOn w:val="a"/>
    <w:next w:val="a"/>
    <w:uiPriority w:val="9"/>
    <w:qFormat/>
    <w:pPr>
      <w:numPr>
        <w:ilvl w:val="8"/>
        <w:numId w:val="1"/>
      </w:numPr>
      <w:spacing w:before="240" w:after="60"/>
      <w:outlineLvl w:val="8"/>
    </w:pPr>
    <w:rPr>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sid w:val="00130A2A"/>
    <w:pPr>
      <w:jc w:val="center"/>
    </w:pPr>
    <w:rPr>
      <w:rFonts w:ascii="Arial" w:hAnsi="Arial"/>
      <w:color w:val="000000"/>
      <w:kern w:val="28"/>
      <w:sz w:val="48"/>
      <w:szCs w:val="48"/>
    </w:rPr>
  </w:style>
  <w:style w:type="paragraph" w:customStyle="1" w:styleId="Abstract">
    <w:name w:val="Abstract"/>
    <w:basedOn w:val="a"/>
    <w:next w:val="a"/>
    <w:pPr>
      <w:spacing w:before="20"/>
      <w:ind w:firstLine="202"/>
      <w:jc w:val="both"/>
    </w:pPr>
    <w:rPr>
      <w:b/>
      <w:bCs/>
      <w:sz w:val="18"/>
      <w:szCs w:val="18"/>
    </w:rPr>
  </w:style>
  <w:style w:type="paragraph" w:customStyle="1" w:styleId="Authors">
    <w:name w:val="Authors"/>
    <w:basedOn w:val="a"/>
    <w:next w:val="a"/>
    <w:pPr>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a4">
    <w:name w:val="footnote text"/>
    <w:basedOn w:val="a"/>
    <w:link w:val="a5"/>
    <w:semiHidden/>
    <w:pPr>
      <w:ind w:firstLine="202"/>
      <w:jc w:val="both"/>
    </w:pPr>
    <w:rPr>
      <w:sz w:val="16"/>
      <w:szCs w:val="16"/>
    </w:rPr>
  </w:style>
  <w:style w:type="paragraph" w:customStyle="1" w:styleId="References">
    <w:name w:val="References"/>
    <w:basedOn w:val="a"/>
    <w:pPr>
      <w:numPr>
        <w:numId w:val="6"/>
      </w:numPr>
      <w:jc w:val="both"/>
    </w:pPr>
    <w:rPr>
      <w:sz w:val="16"/>
      <w:szCs w:val="16"/>
    </w:rPr>
  </w:style>
  <w:style w:type="paragraph" w:customStyle="1" w:styleId="IndexTerms">
    <w:name w:val="IndexTerms"/>
    <w:basedOn w:val="a"/>
    <w:next w:val="a"/>
    <w:pPr>
      <w:ind w:firstLine="202"/>
      <w:jc w:val="both"/>
    </w:pPr>
    <w:rPr>
      <w:b/>
      <w:bCs/>
      <w:sz w:val="18"/>
      <w:szCs w:val="18"/>
    </w:rPr>
  </w:style>
  <w:style w:type="character" w:styleId="a6">
    <w:name w:val="footnote reference"/>
    <w:semiHidden/>
    <w:rPr>
      <w:vertAlign w:val="superscript"/>
    </w:rPr>
  </w:style>
  <w:style w:type="paragraph" w:styleId="a7">
    <w:name w:val="footer"/>
    <w:basedOn w:val="a"/>
    <w:link w:val="a8"/>
    <w:uiPriority w:val="99"/>
    <w:pPr>
      <w:tabs>
        <w:tab w:val="center" w:pos="4320"/>
        <w:tab w:val="right" w:pos="8640"/>
      </w:tabs>
    </w:pPr>
  </w:style>
  <w:style w:type="paragraph" w:customStyle="1" w:styleId="Text">
    <w:name w:val="Text"/>
    <w:basedOn w:val="a"/>
    <w:link w:val="TextChar"/>
    <w:pPr>
      <w:widowControl w:val="0"/>
      <w:spacing w:line="252" w:lineRule="auto"/>
      <w:ind w:firstLine="202"/>
      <w:jc w:val="both"/>
    </w:pPr>
  </w:style>
  <w:style w:type="paragraph" w:customStyle="1" w:styleId="FigureCaption">
    <w:name w:val="Figure Caption"/>
    <w:basedOn w:val="a"/>
    <w:pPr>
      <w:jc w:val="both"/>
    </w:pPr>
    <w:rPr>
      <w:sz w:val="16"/>
      <w:szCs w:val="16"/>
    </w:rPr>
  </w:style>
  <w:style w:type="paragraph" w:customStyle="1" w:styleId="TableTitle">
    <w:name w:val="Table Title"/>
    <w:basedOn w:val="a"/>
    <w:pPr>
      <w:jc w:val="center"/>
    </w:pPr>
    <w:rPr>
      <w:smallCaps/>
      <w:sz w:val="16"/>
      <w:szCs w:val="16"/>
    </w:rPr>
  </w:style>
  <w:style w:type="paragraph" w:customStyle="1" w:styleId="ReferenceHead">
    <w:name w:val="Reference Head"/>
    <w:basedOn w:val="1"/>
    <w:link w:val="ReferenceHeadChar"/>
  </w:style>
  <w:style w:type="paragraph" w:styleId="a9">
    <w:name w:val="header"/>
    <w:basedOn w:val="a"/>
    <w:pPr>
      <w:tabs>
        <w:tab w:val="center" w:pos="4320"/>
        <w:tab w:val="right" w:pos="8640"/>
      </w:tabs>
    </w:pPr>
  </w:style>
  <w:style w:type="paragraph" w:customStyle="1" w:styleId="Equation">
    <w:name w:val="Equation"/>
    <w:basedOn w:val="a"/>
    <w:next w:val="a"/>
    <w:pPr>
      <w:widowControl w:val="0"/>
      <w:tabs>
        <w:tab w:val="right" w:pos="5040"/>
      </w:tabs>
      <w:spacing w:line="252" w:lineRule="auto"/>
      <w:jc w:val="both"/>
    </w:pPr>
  </w:style>
  <w:style w:type="character" w:styleId="aa">
    <w:name w:val="Hyperlink"/>
    <w:rPr>
      <w:color w:val="000000"/>
      <w:u w:val="single"/>
    </w:rPr>
  </w:style>
  <w:style w:type="character" w:styleId="ab">
    <w:name w:val="FollowedHyperlink"/>
    <w:rPr>
      <w:color w:val="000000"/>
      <w:u w:val="single"/>
    </w:rPr>
  </w:style>
  <w:style w:type="paragraph" w:styleId="ac">
    <w:name w:val="Body Text Indent"/>
    <w:basedOn w:val="a"/>
    <w:link w:val="ad"/>
    <w:pPr>
      <w:ind w:left="630" w:hanging="630"/>
    </w:pPr>
    <w:rPr>
      <w:szCs w:val="24"/>
    </w:rPr>
  </w:style>
  <w:style w:type="paragraph" w:styleId="ae">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0000"/>
      <w:sz w:val="20"/>
      <w:szCs w:val="20"/>
    </w:rPr>
  </w:style>
  <w:style w:type="paragraph" w:styleId="af">
    <w:name w:val="Balloon Text"/>
    <w:basedOn w:val="a"/>
    <w:link w:val="af0"/>
    <w:rsid w:val="00F33D49"/>
    <w:rPr>
      <w:rFonts w:ascii="Tahoma" w:hAnsi="Tahoma" w:cs="Tahoma"/>
      <w:sz w:val="16"/>
      <w:szCs w:val="16"/>
    </w:rPr>
  </w:style>
  <w:style w:type="character" w:customStyle="1" w:styleId="af0">
    <w:name w:val="批注框文本 字符"/>
    <w:link w:val="af"/>
    <w:rsid w:val="00F33D49"/>
    <w:rPr>
      <w:rFonts w:ascii="Tahoma" w:hAnsi="Tahoma" w:cs="Tahoma"/>
      <w:sz w:val="16"/>
      <w:szCs w:val="16"/>
    </w:rPr>
  </w:style>
  <w:style w:type="character" w:customStyle="1" w:styleId="MediumGrid11">
    <w:name w:val="Medium Grid 11"/>
    <w:uiPriority w:val="99"/>
    <w:semiHidden/>
    <w:rsid w:val="009A1F6E"/>
    <w:rPr>
      <w:color w:val="000000"/>
    </w:rPr>
  </w:style>
  <w:style w:type="paragraph" w:customStyle="1" w:styleId="ParagraphStyle1">
    <w:name w:val="Paragraph Style 1"/>
    <w:basedOn w:val="a"/>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10">
    <w:name w:val="标题 1 字符"/>
    <w:link w:val="1"/>
    <w:uiPriority w:val="9"/>
    <w:rsid w:val="004E3733"/>
    <w:rPr>
      <w:rFonts w:ascii="Arial" w:hAnsi="Arial"/>
      <w:smallCaps/>
      <w:color w:val="000000"/>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20">
    <w:name w:val="标题 2 字符"/>
    <w:link w:val="2"/>
    <w:uiPriority w:val="9"/>
    <w:rsid w:val="005647E0"/>
    <w:rPr>
      <w:rFonts w:ascii="Arial" w:hAnsi="Arial"/>
      <w:i/>
      <w:iCs/>
      <w:color w:val="000000"/>
    </w:rPr>
  </w:style>
  <w:style w:type="paragraph" w:customStyle="1" w:styleId="TextL-MAG">
    <w:name w:val="Text L-MAG"/>
    <w:basedOn w:val="a"/>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a8">
    <w:name w:val="页脚 字符"/>
    <w:basedOn w:val="a0"/>
    <w:link w:val="a7"/>
    <w:uiPriority w:val="99"/>
    <w:rsid w:val="00D90C10"/>
  </w:style>
  <w:style w:type="character" w:customStyle="1" w:styleId="a5">
    <w:name w:val="脚注文本 字符"/>
    <w:link w:val="a4"/>
    <w:semiHidden/>
    <w:rsid w:val="00C075EF"/>
    <w:rPr>
      <w:sz w:val="16"/>
      <w:szCs w:val="16"/>
    </w:rPr>
  </w:style>
  <w:style w:type="character" w:customStyle="1" w:styleId="ad">
    <w:name w:val="正文文本缩进 字符"/>
    <w:link w:val="ac"/>
    <w:rsid w:val="003F26BD"/>
    <w:rPr>
      <w:szCs w:val="24"/>
    </w:rPr>
  </w:style>
  <w:style w:type="character" w:customStyle="1" w:styleId="m5113501246024331607m-6864882937387638336gmail-il">
    <w:name w:val="m_5113501246024331607m_-6864882937387638336gmail-il"/>
    <w:basedOn w:val="a0"/>
    <w:rsid w:val="0076355A"/>
  </w:style>
  <w:style w:type="paragraph" w:customStyle="1" w:styleId="ColorfulList-Accent11">
    <w:name w:val="Colorful List - Accent 11"/>
    <w:basedOn w:val="a"/>
    <w:uiPriority w:val="34"/>
    <w:qFormat/>
    <w:rsid w:val="0076355A"/>
    <w:pPr>
      <w:ind w:left="720"/>
      <w:contextualSpacing/>
    </w:pPr>
  </w:style>
  <w:style w:type="character" w:customStyle="1" w:styleId="apple-converted-space">
    <w:name w:val="apple-converted-space"/>
    <w:basedOn w:val="a0"/>
    <w:rsid w:val="00F932B6"/>
  </w:style>
  <w:style w:type="paragraph" w:styleId="af1">
    <w:name w:val="Subtitle"/>
    <w:basedOn w:val="a"/>
    <w:next w:val="a"/>
    <w:uiPriority w:val="11"/>
    <w:qFormat/>
    <w:pPr>
      <w:keepNext/>
      <w:keepLines/>
      <w:spacing w:before="360" w:after="80"/>
    </w:pPr>
    <w:rPr>
      <w:rFonts w:ascii="Georgia" w:eastAsia="Georgia" w:hAnsi="Georgia" w:cs="Georgia"/>
      <w:i/>
      <w:color w:val="000000"/>
      <w:sz w:val="48"/>
      <w:szCs w:val="48"/>
    </w:rPr>
  </w:style>
  <w:style w:type="character" w:customStyle="1" w:styleId="UnresolvedMention1">
    <w:name w:val="Unresolved Mention1"/>
    <w:basedOn w:val="a0"/>
    <w:uiPriority w:val="99"/>
    <w:semiHidden/>
    <w:unhideWhenUsed/>
    <w:rsid w:val="00A853F3"/>
    <w:rPr>
      <w:color w:val="000000"/>
      <w:shd w:val="clear" w:color="auto" w:fill="E1DFDD"/>
    </w:rPr>
  </w:style>
  <w:style w:type="character" w:styleId="af2">
    <w:name w:val="annotation reference"/>
    <w:basedOn w:val="a0"/>
    <w:uiPriority w:val="99"/>
    <w:semiHidden/>
    <w:unhideWhenUsed/>
    <w:rsid w:val="001E7EDB"/>
    <w:rPr>
      <w:sz w:val="16"/>
      <w:szCs w:val="16"/>
    </w:rPr>
  </w:style>
  <w:style w:type="paragraph" w:styleId="af3">
    <w:name w:val="annotation text"/>
    <w:basedOn w:val="a"/>
    <w:link w:val="af4"/>
    <w:uiPriority w:val="99"/>
    <w:semiHidden/>
    <w:unhideWhenUsed/>
    <w:rsid w:val="001E7EDB"/>
  </w:style>
  <w:style w:type="character" w:customStyle="1" w:styleId="af4">
    <w:name w:val="批注文字 字符"/>
    <w:basedOn w:val="a0"/>
    <w:link w:val="af3"/>
    <w:uiPriority w:val="99"/>
    <w:semiHidden/>
    <w:rsid w:val="001E7EDB"/>
  </w:style>
  <w:style w:type="paragraph" w:styleId="af5">
    <w:name w:val="annotation subject"/>
    <w:basedOn w:val="af3"/>
    <w:next w:val="af3"/>
    <w:link w:val="af6"/>
    <w:uiPriority w:val="99"/>
    <w:semiHidden/>
    <w:unhideWhenUsed/>
    <w:rsid w:val="001E7EDB"/>
    <w:rPr>
      <w:b/>
      <w:bCs/>
    </w:rPr>
  </w:style>
  <w:style w:type="character" w:customStyle="1" w:styleId="af6">
    <w:name w:val="批注主题 字符"/>
    <w:basedOn w:val="af4"/>
    <w:link w:val="af5"/>
    <w:uiPriority w:val="99"/>
    <w:semiHidden/>
    <w:rsid w:val="001E7EDB"/>
    <w:rPr>
      <w:b/>
      <w:bCs/>
    </w:rPr>
  </w:style>
  <w:style w:type="paragraph" w:styleId="af7">
    <w:name w:val="List Paragraph"/>
    <w:basedOn w:val="a"/>
    <w:uiPriority w:val="34"/>
    <w:qFormat/>
    <w:rsid w:val="00DB3364"/>
    <w:pPr>
      <w:ind w:left="720"/>
      <w:contextualSpacing/>
    </w:pPr>
  </w:style>
  <w:style w:type="character" w:styleId="af8">
    <w:name w:val="Emphasis"/>
    <w:basedOn w:val="a0"/>
    <w:uiPriority w:val="20"/>
    <w:qFormat/>
    <w:rsid w:val="00BF7957"/>
    <w:rPr>
      <w:i/>
      <w:iCs/>
    </w:rPr>
  </w:style>
  <w:style w:type="character" w:customStyle="1" w:styleId="11">
    <w:name w:val="未处理的提及1"/>
    <w:basedOn w:val="a0"/>
    <w:uiPriority w:val="99"/>
    <w:semiHidden/>
    <w:unhideWhenUsed/>
    <w:rsid w:val="006A7F2A"/>
    <w:rPr>
      <w:color w:val="000000"/>
      <w:shd w:val="clear" w:color="auto" w:fill="E1DFDD"/>
    </w:rPr>
  </w:style>
  <w:style w:type="character" w:customStyle="1" w:styleId="TextChar">
    <w:name w:val="Text Char"/>
    <w:link w:val="Text"/>
    <w:rsid w:val="007F4F79"/>
  </w:style>
  <w:style w:type="paragraph" w:customStyle="1" w:styleId="PARAIndent">
    <w:name w:val="PARA_Indent"/>
    <w:basedOn w:val="Text"/>
    <w:link w:val="PARAIndentChar"/>
    <w:rsid w:val="007F4F79"/>
    <w:pPr>
      <w:spacing w:line="240" w:lineRule="auto"/>
    </w:pPr>
  </w:style>
  <w:style w:type="character" w:customStyle="1" w:styleId="PARAIndentChar">
    <w:name w:val="PARA_Indent Char"/>
    <w:link w:val="PARAIndent"/>
    <w:rsid w:val="007F4F79"/>
  </w:style>
  <w:style w:type="paragraph" w:customStyle="1" w:styleId="PARA">
    <w:name w:val="PARA"/>
    <w:basedOn w:val="a"/>
    <w:link w:val="PARAChar"/>
    <w:rsid w:val="000E344A"/>
    <w:pPr>
      <w:suppressAutoHyphens/>
      <w:autoSpaceDE w:val="0"/>
      <w:autoSpaceDN w:val="0"/>
      <w:adjustRightInd w:val="0"/>
      <w:spacing w:line="240" w:lineRule="exact"/>
      <w:jc w:val="both"/>
    </w:pPr>
    <w:rPr>
      <w:rFonts w:cs="TimesLTStd-Roman"/>
      <w:spacing w:val="-2"/>
    </w:rPr>
  </w:style>
  <w:style w:type="paragraph" w:customStyle="1" w:styleId="H1">
    <w:name w:val="H1"/>
    <w:basedOn w:val="a"/>
    <w:rsid w:val="000E344A"/>
    <w:pPr>
      <w:autoSpaceDE w:val="0"/>
      <w:autoSpaceDN w:val="0"/>
      <w:adjustRightInd w:val="0"/>
      <w:spacing w:before="240"/>
    </w:pPr>
    <w:rPr>
      <w:rFonts w:ascii="Helvetica" w:hAnsi="Helvetica" w:cs="FormataOTF-Bold"/>
      <w:b/>
      <w:bCs/>
      <w:color w:val="000000"/>
      <w:sz w:val="18"/>
      <w:szCs w:val="18"/>
    </w:rPr>
  </w:style>
  <w:style w:type="paragraph" w:customStyle="1" w:styleId="H2">
    <w:name w:val="H2"/>
    <w:basedOn w:val="a"/>
    <w:rsid w:val="000E344A"/>
    <w:pPr>
      <w:autoSpaceDE w:val="0"/>
      <w:autoSpaceDN w:val="0"/>
      <w:adjustRightInd w:val="0"/>
      <w:spacing w:before="260"/>
    </w:pPr>
    <w:rPr>
      <w:rFonts w:ascii="Helvetica" w:hAnsi="Helvetica" w:cs="FormataOTFMdIt"/>
      <w:b/>
      <w:i/>
      <w:color w:val="000000"/>
      <w:sz w:val="18"/>
      <w:szCs w:val="18"/>
    </w:rPr>
  </w:style>
  <w:style w:type="paragraph" w:customStyle="1" w:styleId="H2NoSpace">
    <w:name w:val="H2_No Space"/>
    <w:basedOn w:val="H2"/>
    <w:rsid w:val="000E344A"/>
    <w:pPr>
      <w:spacing w:before="120"/>
    </w:pPr>
  </w:style>
  <w:style w:type="character" w:customStyle="1" w:styleId="PARAChar">
    <w:name w:val="PARA Char"/>
    <w:link w:val="PARA"/>
    <w:rsid w:val="000E344A"/>
    <w:rPr>
      <w:rFonts w:cs="TimesLTStd-Roman"/>
      <w:spacing w:val="-2"/>
    </w:rPr>
  </w:style>
  <w:style w:type="paragraph" w:customStyle="1" w:styleId="SourceCode">
    <w:name w:val="Source Code"/>
    <w:basedOn w:val="a"/>
    <w:pPr>
      <w:wordWrap w:val="0"/>
    </w:pPr>
  </w:style>
  <w:style w:type="character" w:customStyle="1" w:styleId="KeywordTok">
    <w:name w:val="KeywordTok"/>
    <w:rPr>
      <w:b/>
      <w:color w:val="000000"/>
    </w:rPr>
  </w:style>
  <w:style w:type="character" w:customStyle="1" w:styleId="DataTypeTok">
    <w:name w:val="DataTypeTok"/>
    <w:rPr>
      <w:color w:val="000000"/>
    </w:rPr>
  </w:style>
  <w:style w:type="character" w:customStyle="1" w:styleId="DecValTok">
    <w:name w:val="DecValTok"/>
    <w:rPr>
      <w:color w:val="000000"/>
    </w:rPr>
  </w:style>
  <w:style w:type="character" w:customStyle="1" w:styleId="BaseNTok">
    <w:name w:val="BaseNTok"/>
    <w:rPr>
      <w:color w:val="000000"/>
    </w:rPr>
  </w:style>
  <w:style w:type="character" w:customStyle="1" w:styleId="FloatTok">
    <w:name w:val="FloatTok"/>
    <w:rPr>
      <w:color w:val="000000"/>
    </w:rPr>
  </w:style>
  <w:style w:type="character" w:customStyle="1" w:styleId="ConstantTok">
    <w:name w:val="ConstantTok"/>
    <w:rPr>
      <w:color w:val="000000"/>
    </w:rPr>
  </w:style>
  <w:style w:type="character" w:customStyle="1" w:styleId="CharTok">
    <w:name w:val="CharTok"/>
    <w:rPr>
      <w:color w:val="000000"/>
    </w:rPr>
  </w:style>
  <w:style w:type="character" w:customStyle="1" w:styleId="SpecialCharTok">
    <w:name w:val="SpecialCharTok"/>
    <w:rPr>
      <w:color w:val="000000"/>
    </w:rPr>
  </w:style>
  <w:style w:type="character" w:customStyle="1" w:styleId="StringTok">
    <w:name w:val="StringTok"/>
    <w:rPr>
      <w:color w:val="000000"/>
    </w:rPr>
  </w:style>
  <w:style w:type="character" w:customStyle="1" w:styleId="VerbatimStringTok">
    <w:name w:val="VerbatimStringTok"/>
    <w:rPr>
      <w:color w:val="000000"/>
    </w:rPr>
  </w:style>
  <w:style w:type="character" w:customStyle="1" w:styleId="SpecialStringTok">
    <w:name w:val="SpecialStringTok"/>
    <w:rPr>
      <w:color w:val="000000"/>
    </w:rPr>
  </w:style>
  <w:style w:type="character" w:customStyle="1" w:styleId="ImportTok">
    <w:name w:val="ImportTok"/>
    <w:rPr>
      <w:b/>
      <w:color w:val="000000"/>
    </w:rPr>
  </w:style>
  <w:style w:type="character" w:customStyle="1" w:styleId="CommentTok">
    <w:name w:val="CommentTok"/>
    <w:rPr>
      <w:i/>
      <w:color w:val="000000"/>
    </w:rPr>
  </w:style>
  <w:style w:type="character" w:customStyle="1" w:styleId="DocumentationTok">
    <w:name w:val="DocumentationTok"/>
    <w:rPr>
      <w:i/>
      <w:color w:val="000000"/>
    </w:rPr>
  </w:style>
  <w:style w:type="character" w:customStyle="1" w:styleId="AnnotationTok">
    <w:name w:val="AnnotationTok"/>
    <w:rPr>
      <w:b/>
      <w:i/>
      <w:color w:val="000000"/>
    </w:rPr>
  </w:style>
  <w:style w:type="character" w:customStyle="1" w:styleId="CommentVarTok">
    <w:name w:val="CommentVarTok"/>
    <w:rPr>
      <w:b/>
      <w:i/>
      <w:color w:val="000000"/>
    </w:rPr>
  </w:style>
  <w:style w:type="character" w:customStyle="1" w:styleId="OtherTok">
    <w:name w:val="OtherTok"/>
    <w:rPr>
      <w:color w:val="000000"/>
    </w:rPr>
  </w:style>
  <w:style w:type="character" w:customStyle="1" w:styleId="FunctionTok">
    <w:name w:val="FunctionTok"/>
    <w:rPr>
      <w:color w:val="000000"/>
    </w:rPr>
  </w:style>
  <w:style w:type="character" w:customStyle="1" w:styleId="VariableTok">
    <w:name w:val="VariableTok"/>
    <w:rPr>
      <w:color w:val="000000"/>
    </w:rPr>
  </w:style>
  <w:style w:type="character" w:customStyle="1" w:styleId="ControlFlowTok">
    <w:name w:val="ControlFlowTok"/>
    <w:rPr>
      <w:b/>
      <w:color w:val="000000"/>
    </w:rPr>
  </w:style>
  <w:style w:type="character" w:customStyle="1" w:styleId="OperatorTok">
    <w:name w:val="OperatorTok"/>
    <w:rPr>
      <w:color w:val="000000"/>
    </w:rPr>
  </w:style>
  <w:style w:type="character" w:customStyle="1" w:styleId="BuiltInTok">
    <w:name w:val="BuiltInTok"/>
    <w:rPr>
      <w:color w:val="000000"/>
    </w:rPr>
  </w:style>
  <w:style w:type="character" w:customStyle="1" w:styleId="ExtensionTok">
    <w:name w:val="ExtensionTok"/>
  </w:style>
  <w:style w:type="character" w:customStyle="1" w:styleId="PreprocessorTok">
    <w:name w:val="PreprocessorTok"/>
    <w:rPr>
      <w:color w:val="000000"/>
    </w:rPr>
  </w:style>
  <w:style w:type="character" w:customStyle="1" w:styleId="AttributeTok">
    <w:name w:val="AttributeTok"/>
    <w:rPr>
      <w:color w:val="000000"/>
    </w:rPr>
  </w:style>
  <w:style w:type="character" w:customStyle="1" w:styleId="RegionMarkerTok">
    <w:name w:val="RegionMarkerTok"/>
  </w:style>
  <w:style w:type="character" w:customStyle="1" w:styleId="InformationTok">
    <w:name w:val="InformationTok"/>
    <w:rPr>
      <w:b/>
      <w:i/>
      <w:color w:val="000000"/>
    </w:rPr>
  </w:style>
  <w:style w:type="character" w:customStyle="1" w:styleId="WarningTok">
    <w:name w:val="WarningTok"/>
    <w:rPr>
      <w:b/>
      <w:i/>
      <w:color w:val="000000"/>
    </w:rPr>
  </w:style>
  <w:style w:type="character" w:customStyle="1" w:styleId="AlertTok">
    <w:name w:val="AlertTok"/>
    <w:rPr>
      <w:b/>
      <w:color w:val="000000"/>
    </w:rPr>
  </w:style>
  <w:style w:type="character" w:customStyle="1" w:styleId="ErrorTok">
    <w:name w:val="ErrorTok"/>
    <w:rPr>
      <w:b/>
      <w:color w:val="000000"/>
    </w:rPr>
  </w:style>
  <w:style w:type="character" w:customStyle="1" w:styleId="NormalTok">
    <w:name w:val="NormalTok"/>
  </w:style>
  <w:style w:type="table" w:styleId="af9">
    <w:name w:val="Table Grid"/>
    <w:basedOn w:val="a1"/>
    <w:uiPriority w:val="39"/>
    <w:rsid w:val="00DA11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a">
    <w:name w:val="caption"/>
    <w:basedOn w:val="a"/>
    <w:next w:val="a"/>
    <w:uiPriority w:val="35"/>
    <w:unhideWhenUsed/>
    <w:qFormat/>
    <w:rsid w:val="00DA11E8"/>
    <w:rPr>
      <w:rFonts w:asciiTheme="majorHAnsi" w:eastAsia="黑体" w:hAnsiTheme="majorHAnsi" w:cstheme="majorBidi"/>
    </w:rPr>
  </w:style>
  <w:style w:type="character" w:customStyle="1" w:styleId="21">
    <w:name w:val="未处理的提及2"/>
    <w:basedOn w:val="a0"/>
    <w:uiPriority w:val="99"/>
    <w:semiHidden/>
    <w:unhideWhenUsed/>
    <w:rsid w:val="00F2769C"/>
    <w:rPr>
      <w:color w:val="000000"/>
      <w:shd w:val="clear" w:color="auto" w:fill="E1DFDD"/>
    </w:rPr>
  </w:style>
  <w:style w:type="character" w:styleId="afb">
    <w:name w:val="Placeholder Text"/>
    <w:basedOn w:val="a0"/>
    <w:uiPriority w:val="99"/>
    <w:semiHidden/>
    <w:rsid w:val="003E4FE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02365">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6.sv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sv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svg"/><Relationship Id="rId5" Type="http://schemas.openxmlformats.org/officeDocument/2006/relationships/footnotes" Target="footnotes.xml"/><Relationship Id="rId15" Type="http://schemas.openxmlformats.org/officeDocument/2006/relationships/image" Target="media/image8.svg"/><Relationship Id="rId10" Type="http://schemas.openxmlformats.org/officeDocument/2006/relationships/image" Target="media/image3.png"/><Relationship Id="rId19" Type="http://schemas.openxmlformats.org/officeDocument/2006/relationships/image" Target="media/image12.sv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5791</Words>
  <Characters>36953</Characters>
  <Application>Microsoft Office Word</Application>
  <DocSecurity>0</DocSecurity>
  <Lines>947</Lines>
  <Paragraphs>359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2026-09-07T06:43:00Z</dcterms:created>
  <dcterms:modified xsi:type="dcterms:W3CDTF">2026-10-28T03:59:00Z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