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Style w:val="MSJHBD-SB16pt"/>
        </w:rPr>
        <w:t xml:space="preserve">
          國立陽明交通大學  National Yang Ming Chiao Tung University
          <w:br/>
          114學年度 第2學期 深度學習 Deep Learning 課程綱要
        </w:t>
      </w:r>
    </w:p>
    <w:tbl>
      <w:tblGrid>
        <w:gridCol w:w="3000" w:type="dxa"/>
        <w:gridCol w:w="2000" w:type="dxa"/>
        <w:gridCol w:w="3000" w:type="dxa"/>
        <w:gridCol w:w="2000" w:type="dxa"/>
        <w:gridCol w:w="3000" w:type="dxa"/>
        <w:gridCol w:w="2000" w:type="dxa"/>
      </w:tblGrid>
      <w:tblPr>
        <w:tblStyle w:val="myTable"/>
      </w:tblPr>
      <w:tr>
        <w:trPr/>
        <w:tc>
          <w:tcPr>
            <w:tcW w:w="7000" w:type="dxa"/>
            <w:gridSpan w:val="4"/>
            <w:vMerge w:val="restart"/>
          </w:tcPr>
          <w:p>
            <w:pPr>
              <w:jc w:val="left"/>
            </w:pPr>
            <w:r>
              <w:rPr>
                <w:rStyle w:val="MSJHBD-SB12pt"/>
              </w:rPr>
              <w:t xml:space="preserve">
                課程名稱：
                <w:br/>
                （中文）深度學習
                <w:br/>
                （英文）Deep Learning
              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>
                <w:rStyle w:val="MSJHBD-SB12pt"/>
              </w:rPr>
              <w:t xml:space="preserve">開課單位：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資科工碩  </w:t>
            </w:r>
          </w:p>
        </w:tc>
      </w:tr>
      <w:tr>
        <w:trPr/>
        <w:tc>
          <w:tcPr>
            <w:tcW w:w="7000" w:type="dxa"/>
            <w:gridSpan w:val="4"/>
            <w:vMerge w:val="continue"/>
          </w:tcPr>
          <w:p/>
        </w:tc>
        <w:tc>
          <w:tcPr>
            <w:tcW w:w="3000" w:type="dxa"/>
          </w:tcPr>
          <w:p>
            <w:pPr>
              <w:jc w:val="left"/>
            </w:pPr>
            <w:r>
              <w:rPr>
                <w:rStyle w:val="MSJHBD-SB12pt"/>
              </w:rPr>
              <w:t xml:space="preserve">永久課號：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CSIC30153</w:t>
            </w:r>
          </w:p>
        </w:tc>
      </w:tr>
      <w:tr>
        <w:trPr/>
        <w:tc>
          <w:tcPr>
            <w:tcW w:w="7000" w:type="dxa"/>
            <w:gridSpan w:val="4"/>
            <w:vMerge w:val="continue"/>
          </w:tcPr>
          <w:p/>
        </w:tc>
        <w:tc>
          <w:tcPr>
            <w:tcW w:w="3000" w:type="dxa"/>
          </w:tcPr>
          <w:p>
            <w:pPr>
              <w:jc w:val="left"/>
            </w:pPr>
            <w:r>
              <w:rPr>
                <w:rStyle w:val="MSJHBD-SB12pt"/>
              </w:rPr>
              <w:t xml:space="preserve">上課時間/教室：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Rn56-EC114[GF]</w:t>
            </w:r>
          </w:p>
        </w:tc>
      </w:tr>
      <w:tr>
        <w:trPr/>
        <w:tc>
          <w:tcPr>
            <w:tcW w:w="13000" w:type="dxa"/>
            <w:gridSpan w:val="6"/>
          </w:tcPr>
          <w:p>
            <w:pPr>
              <w:jc w:val="left"/>
            </w:pPr>
            <w:r>
              <w:rPr>
                <w:rStyle w:val="MSJHBD-SB12pt"/>
              </w:rPr>
              <w:t xml:space="preserve">授課教師：</w:t>
            </w:r>
          </w:p>
          <w:p>
            <w:pPr>
              <w:jc w:val="left"/>
            </w:pPr>
            <w:r>
              <w:rPr>
                <w:rStyle w:val="BlueMSJHBD-SB12pt"/>
              </w:rPr>
              <w:t xml:space="preserve">彭文孝、陳永昇、謝秉均</w:t>
            </w:r>
          </w:p>
        </w:tc>
      </w:tr>
      <w:tr>
        <w:trPr/>
        <w:tc>
          <w:tcPr>
            <w:tcW w:w="3000" w:type="dxa"/>
          </w:tcPr>
          <w:p>
            <w:pPr>
              <w:jc w:val="left"/>
            </w:pPr>
            <w:r>
              <w:rPr>
                <w:rStyle w:val="MSJHBD-SB12pt"/>
              </w:rPr>
              <w:t xml:space="preserve">學分數：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3.00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>
                <w:rStyle w:val="MSJHBD-SB12pt"/>
              </w:rPr>
              <w:t xml:space="preserve">必／選修：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選修</w:t>
            </w:r>
          </w:p>
        </w:tc>
        <w:tc>
          <w:tcPr>
            <w:tcW w:w="3000" w:type="dxa"/>
          </w:tcPr>
          <w:p>
            <w:pPr>
              <w:jc w:val="left"/>
            </w:pPr>
            <w:r>
              <w:rPr>
                <w:rStyle w:val="MSJHBD-SB12pt"/>
              </w:rPr>
              <w:t xml:space="preserve">開課年級：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*</w:t>
            </w:r>
          </w:p>
        </w:tc>
      </w:tr>
      <w:tr>
        <w:trPr/>
        <w:tc>
          <w:tcPr>
            <w:tcW w:w="13000" w:type="dxa"/>
            <w:gridSpan w:val="6"/>
          </w:tcPr>
          <w:p>
            <w:pPr>
              <w:jc w:val="left"/>
            </w:pPr>
            <w:r>
              <w:rPr>
                <w:rStyle w:val="MSJHBD-SB12pt"/>
              </w:rPr>
              <w:t xml:space="preserve">先修科目或先備能力：</w:t>
            </w:r>
          </w:p>
          <w:p>
            <w:pPr>
              <w:jc w:val="left"/>
            </w:pPr>
            <w:r>
              <w:rPr>
                <w:rStyle w:val="BlueMSJHBD-SB12pt"/>
              </w:rPr>
              <w:t xml:space="preserve">Linear Algebra, Probability Theory, 
Machine Learning (suggested)
</w:t>
            </w:r>
          </w:p>
        </w:tc>
      </w:tr>
      <w:tr>
        <w:trPr/>
        <w:tc>
          <w:tcPr>
            <w:tcW w:w="13000" w:type="dxa"/>
            <w:gridSpan w:val="6"/>
          </w:tcPr>
          <w:p>
            <w:pPr>
              <w:jc w:val="left"/>
            </w:pPr>
            <w:r>
              <w:rPr>
                <w:rStyle w:val="MSJHBD-SB12pt"/>
              </w:rPr>
              <w:t xml:space="preserve">課程概述與目標：</w:t>
            </w:r>
          </w:p>
          <w:p>
            <w:pPr>
              <w:jc w:val="left"/>
            </w:pPr>
            <w:r>
              <w:rPr>
                <w:rStyle w:val="BlueMSJHBD-SB12pt"/>
              </w:rPr>
              <w:t xml:space="preserve">(1) To understand the maths of deep learning techniques</w:t>
              <w:br/>
              <w:t>
(2) To familiarize with deep learning tools, such as PyTorch, TensorFlow, etc.</w:t>
              <w:br/>
              <w:t>
(3) To understand the latest developments and applications of deep learning techniques</w:t>
              <w:br/>
              <w:t>
(4) To develop practical working systems</w:t>
              <w:br/>
              <w:t>
Students requesting to add this course, please fill out the form.: https://forms.gle/6mQVbyLBo1B7Y1tCA</w:t>
            </w:r>
          </w:p>
        </w:tc>
      </w:tr>
      <w:tr>
        <w:trPr/>
        <w:tc>
          <w:tcPr>
            <w:tcW w:w="5000" w:type="dxa"/>
            <w:gridSpan w:val="2"/>
          </w:tcPr>
          <w:p>
            <w:pPr>
              <w:jc w:val="left"/>
            </w:pPr>
            <w:r>
              <w:rPr>
                <w:rStyle w:val="MSJHBD-SB12pt"/>
              </w:rPr>
              <w:t xml:space="preserve">教科書（請註明書名、作者、出版社、出版年等資訊）：</w:t>
            </w:r>
          </w:p>
        </w:tc>
        <w:tc>
          <w:tcPr>
            <w:tcW w:w="5000" w:type="dxa"/>
            <w:gridSpan w:val="4"/>
          </w:tcPr>
          <w:p>
            <w:pPr>
              <w:jc w:val="left"/>
            </w:pPr>
            <w:r>
              <w:rPr>
                <w:rStyle w:val="BlueMSJHBD-SB12pt"/>
              </w:rPr>
              <w:t xml:space="preserve">1. I. Goodfellow, Y. Bengio, and A. Courville,Deep Learning, 1st Ed., MIT Press, Dec.2016</w:t>
              <w:br/>
              <w:t>
2. R. S. Sutton and A. G. Barto, Reinforcement  Learning: An Introduction, Nov. 2020</w:t>
            </w:r>
          </w:p>
        </w:tc>
      </w:tr>
    </w:tbl>
    <w:tbl>
      <w:tblGrid>
        <w:gridCol w:w="3000" w:type="dxa"/>
        <w:gridCol w:w="3000" w:type="dxa"/>
        <w:gridCol w:w="1000" w:type="dxa"/>
        <w:gridCol w:w="1000" w:type="dxa"/>
        <w:gridCol w:w="1000" w:type="dxa"/>
        <w:gridCol w:w="1000" w:type="dxa"/>
        <w:gridCol w:w="3000" w:type="dxa"/>
      </w:tblGrid>
      <w:tblPr>
        <w:tblStyle w:val="outlineTable"/>
      </w:tblPr>
      <w:tr>
        <w:trPr/>
        <w:tc>
          <w:tcPr>
            <w:tcW w:w="8000" w:type="dxa"/>
            <w:gridSpan w:val="2"/>
          </w:tcPr>
          <w:p>
            <w:pPr>
              <w:jc w:val="center"/>
            </w:pPr>
            <w:r>
              <w:rPr>
                <w:rStyle w:val="MSJHBD-SB12pt"/>
              </w:rPr>
              <w:t xml:space="preserve">課程大網</w:t>
            </w:r>
          </w:p>
        </w:tc>
        <w:tc>
          <w:tcPr>
            <w:tcW w:w="2000" w:type="dxa"/>
            <w:gridSpan w:val="4"/>
          </w:tcPr>
          <w:p>
            <w:pPr>
              <w:jc w:val="center"/>
            </w:pPr>
            <w:r>
              <w:rPr>
                <w:rStyle w:val="MSJHBD-SB12pt"/>
              </w:rPr>
              <w:t xml:space="preserve">分配時數</w:t>
            </w:r>
          </w:p>
        </w:tc>
        <w:tc>
          <w:tcPr>
            <w:tcW w:w="3000" w:type="dxa"/>
            <w:vMerge w:val="restart"/>
          </w:tcPr>
          <w:p>
            <w:pPr>
              <w:jc w:val="center"/>
            </w:pPr>
            <w:r>
              <w:rPr>
                <w:rStyle w:val="MSJHBD-SB12pt"/>
              </w:rPr>
              <w:t xml:space="preserve">備註</w:t>
            </w:r>
          </w:p>
        </w:tc>
      </w:tr>
      <w:tr>
        <w:trPr/>
        <w:tc>
          <w:tcPr>
            <w:tcW w:w="3000" w:type="dxa"/>
          </w:tcPr>
          <w:p>
            <w:pPr>
              <w:jc w:val="center"/>
            </w:pPr>
            <w:r>
              <w:rPr>
                <w:rStyle w:val="MSJHBD-SB12pt"/>
              </w:rPr>
              <w:t xml:space="preserve">單元主題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rStyle w:val="MSJHBD-SB12pt"/>
              </w:rPr>
              <w:t xml:space="preserve">內容綱要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rStyle w:val="MSJHBD-SB12pt"/>
              </w:rPr>
              <w:t xml:space="preserve">講授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rStyle w:val="MSJHBD-SB12pt"/>
              </w:rPr>
              <w:t xml:space="preserve">示範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rStyle w:val="MSJHBD-SB12pt"/>
              </w:rPr>
              <w:t xml:space="preserve">習作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rStyle w:val="MSJHBD-SB12pt"/>
              </w:rPr>
              <w:t xml:space="preserve">其他</w:t>
            </w:r>
          </w:p>
        </w:tc>
        <w:tc>
          <w:tcPr>
            <w:tcW w:w="3000" w:type="dxa"/>
            <w:vMerge w:val="continue"/>
          </w:tcPr>
          <w:p>
            <w:pPr>
              <w:jc w:val="center"/>
            </w:pPr>
            <w:r>
              <w:rPr>
                <w:rStyle w:val="MSJHBD-SB12pt"/>
              </w:rPr>
              <w:t xml:space="preserve"/>
            </w:r>
          </w:p>
        </w:tc>
      </w:tr>
    </w:tbl>
    <w:tbl>
      <w:tblGrid>
        <w:gridCol w:w="2000" w:type="dxa"/>
        <w:gridCol w:w="5000" w:type="dxa"/>
        <w:gridCol w:w="2000" w:type="dxa"/>
        <w:gridCol w:w="4000" w:type="dxa"/>
      </w:tblGrid>
      <w:tblPr>
        <w:tblStyle w:val="descriptionDataTable"/>
      </w:tblPr>
      <w:tr>
        <w:trPr/>
        <w:tc>
          <w:tcPr>
            <w:tcW w:w="13000" w:type="dxa"/>
            <w:gridSpan w:val="4"/>
          </w:tcPr>
          <w:p>
            <w:pPr>
              <w:jc w:val="left"/>
            </w:pPr>
            <w:r>
              <w:rPr>
                <w:rStyle w:val="MSJHBD-SB12pt"/>
              </w:rPr>
              <w:t xml:space="preserve">教學要點概述：</w:t>
            </w:r>
          </w:p>
        </w:tc>
      </w:tr>
      <w:tr>
        <w:trPr/>
        <w:tc>
          <w:tcPr>
            <w:tcW w:w="13000" w:type="dxa"/>
            <w:gridSpan w:val="4"/>
          </w:tcPr>
          <w:p>
            <w:pPr>
              <w:jc w:val="left"/>
            </w:pPr>
            <w:r>
              <w:rPr>
                <w:rStyle w:val="MSJHBD-SB12pt"/>
              </w:rPr>
              <w:t xml:space="preserve">1.學期作業、考試、評量：</w:t>
            </w:r>
          </w:p>
          <w:p>
            <w:pPr>
              <w:jc w:val="left"/>
            </w:pPr>
            <w:r>
              <w:rPr>
                <w:rStyle w:val="BlueMSJHBD-SB12pt"/>
              </w:rPr>
              <w:t xml:space="preserve">Part I (3 credits) - Deep Learning</w:t>
              <w:br/>
              <w:t>
4 Labs (including Labs 0, 2, 5, and 6) (done individually) 80% </w:t>
              <w:br/>
              <w:t>
Final exam 20%</w:t>
              <w:br/>
              <w:t>
</w:t>
              <w:br/>
              <w:t>
Part II (3 credits) - Deep Learning Labs</w:t>
              <w:br/>
              <w:t>
4 Labs (including Labs 1, 3, 4, and 7) 50% </w:t>
              <w:br/>
              <w:t>
Paper presentation (done in groups of 3 members) 25%</w:t>
              <w:br/>
              <w:t>
Final project (done in groups of 3 members) 25%</w:t>
            </w:r>
          </w:p>
          <w:p>
            <w:pPr>
              <w:jc w:val="left"/>
            </w:pPr>
            <w:r>
              <w:rPr>
                <w:rStyle w:val="MSJHBD-SB12pt"/>
              </w:rPr>
              <w:t xml:space="preserve">2.教學方法及教學相關配合事項（如助教、網站或圖書及資料庫等）</w:t>
            </w:r>
          </w:p>
          <w:p>
            <w:pPr>
              <w:jc w:val="left"/>
            </w:pPr>
            <w:r>
              <w:rPr>
                <w:rStyle w:val="BlueMSJHBD-SB12pt"/>
              </w:rPr>
              <w:t xml:space="preserve">分組方式 3人/組(Paper and Final) 1人/組(Lab)</w:t>
              <w:br/>
              <w:t>
師資人力 指導教師3人 助教8人</w:t>
              <w:br/>
              <w:t>
(1) To submit final projects as academic papers</w:t>
              <w:br/>
              <w:t>
(2) To hold exhibition to showcase final projects</w:t>
              <w:br/>
              <w:t>
(3) To encourage students to participate in various challenges in the fields of computer vision, gaming, data analytics, etc.</w:t>
            </w:r>
          </w:p>
        </w:tc>
      </w:tr>
      <w:tr>
        <w:trPr/>
        <w:tc>
          <w:tcPr>
            <w:tcW w:w="2000" w:type="dxa"/>
            <w:vMerge w:val="restart"/>
          </w:tcPr>
          <w:p>
            <w:pPr>
              <w:jc w:val="left"/>
            </w:pPr>
            <w:r>
              <w:rPr>
                <w:rStyle w:val="MSJHBD-SB12pt"/>
              </w:rPr>
              <w:t xml:space="preserve">師生晤談</w:t>
            </w:r>
          </w:p>
        </w:tc>
        <w:tc>
          <w:tcPr>
            <w:tcW w:w="5000" w:type="dxa"/>
          </w:tcPr>
          <w:p>
            <w:pPr>
              <w:jc w:val="left"/>
            </w:pPr>
            <w:r>
              <w:rPr>
                <w:rStyle w:val="MSJHBD-SB12pt"/>
              </w:rPr>
              <w:t xml:space="preserve">排定時間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rPr>
                <w:rStyle w:val="MSJHBD-SB12pt"/>
              </w:rPr>
              <w:t xml:space="preserve">地點</w:t>
            </w:r>
          </w:p>
        </w:tc>
        <w:tc>
          <w:tcPr>
            <w:tcW w:w="4000" w:type="dxa"/>
          </w:tcPr>
          <w:p>
            <w:pPr>
              <w:jc w:val="left"/>
            </w:pPr>
            <w:r>
              <w:rPr>
                <w:rStyle w:val="MSJHBD-SB12pt"/>
              </w:rPr>
              <w:t xml:space="preserve">聯絡方式</w:t>
            </w:r>
          </w:p>
        </w:tc>
      </w:tr>
      <w:tr>
        <w:trPr/>
        <w:tc>
          <w:tcPr>
            <w:tcW w:w="2000" w:type="dxa"/>
            <w:vMerge w:val="continue"/>
          </w:tcPr>
          <w:p>
            <w:pPr>
              <w:jc w:val="left"/>
            </w:pPr>
            <w:r>
              <w:rPr>
                <w:rStyle w:val="MSJHBD-SB12pt"/>
              </w:rPr>
              <w:t xml:space="preserve"/>
            </w:r>
          </w:p>
        </w:tc>
        <w:tc>
          <w:tcPr>
            <w:tcW w:w="5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  <w:tc>
          <w:tcPr>
            <w:tcW w:w="4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老師 
彭文孝wpeng@cs.nctu.edu.tw
陳永昇yschen@cs.nctu.edu.tw  
謝秉均pinghsieh@cs.nycu.edu.tw
助教 
楊賀弼mrrrimge32.cs13@nycu.edu.tw 
劉子齊jonathan.tcliu.en11@nycu.edu.tw
温柏萱alison.cs13@nycu.edu.tw</w:t>
            </w:r>
          </w:p>
        </w:tc>
      </w:tr>
    </w:tbl>
    <w:tbl>
      <w:tblGrid>
        <w:gridCol w:w="500" w:type="dxa"/>
        <w:gridCol w:w="2500" w:type="dxa"/>
        <w:gridCol w:w="7000" w:type="dxa"/>
        <w:gridCol w:w="500" w:type="dxa"/>
      </w:tblGrid>
      <w:tblPr>
        <w:tblStyle w:val="syllabusDataTable"/>
      </w:tblPr>
      <w:tr>
        <w:trPr/>
        <w:tc>
          <w:tcPr>
            <w:tcW w:w="13000" w:type="dxa"/>
            <w:gridSpan w:val="4"/>
          </w:tcPr>
          <w:p>
            <w:pPr>
              <w:jc w:val="left"/>
            </w:pPr>
            <w:r>
              <w:rPr>
                <w:rStyle w:val="MSJHBD-SB12pt"/>
              </w:rPr>
              <w:t xml:space="preserve">每週進度表</w:t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MSJHBD-SB12pt"/>
              </w:rPr>
              <w:t xml:space="preserve">週次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Style w:val="MSJHBD-SB12pt"/>
              </w:rPr>
              <w:t xml:space="preserve">上課日期</w:t>
            </w:r>
          </w:p>
        </w:tc>
        <w:tc>
          <w:tcPr>
            <w:tcW w:w="7000" w:type="dxa"/>
          </w:tcPr>
          <w:p>
            <w:pPr>
              <w:jc w:val="center"/>
            </w:pPr>
            <w:r>
              <w:rPr>
                <w:rStyle w:val="MSJHBD-SB12pt"/>
              </w:rPr>
              <w:t xml:space="preserve">課程進度、內容、主題</w:t>
            </w:r>
          </w:p>
        </w:tc>
        <w:tc>
          <w:tcPr>
            <w:tcW w:w="500" w:type="dxa"/>
          </w:tcPr>
          <w:p>
            <w:pPr>
              <w:jc w:val="center"/>
            </w:pPr>
            <w:r>
              <w:rPr>
                <w:rStyle w:val="MSJHBD-SB12pt"/>
              </w:rPr>
              <w:t xml:space="preserve">教師授課時數</w:t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1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2026-02-26(四)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Introduction ＆amp;amp; Machine Learning Basics</w:t>
              <w:br/>
              <w:t>
1. Linear Algebra</w:t>
              <w:br/>
              <w:t>
2. Probability and Information Theory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2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2026-03-05(四)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 Deep Networks </w:t>
              <w:br/>
              <w:t>
1. Deep Feedforward Networks</w:t>
              <w:br/>
              <w:t>
2. Convolutional Networks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3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2026-03-12(四)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Convolutional Networks</w:t>
              <w:br/>
              <w:t>
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4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2026-03-19(四)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Convolutional Networks ＆amp;amp; Transformers </w:t>
              <w:br/>
              <w:t>
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5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2026-03-26(四)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Introduction to Reinforcement Learning</w:t>
              <w:br/>
              <w:t>
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6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2026-04-02(四)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No class (清明連假)</w:t>
              <w:br/>
              <w:t>
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7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2026-04-09(四)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1. Linear Factor Models</w:t>
              <w:br/>
              <w:t>
2. Autoencoders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8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2026-04-16(四)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Valued Based Reinforcement Learning</w:t>
              <w:br/>
              <w:t>
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9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2026-04-23(四)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Diffusion Models</w:t>
              <w:br/>
              <w:t>
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10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2026-04-30(四)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Normalizing Flows</w:t>
              <w:br/>
              <w:t>
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11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2026-05-07(四)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Policy-based　Reinforcement Learning</w:t>
              <w:br/>
              <w:t>
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12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2026-05-14(四)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Model-based Reinforcement Learning</w:t>
              <w:br/>
              <w:t>
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13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2026-05-21(四)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Paper Presentation</w:t>
              <w:br/>
              <w:t>
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14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2026-05-28(四)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Paper Presentation</w:t>
              <w:br/>
              <w:t>
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15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2026-06-04(四)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Final Exam</w:t>
              <w:br/>
              <w:t>
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  <w:tr>
        <w:trPr/>
        <w:tc>
          <w:tcPr>
            <w:tcW w:w="500" w:type="dxa"/>
          </w:tcPr>
          <w:p>
            <w:pPr>
              <w:jc w:val="center"/>
            </w:pPr>
            <w:r>
              <w:rPr>
                <w:rStyle w:val="BlueMSJHBD-SB12pt"/>
              </w:rPr>
              <w:t xml:space="preserve">16</w:t>
            </w:r>
          </w:p>
        </w:tc>
        <w:tc>
          <w:tcPr>
            <w:tcW w:w="2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2026-06-11(四)</w:t>
            </w:r>
          </w:p>
        </w:tc>
        <w:tc>
          <w:tcPr>
            <w:tcW w:w="70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>Final Project Demo</w:t>
              <w:br/>
              <w:t>
</w:t>
              <w:br/>
              <w:t>
</w:t>
            </w:r>
          </w:p>
        </w:tc>
        <w:tc>
          <w:tcPr>
            <w:tcW w:w="500" w:type="dxa"/>
          </w:tcPr>
          <w:p>
            <w:pPr>
              <w:jc w:val="left"/>
            </w:pPr>
            <w:r>
              <w:rPr>
                <w:rStyle w:val="BlueMSJHBD-SB12pt"/>
              </w:rPr>
              <w:t xml:space="preserve"/>
            </w:r>
          </w:p>
        </w:tc>
      </w:tr>
    </w:tbl>
    <w:tbl>
      <w:tblGrid>
        <w:gridCol w:w="13000" w:type="dxa"/>
      </w:tblGrid>
      <w:tblPr>
        <w:tblStyle w:val="noteTable"/>
      </w:tblPr>
      <w:tr>
        <w:trPr/>
        <w:tc>
          <w:tcPr>
            <w:tcW w:w="13000" w:type="dxa"/>
          </w:tcPr>
          <w:p>
            <w:pPr>
              <w:jc w:val="left"/>
            </w:pPr>
            <w:r>
              <w:rPr>
                <w:rStyle w:val="MSJHBD-SB12pt"/>
              </w:rPr>
              <w:t xml:space="preserve">備註：</w:t>
            </w:r>
          </w:p>
        </w:tc>
      </w:tr>
      <w:tr>
        <w:trPr/>
        <w:tc>
          <w:tcPr>
            <w:tcW w:w="13000" w:type="dxa"/>
          </w:tcPr>
          <w:p>
            <w:pPr>
              <w:jc w:val="left"/>
            </w:pPr>
            <w:r>
              <w:rPr>
                <w:rStyle w:val="MSJHBD-SB12pt"/>
              </w:rPr>
              <w:t xml:space="preserve">1.請遵守智慧財產權觀念及勿使用不法影印教科書。</w:t>
            </w:r>
          </w:p>
        </w:tc>
      </w:tr>
      <w:tr>
        <w:trPr/>
        <w:tc>
          <w:tcPr>
            <w:tcW w:w="13000" w:type="dxa"/>
          </w:tcPr>
          <w:p>
            <w:pPr>
              <w:jc w:val="left"/>
            </w:pPr>
            <w:r>
              <w:rPr>
                <w:rStyle w:val="MSJHBD-SB12pt"/>
              </w:rPr>
              <w:t xml:space="preserve">2.其他欄包含參訪、專題演講等活動。</w:t>
            </w:r>
          </w:p>
        </w:tc>
      </w:tr>
      <w:tr>
        <w:trPr/>
        <w:tc>
          <w:tcPr>
            <w:tcW w:w="13000" w:type="dxa"/>
          </w:tcPr>
          <w:p>
            <w:pPr>
              <w:jc w:val="center"/>
            </w:pPr>
            <w:r>
              <w:rPr>
                <w:rStyle w:val="MSJHBD-SB12pt"/>
              </w:rPr>
              <w:t xml:space="preserve"> Copyright©2026 National Yang Ming Chiao Tung University ALL RIGHTS RESERVED.</w:t>
            </w:r>
          </w:p>
        </w:tc>
      </w:tr>
    </w:tbl>
    <w:sectPr>
      <w:pgSz w:orient="portrait" w:w="11905.511811023622" w:h="16837.79527559055"/>
      <w:pgMar w:top="566.9291338582676" w:right="566.9291338582676" w:bottom="566.9291338582676" w:left="566.9291338582676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軟正黑體" w:hAnsi="微軟正黑體" w:eastAsia="微軟正黑體" w:cs="微軟正黑體"/>
        <w:sz w:val="24"/>
        <w:szCs w:val="24"/>
        <w:lang w:val="en-US"/>
      </w:rPr>
    </w:rPrDefault>
  </w:docDefaults>
  <w:style w:type="paragraph" w:default="1" w:styleId="Normal">
    <w:name w:val="Normal"/>
    <w:pPr>
      <w:jc w:val="both"/>
      <w:ind w:left="0" w:right="0" w:firstLine="0"/>
      <w:spacing w:before="0" w:after="0" w:line="285.59999999999997" w:lineRule="auto"/>
    </w:pPr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SJHBD-SB16pt"/>
    <w:rPr>
      <w:rFonts w:ascii="微軟正黑體" w:hAnsi="微軟正黑體" w:eastAsia="微軟正黑體" w:cs="微軟正黑體"/>
      <w:sz w:val="32"/>
      <w:szCs w:val="32"/>
    </w:rPr>
  </w:style>
  <w:style w:type="character">
    <w:name w:val="MSJHBD-SB12pt"/>
    <w:rPr>
      <w:rFonts w:ascii="微軟正黑體" w:hAnsi="微軟正黑體" w:eastAsia="微軟正黑體" w:cs="微軟正黑體"/>
      <w:sz w:val="24"/>
      <w:szCs w:val="24"/>
    </w:rPr>
  </w:style>
  <w:style w:type="character">
    <w:name w:val="RedMSJHBD-SB12pt"/>
    <w:rPr>
      <w:rFonts w:ascii="微軟正黑體" w:hAnsi="微軟正黑體" w:eastAsia="微軟正黑體" w:cs="微軟正黑體"/>
      <w:color w:val="FF0000"/>
      <w:sz w:val="24"/>
      <w:szCs w:val="24"/>
    </w:rPr>
  </w:style>
  <w:style w:type="character">
    <w:name w:val="BlueMSJHBD-SB12pt"/>
    <w:rPr>
      <w:rFonts w:ascii="微軟正黑體" w:hAnsi="微軟正黑體" w:eastAsia="微軟正黑體" w:cs="微軟正黑體"/>
      <w:color w:val="0000FF"/>
      <w:sz w:val="24"/>
      <w:szCs w:val="24"/>
    </w:rPr>
  </w:style>
  <w:style w:type="character">
    <w:name w:val="DFKai-SB18pt"/>
    <w:rPr>
      <w:rFonts w:ascii="標楷體" w:hAnsi="標楷體" w:eastAsia="標楷體" w:cs="標楷體"/>
      <w:sz w:val="36"/>
      <w:szCs w:val="36"/>
    </w:rPr>
  </w:style>
  <w:style w:type="character">
    <w:name w:val="DFKai-SB12pt"/>
    <w:rPr>
      <w:rFonts w:ascii="標楷體" w:hAnsi="標楷體" w:eastAsia="標楷體" w:cs="標楷體"/>
      <w:sz w:val="24"/>
      <w:szCs w:val="24"/>
    </w:rPr>
  </w:style>
  <w:style w:type="character">
    <w:name w:val="RedDFKai-SB12pt"/>
    <w:rPr>
      <w:rFonts w:ascii="標楷體" w:hAnsi="標楷體" w:eastAsia="標楷體" w:cs="標楷體"/>
      <w:color w:val="FF0000"/>
      <w:sz w:val="24"/>
      <w:szCs w:val="24"/>
    </w:rPr>
  </w:style>
  <w:style w:type="character">
    <w:name w:val="BlueDFKai-SB12pt"/>
    <w:rPr>
      <w:rFonts w:ascii="標楷體" w:hAnsi="標楷體" w:eastAsia="標楷體" w:cs="標楷體"/>
      <w:color w:val="0000FF"/>
      <w:sz w:val="24"/>
      <w:szCs w:val="24"/>
    </w:rPr>
  </w:style>
  <w:style w:type="table" w:customStyle="1" w:styleId="myTable">
    <w:name w:val="myTable"/>
    <w:uiPriority w:val="99"/>
    <w:tblPr>
      <w:tblW w:w="0" w:type="auto"/>
      <w:tblBorders>
        <w:top w:val="single" w:sz="15" w:color="000000"/>
        <w:left w:val="single" w:sz="15" w:color="000000"/>
        <w:right w:val="single" w:sz="15" w:color="000000"/>
        <w:bottom w:val="single" w:sz="15" w:color="000000"/>
        <w:insideH w:val="single" w:sz="1" w:color="000000"/>
        <w:insideV w:val="single" w:sz="1" w:color="000000"/>
      </w:tblBorders>
    </w:tblPr>
  </w:style>
  <w:style w:type="table" w:customStyle="1" w:styleId="outlineTable">
    <w:name w:val="outlineTable"/>
    <w:uiPriority w:val="99"/>
    <w:tblPr>
      <w:tblW w:w="0" w:type="auto"/>
      <w:tblBorders>
        <w:top w:val="single" w:sz="15" w:color="000000"/>
        <w:left w:val="single" w:sz="15" w:color="000000"/>
        <w:right w:val="single" w:sz="15" w:color="000000"/>
        <w:bottom w:val="single" w:sz="15" w:color="000000"/>
        <w:insideH w:val="single" w:sz="1" w:color="000000"/>
        <w:insideV w:val="single" w:sz="1" w:color="000000"/>
      </w:tblBorders>
    </w:tblPr>
  </w:style>
  <w:style w:type="table" w:customStyle="1" w:styleId="descriptionDataTable">
    <w:name w:val="descriptionDataTable"/>
    <w:uiPriority w:val="99"/>
    <w:tblPr>
      <w:tblW w:w="0" w:type="auto"/>
      <w:tblBorders>
        <w:top w:val="single" w:sz="15" w:color="000000"/>
        <w:left w:val="single" w:sz="15" w:color="000000"/>
        <w:right w:val="single" w:sz="15" w:color="000000"/>
        <w:bottom w:val="single" w:sz="15" w:color="000000"/>
        <w:insideH w:val="single" w:sz="1" w:color="000000"/>
        <w:insideV w:val="single" w:sz="1" w:color="000000"/>
      </w:tblBorders>
    </w:tblPr>
  </w:style>
  <w:style w:type="table" w:customStyle="1" w:styleId="syllabusDataTable">
    <w:name w:val="syllabusDataTable"/>
    <w:uiPriority w:val="99"/>
    <w:tblPr>
      <w:tblW w:w="0" w:type="auto"/>
      <w:tblBorders>
        <w:top w:val="single" w:sz="15" w:color="000000"/>
        <w:left w:val="single" w:sz="15" w:color="000000"/>
        <w:right w:val="single" w:sz="15" w:color="000000"/>
        <w:bottom w:val="single" w:sz="15" w:color="000000"/>
        <w:insideH w:val="single" w:sz="1" w:color="000000"/>
        <w:insideV w:val="single" w:sz="1" w:color="000000"/>
      </w:tblBorders>
    </w:tblPr>
  </w:style>
  <w:style w:type="table" w:customStyle="1" w:styleId="noteTable">
    <w:name w:val="noteTable"/>
    <w:uiPriority w:val="99"/>
    <w:tblPr>
      <w:tblW w:w="0" w:type="auto"/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NCTU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National Chiao Tung University Curriculum Management System</dc:creator>
  <dc:title>國立陽明交通大學課務管理系統之選課系統</dc:title>
  <dc:description>https://ccms.nycu.edu.tw</dc:description>
  <dc:subject/>
  <cp:keywords/>
  <cp:category/>
  <cp:lastModifiedBy>CCMS</cp:lastModifiedBy>
  <dcterms:created xsi:type="dcterms:W3CDTF">2026-03-02T17:18:11+00:00</dcterms:created>
  <dcterms:modified xsi:type="dcterms:W3CDTF">2026-03-02T17:18:11+00:00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