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Style w:val="MSJHBD-SB16pt"/>
        </w:rPr>
        <w:t xml:space="preserve">
          國立陽明交通大學  National Yang Ming Chiao Tung University
          <w:br/>
          114學年度 第2學期 深度學習實驗 Deep Learning Labs 課程綱要
        </w:t>
      </w:r>
    </w:p>
    <w:tbl>
      <w:tblGrid>
        <w:gridCol w:w="3000" w:type="dxa"/>
        <w:gridCol w:w="2000" w:type="dxa"/>
        <w:gridCol w:w="3000" w:type="dxa"/>
        <w:gridCol w:w="2000" w:type="dxa"/>
        <w:gridCol w:w="3000" w:type="dxa"/>
        <w:gridCol w:w="2000" w:type="dxa"/>
      </w:tblGrid>
      <w:tblPr>
        <w:tblStyle w:val="myTable"/>
      </w:tblPr>
      <w:tr>
        <w:trPr/>
        <w:tc>
          <w:tcPr>
            <w:tcW w:w="7000" w:type="dxa"/>
            <w:gridSpan w:val="4"/>
            <w:vMerge w:val="restart"/>
          </w:tcPr>
          <w:p>
            <w:pPr>
              <w:jc w:val="left"/>
            </w:pPr>
            <w:r>
              <w:rPr>
                <w:rStyle w:val="MSJHBD-SB12pt"/>
              </w:rPr>
              <w:t xml:space="preserve">
                課程名稱：
                <w:br/>
                （中文）深度學習實驗
                <w:br/>
                （英文）Deep Learning Labs
              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開課單位：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資科工碩  </w:t>
            </w:r>
          </w:p>
        </w:tc>
      </w:tr>
      <w:tr>
        <w:trPr/>
        <w:tc>
          <w:tcPr>
            <w:tcW w:w="7000" w:type="dxa"/>
            <w:gridSpan w:val="4"/>
            <w:vMerge w:val="continue"/>
          </w:tcPr>
          <w:p/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永久課號：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CSIC30154</w:t>
            </w:r>
          </w:p>
        </w:tc>
      </w:tr>
      <w:tr>
        <w:trPr/>
        <w:tc>
          <w:tcPr>
            <w:tcW w:w="7000" w:type="dxa"/>
            <w:gridSpan w:val="4"/>
            <w:vMerge w:val="continue"/>
          </w:tcPr>
          <w:p/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上課時間/教室：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Tabc-EC114[GF]</w:t>
            </w:r>
          </w:p>
        </w:tc>
      </w:tr>
      <w:tr>
        <w:trPr/>
        <w:tc>
          <w:tcPr>
            <w:tcW w:w="13000" w:type="dxa"/>
            <w:gridSpan w:val="6"/>
          </w:tcPr>
          <w:p>
            <w:pPr>
              <w:jc w:val="left"/>
            </w:pPr>
            <w:r>
              <w:rPr>
                <w:rStyle w:val="MSJHBD-SB12pt"/>
              </w:rPr>
              <w:t xml:space="preserve">授課教師：</w:t>
            </w:r>
          </w:p>
          <w:p>
            <w:pPr>
              <w:jc w:val="left"/>
            </w:pPr>
            <w:r>
              <w:rPr>
                <w:rStyle w:val="BlueMSJHBD-SB12pt"/>
              </w:rPr>
              <w:t xml:space="preserve">彭文孝、陳永昇、謝秉均</w:t>
            </w:r>
          </w:p>
        </w:tc>
      </w:tr>
      <w:tr>
        <w:trPr/>
        <w:tc>
          <w:tcPr>
            <w:tcW w:w="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學分數：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3.00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必／選修：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選修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開課年級：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*</w:t>
            </w:r>
          </w:p>
        </w:tc>
      </w:tr>
      <w:tr>
        <w:trPr/>
        <w:tc>
          <w:tcPr>
            <w:tcW w:w="13000" w:type="dxa"/>
            <w:gridSpan w:val="6"/>
          </w:tcPr>
          <w:p>
            <w:pPr>
              <w:jc w:val="left"/>
            </w:pPr>
            <w:r>
              <w:rPr>
                <w:rStyle w:val="MSJHBD-SB12pt"/>
              </w:rPr>
              <w:t xml:space="preserve">先修科目或先備能力：</w:t>
            </w:r>
          </w:p>
          <w:p>
            <w:pPr>
              <w:jc w:val="left"/>
            </w:pPr>
            <w:r>
              <w:rPr>
                <w:rStyle w:val="BlueMSJHBD-SB12pt"/>
              </w:rPr>
              <w:t xml:space="preserve">Linear Algebra, Probability Theory, Machine Learning (suggested)</w:t>
            </w:r>
          </w:p>
        </w:tc>
      </w:tr>
      <w:tr>
        <w:trPr/>
        <w:tc>
          <w:tcPr>
            <w:tcW w:w="13000" w:type="dxa"/>
            <w:gridSpan w:val="6"/>
          </w:tcPr>
          <w:p>
            <w:pPr>
              <w:jc w:val="left"/>
            </w:pPr>
            <w:r>
              <w:rPr>
                <w:rStyle w:val="MSJHBD-SB12pt"/>
              </w:rPr>
              <w:t xml:space="preserve">課程概述與目標：</w:t>
            </w:r>
          </w:p>
          <w:p>
            <w:pPr>
              <w:jc w:val="left"/>
            </w:pPr>
            <w:r>
              <w:rPr>
                <w:rStyle w:val="BlueMSJHBD-SB12pt"/>
              </w:rPr>
              <w:t xml:space="preserve">(1) To understand the maths of deep learning techniques</w:t>
              <w:br/>
              <w:t>
(2) To familiarize with deep learning tools, such as PyTorch, TensorFlow, etc.</w:t>
              <w:br/>
              <w:t>
(3) To understand the latest developments and applications of deep learning techniques</w:t>
              <w:br/>
              <w:t>
(4) To develop practical working systems</w:t>
              <w:br/>
              <w:t>
Students requesting to add this course, please fill out the form.: https://forms.gle/dUYTUqiwBu1QfnmA9</w:t>
            </w:r>
          </w:p>
        </w:tc>
      </w:tr>
      <w:tr>
        <w:trPr/>
        <w:tc>
          <w:tcPr>
            <w:tcW w:w="5000" w:type="dxa"/>
            <w:gridSpan w:val="2"/>
          </w:tcPr>
          <w:p>
            <w:pPr>
              <w:jc w:val="left"/>
            </w:pPr>
            <w:r>
              <w:rPr>
                <w:rStyle w:val="MSJHBD-SB12pt"/>
              </w:rPr>
              <w:t xml:space="preserve">教科書（請註明書名、作者、出版社、出版年等資訊）：</w:t>
            </w:r>
          </w:p>
        </w:tc>
        <w:tc>
          <w:tcPr>
            <w:tcW w:w="5000" w:type="dxa"/>
            <w:gridSpan w:val="4"/>
          </w:tcPr>
          <w:p>
            <w:pPr>
              <w:jc w:val="left"/>
            </w:pPr>
            <w:r>
              <w:rPr>
                <w:rStyle w:val="BlueMSJHBD-SB12pt"/>
              </w:rPr>
              <w:t xml:space="preserve">1. I. Goodfellow, Y. Bengio, and A. Courville,Deep Learning, 1st Ed., MIT Press, Dec.2016</w:t>
              <w:br/>
              <w:t>
2. R. S. Sutton and A. G. Barto, Reinforcement  Learning: An Introduction, Nov. 2020</w:t>
            </w:r>
          </w:p>
        </w:tc>
      </w:tr>
    </w:tbl>
    <w:tbl>
      <w:tblGrid>
        <w:gridCol w:w="3000" w:type="dxa"/>
        <w:gridCol w:w="3000" w:type="dxa"/>
        <w:gridCol w:w="1000" w:type="dxa"/>
        <w:gridCol w:w="1000" w:type="dxa"/>
        <w:gridCol w:w="1000" w:type="dxa"/>
        <w:gridCol w:w="1000" w:type="dxa"/>
        <w:gridCol w:w="3000" w:type="dxa"/>
      </w:tblGrid>
      <w:tblPr>
        <w:tblStyle w:val="outlineTable"/>
      </w:tblPr>
      <w:tr>
        <w:trPr/>
        <w:tc>
          <w:tcPr>
            <w:tcW w:w="8000" w:type="dxa"/>
            <w:gridSpan w:val="2"/>
          </w:tcPr>
          <w:p>
            <w:pPr>
              <w:jc w:val="center"/>
            </w:pPr>
            <w:r>
              <w:rPr>
                <w:rStyle w:val="MSJHBD-SB12pt"/>
              </w:rPr>
              <w:t xml:space="preserve">課程大網</w:t>
            </w:r>
          </w:p>
        </w:tc>
        <w:tc>
          <w:tcPr>
            <w:tcW w:w="2000" w:type="dxa"/>
            <w:gridSpan w:val="4"/>
          </w:tcPr>
          <w:p>
            <w:pPr>
              <w:jc w:val="center"/>
            </w:pPr>
            <w:r>
              <w:rPr>
                <w:rStyle w:val="MSJHBD-SB12pt"/>
              </w:rPr>
              <w:t xml:space="preserve">分配時數</w:t>
            </w:r>
          </w:p>
        </w:tc>
        <w:tc>
          <w:tcPr>
            <w:tcW w:w="3000" w:type="dxa"/>
            <w:vMerge w:val="restart"/>
          </w:tcPr>
          <w:p>
            <w:pPr>
              <w:jc w:val="center"/>
            </w:pPr>
            <w:r>
              <w:rPr>
                <w:rStyle w:val="MSJHBD-SB12pt"/>
              </w:rPr>
              <w:t xml:space="preserve">備註</w:t>
            </w:r>
          </w:p>
        </w:tc>
      </w:t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單元主題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內容綱要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講授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示範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習作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其他</w:t>
            </w:r>
          </w:p>
        </w:tc>
        <w:tc>
          <w:tcPr>
            <w:tcW w:w="3000" w:type="dxa"/>
            <w:vMerge w:val="continue"/>
          </w:tcPr>
          <w:p>
            <w:pPr>
              <w:jc w:val="center"/>
            </w:pPr>
            <w:r>
              <w:rPr>
                <w:rStyle w:val="MSJHBD-SB12pt"/>
              </w:rPr>
              <w:t xml:space="preserve"/>
            </w:r>
          </w:p>
        </w:tc>
      </w:tr>
    </w:tbl>
    <w:tbl>
      <w:tblGrid>
        <w:gridCol w:w="2000" w:type="dxa"/>
        <w:gridCol w:w="5000" w:type="dxa"/>
        <w:gridCol w:w="2000" w:type="dxa"/>
        <w:gridCol w:w="4000" w:type="dxa"/>
      </w:tblGrid>
      <w:tblPr>
        <w:tblStyle w:val="descriptionDataTable"/>
      </w:tblPr>
      <w:tr>
        <w:trPr/>
        <w:tc>
          <w:tcPr>
            <w:tcW w:w="13000" w:type="dxa"/>
            <w:gridSpan w:val="4"/>
          </w:tcPr>
          <w:p>
            <w:pPr>
              <w:jc w:val="left"/>
            </w:pPr>
            <w:r>
              <w:rPr>
                <w:rStyle w:val="MSJHBD-SB12pt"/>
              </w:rPr>
              <w:t xml:space="preserve">教學要點概述：</w:t>
            </w:r>
          </w:p>
        </w:tc>
      </w:tr>
      <w:tr>
        <w:trPr/>
        <w:tc>
          <w:tcPr>
            <w:tcW w:w="13000" w:type="dxa"/>
            <w:gridSpan w:val="4"/>
          </w:tcPr>
          <w:p>
            <w:pPr>
              <w:jc w:val="left"/>
            </w:pPr>
            <w:r>
              <w:rPr>
                <w:rStyle w:val="MSJHBD-SB12pt"/>
              </w:rPr>
              <w:t xml:space="preserve">1.學期作業、考試、評量：</w:t>
            </w:r>
          </w:p>
          <w:p>
            <w:pPr>
              <w:jc w:val="left"/>
            </w:pPr>
            <w:r>
              <w:rPr>
                <w:rStyle w:val="BlueMSJHBD-SB12pt"/>
              </w:rPr>
              <w:t xml:space="preserve">Part I (3 credits) - Deep Learning</w:t>
              <w:br/>
              <w:t>
4 Labs (including Labs 0, 2, 5, and 6) (done individually) 80% </w:t>
              <w:br/>
              <w:t>
Final exam 20%</w:t>
              <w:br/>
              <w:t>
</w:t>
              <w:br/>
              <w:t>
Part II (3 credits) - Deep Learning Labs</w:t>
              <w:br/>
              <w:t>
4 Labs (including Labs 1, 3, 4, and 7) 50% </w:t>
              <w:br/>
              <w:t>
Paper presentation (done in groups of 3 members) 25%</w:t>
              <w:br/>
              <w:t>
Final project (done in groups of 3 members) 25%</w:t>
            </w:r>
          </w:p>
          <w:p>
            <w:pPr>
              <w:jc w:val="left"/>
            </w:pPr>
            <w:r>
              <w:rPr>
                <w:rStyle w:val="MSJHBD-SB12pt"/>
              </w:rPr>
              <w:t xml:space="preserve">2.教學方法及教學相關配合事項（如助教、網站或圖書及資料庫等）</w:t>
            </w:r>
          </w:p>
          <w:p>
            <w:pPr>
              <w:jc w:val="left"/>
            </w:pPr>
            <w:r>
              <w:rPr>
                <w:rStyle w:val="BlueMSJHBD-SB12pt"/>
              </w:rPr>
              <w:t xml:space="preserve">分組方式 3人/組(Paper and Final) 1人/組(Lab)</w:t>
              <w:br/>
              <w:t>
師資人力 指導教師3人 助教3人</w:t>
              <w:br/>
              <w:t>
(1) To submit final projects as academic papers</w:t>
              <w:br/>
              <w:t>
(2) To hold exhibition to showcase final projects</w:t>
              <w:br/>
              <w:t>
(3) To encourage students to participate in various challenges in the fields of computer vision, gaming, data analytics, etc.</w:t>
            </w:r>
          </w:p>
        </w:tc>
      </w:tr>
      <w:tr>
        <w:trPr/>
        <w:tc>
          <w:tcPr>
            <w:tcW w:w="2000" w:type="dxa"/>
            <w:vMerge w:val="restart"/>
          </w:tcPr>
          <w:p>
            <w:pPr>
              <w:jc w:val="left"/>
            </w:pPr>
            <w:r>
              <w:rPr>
                <w:rStyle w:val="MSJHBD-SB12pt"/>
              </w:rPr>
              <w:t xml:space="preserve">師生晤談</w:t>
            </w:r>
          </w:p>
        </w:tc>
        <w:tc>
          <w:tcPr>
            <w:tcW w:w="5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排定時間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地點</w:t>
            </w:r>
          </w:p>
        </w:tc>
        <w:tc>
          <w:tcPr>
            <w:tcW w:w="4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聯絡方式</w:t>
            </w:r>
          </w:p>
        </w:tc>
      </w:tr>
      <w:tr>
        <w:trPr/>
        <w:tc>
          <w:tcPr>
            <w:tcW w:w="2000" w:type="dxa"/>
            <w:vMerge w:val="continue"/>
          </w:tcPr>
          <w:p>
            <w:pPr>
              <w:jc w:val="left"/>
            </w:pPr>
            <w:r>
              <w:rPr>
                <w:rStyle w:val="MSJHBD-SB12pt"/>
              </w:rPr>
              <w:t xml:space="preserve"/>
            </w:r>
          </w:p>
        </w:tc>
        <w:tc>
          <w:tcPr>
            <w:tcW w:w="5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  <w:tc>
          <w:tcPr>
            <w:tcW w:w="4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</w:tbl>
    <w:tbl>
      <w:tblGrid>
        <w:gridCol w:w="500" w:type="dxa"/>
        <w:gridCol w:w="2500" w:type="dxa"/>
        <w:gridCol w:w="7000" w:type="dxa"/>
        <w:gridCol w:w="500" w:type="dxa"/>
      </w:tblGrid>
      <w:tblPr>
        <w:tblStyle w:val="syllabusDataTable"/>
      </w:tblPr>
      <w:tr>
        <w:trPr/>
        <w:tc>
          <w:tcPr>
            <w:tcW w:w="13000" w:type="dxa"/>
            <w:gridSpan w:val="4"/>
          </w:tcPr>
          <w:p>
            <w:pPr>
              <w:jc w:val="left"/>
            </w:pPr>
            <w:r>
              <w:rPr>
                <w:rStyle w:val="MSJHBD-SB12pt"/>
              </w:rPr>
              <w:t xml:space="preserve">每週進度表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週次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上課日期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課程進度、內容、主題</w:t>
            </w:r>
          </w:p>
        </w:tc>
        <w:tc>
          <w:tcPr>
            <w:tcW w:w="5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教師授課時數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2026-02-24(二)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2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2026-03-03(二)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Warm-up (Lab 0)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3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2026-03-10(二)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Back-Propagation (Lab 1)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4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2026-03-17(二)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Convolutional Nets (Lab 2)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5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2026-03-24(二)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MaskGIT (Lab 3)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6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2026-03-31(二)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Recurrent and Recursive Nets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7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2026-04-07(二)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8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2026-04-14(二)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CVAE (Lab 4)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9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2026-04-21(二)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Generative Adversarial Networks ＋</w:t>
              <w:br/>
              <w:t>
Discrete control (Lab 5)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10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2026-04-28(二)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Final Project Proposal </w:t>
              <w:br/>
              <w:t>
＋ Diffusion (Lab6)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11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2026-05-05(二)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Final Project Proposal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12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2026-05-12(二)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Continuous control (Lab 7)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13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2026-05-19(二)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Paper Presentation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14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2026-05-26(二)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Paper Presentation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15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2026-06-02(二)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No class 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16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2026-06-09(二)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No class 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</w:tbl>
    <w:tbl>
      <w:tblGrid>
        <w:gridCol w:w="13000" w:type="dxa"/>
      </w:tblGrid>
      <w:tblPr>
        <w:tblStyle w:val="noteTable"/>
      </w:tblPr>
      <w:tr>
        <w:trPr/>
        <w:tc>
          <w:tcPr>
            <w:tcW w:w="1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備註：</w:t>
            </w:r>
          </w:p>
        </w:tc>
      </w:tr>
      <w:tr>
        <w:trPr/>
        <w:tc>
          <w:tcPr>
            <w:tcW w:w="1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1.請遵守智慧財產權觀念及勿使用不法影印教科書。</w:t>
            </w:r>
          </w:p>
        </w:tc>
      </w:tr>
      <w:tr>
        <w:trPr/>
        <w:tc>
          <w:tcPr>
            <w:tcW w:w="1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2.其他欄包含參訪、專題演講等活動。</w:t>
            </w:r>
          </w:p>
        </w:tc>
      </w:tr>
      <w:tr>
        <w:trPr/>
        <w:tc>
          <w:tcPr>
            <w:tcW w:w="13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 Copyright©2026 National Yang Ming Chiao Tung University ALL RIGHTS RESERVED.</w:t>
            </w:r>
          </w:p>
        </w:tc>
      </w:tr>
    </w:tbl>
    <w:sectPr>
      <w:pgSz w:orient="portrait" w:w="11905.511811023622" w:h="16837.79527559055"/>
      <w:pgMar w:top="566.9291338582676" w:right="566.9291338582676" w:bottom="566.9291338582676" w:left="566.9291338582676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軟正黑體" w:hAnsi="微軟正黑體" w:eastAsia="微軟正黑體" w:cs="微軟正黑體"/>
        <w:sz w:val="24"/>
        <w:szCs w:val="24"/>
        <w:lang w:val="en-US"/>
      </w:rPr>
    </w:rPrDefault>
  </w:docDefaults>
  <w:style w:type="paragraph" w:default="1" w:styleId="Normal">
    <w:name w:val="Normal"/>
    <w:pPr>
      <w:jc w:val="both"/>
      <w:ind w:left="0" w:right="0" w:firstLine="0"/>
      <w:spacing w:before="0" w:after="0" w:line="285.59999999999997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SJHBD-SB16pt"/>
    <w:rPr>
      <w:rFonts w:ascii="微軟正黑體" w:hAnsi="微軟正黑體" w:eastAsia="微軟正黑體" w:cs="微軟正黑體"/>
      <w:sz w:val="32"/>
      <w:szCs w:val="32"/>
    </w:rPr>
  </w:style>
  <w:style w:type="character">
    <w:name w:val="MSJHBD-SB12pt"/>
    <w:rPr>
      <w:rFonts w:ascii="微軟正黑體" w:hAnsi="微軟正黑體" w:eastAsia="微軟正黑體" w:cs="微軟正黑體"/>
      <w:sz w:val="24"/>
      <w:szCs w:val="24"/>
    </w:rPr>
  </w:style>
  <w:style w:type="character">
    <w:name w:val="RedMSJHBD-SB12pt"/>
    <w:rPr>
      <w:rFonts w:ascii="微軟正黑體" w:hAnsi="微軟正黑體" w:eastAsia="微軟正黑體" w:cs="微軟正黑體"/>
      <w:color w:val="FF0000"/>
      <w:sz w:val="24"/>
      <w:szCs w:val="24"/>
    </w:rPr>
  </w:style>
  <w:style w:type="character">
    <w:name w:val="BlueMSJHBD-SB12pt"/>
    <w:rPr>
      <w:rFonts w:ascii="微軟正黑體" w:hAnsi="微軟正黑體" w:eastAsia="微軟正黑體" w:cs="微軟正黑體"/>
      <w:color w:val="0000FF"/>
      <w:sz w:val="24"/>
      <w:szCs w:val="24"/>
    </w:rPr>
  </w:style>
  <w:style w:type="character">
    <w:name w:val="DFKai-SB18pt"/>
    <w:rPr>
      <w:rFonts w:ascii="標楷體" w:hAnsi="標楷體" w:eastAsia="標楷體" w:cs="標楷體"/>
      <w:sz w:val="36"/>
      <w:szCs w:val="36"/>
    </w:rPr>
  </w:style>
  <w:style w:type="character">
    <w:name w:val="DFKai-SB12pt"/>
    <w:rPr>
      <w:rFonts w:ascii="標楷體" w:hAnsi="標楷體" w:eastAsia="標楷體" w:cs="標楷體"/>
      <w:sz w:val="24"/>
      <w:szCs w:val="24"/>
    </w:rPr>
  </w:style>
  <w:style w:type="character">
    <w:name w:val="RedDFKai-SB12pt"/>
    <w:rPr>
      <w:rFonts w:ascii="標楷體" w:hAnsi="標楷體" w:eastAsia="標楷體" w:cs="標楷體"/>
      <w:color w:val="FF0000"/>
      <w:sz w:val="24"/>
      <w:szCs w:val="24"/>
    </w:rPr>
  </w:style>
  <w:style w:type="character">
    <w:name w:val="BlueDFKai-SB12pt"/>
    <w:rPr>
      <w:rFonts w:ascii="標楷體" w:hAnsi="標楷體" w:eastAsia="標楷體" w:cs="標楷體"/>
      <w:color w:val="0000FF"/>
      <w:sz w:val="24"/>
      <w:szCs w:val="24"/>
    </w:rPr>
  </w:style>
  <w:style w:type="table" w:customStyle="1" w:styleId="myTable">
    <w:name w:val="myTable"/>
    <w:uiPriority w:val="99"/>
    <w:tblPr>
      <w:tblW w:w="0" w:type="auto"/>
      <w:tblBorders>
        <w:top w:val="single" w:sz="15" w:color="000000"/>
        <w:left w:val="single" w:sz="15" w:color="000000"/>
        <w:right w:val="single" w:sz="15" w:color="000000"/>
        <w:bottom w:val="single" w:sz="15" w:color="000000"/>
        <w:insideH w:val="single" w:sz="1" w:color="000000"/>
        <w:insideV w:val="single" w:sz="1" w:color="000000"/>
      </w:tblBorders>
    </w:tblPr>
  </w:style>
  <w:style w:type="table" w:customStyle="1" w:styleId="outlineTable">
    <w:name w:val="outlineTable"/>
    <w:uiPriority w:val="99"/>
    <w:tblPr>
      <w:tblW w:w="0" w:type="auto"/>
      <w:tblBorders>
        <w:top w:val="single" w:sz="15" w:color="000000"/>
        <w:left w:val="single" w:sz="15" w:color="000000"/>
        <w:right w:val="single" w:sz="15" w:color="000000"/>
        <w:bottom w:val="single" w:sz="15" w:color="000000"/>
        <w:insideH w:val="single" w:sz="1" w:color="000000"/>
        <w:insideV w:val="single" w:sz="1" w:color="000000"/>
      </w:tblBorders>
    </w:tblPr>
  </w:style>
  <w:style w:type="table" w:customStyle="1" w:styleId="descriptionDataTable">
    <w:name w:val="descriptionDataTable"/>
    <w:uiPriority w:val="99"/>
    <w:tblPr>
      <w:tblW w:w="0" w:type="auto"/>
      <w:tblBorders>
        <w:top w:val="single" w:sz="15" w:color="000000"/>
        <w:left w:val="single" w:sz="15" w:color="000000"/>
        <w:right w:val="single" w:sz="15" w:color="000000"/>
        <w:bottom w:val="single" w:sz="15" w:color="000000"/>
        <w:insideH w:val="single" w:sz="1" w:color="000000"/>
        <w:insideV w:val="single" w:sz="1" w:color="000000"/>
      </w:tblBorders>
    </w:tblPr>
  </w:style>
  <w:style w:type="table" w:customStyle="1" w:styleId="syllabusDataTable">
    <w:name w:val="syllabusDataTable"/>
    <w:uiPriority w:val="99"/>
    <w:tblPr>
      <w:tblW w:w="0" w:type="auto"/>
      <w:tblBorders>
        <w:top w:val="single" w:sz="15" w:color="000000"/>
        <w:left w:val="single" w:sz="15" w:color="000000"/>
        <w:right w:val="single" w:sz="15" w:color="000000"/>
        <w:bottom w:val="single" w:sz="15" w:color="000000"/>
        <w:insideH w:val="single" w:sz="1" w:color="000000"/>
        <w:insideV w:val="single" w:sz="1" w:color="000000"/>
      </w:tblBorders>
    </w:tblPr>
  </w:style>
  <w:style w:type="table" w:customStyle="1" w:styleId="noteTable">
    <w:name w:val="noteTable"/>
    <w:uiPriority w:val="99"/>
    <w:tblPr>
      <w:tblW w:w="0" w:type="auto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NCTU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National Chiao Tung University Curriculum Management System</dc:creator>
  <dc:title>國立陽明交通大學課務管理系統之選課系統</dc:title>
  <dc:description>https://ccms.nycu.edu.tw</dc:description>
  <dc:subject/>
  <cp:keywords/>
  <cp:category/>
  <cp:lastModifiedBy>CCMS</cp:lastModifiedBy>
  <dcterms:created xsi:type="dcterms:W3CDTF">2026-03-02T17:17:44+00:00</dcterms:created>
  <dcterms:modified xsi:type="dcterms:W3CDTF">2026-03-02T17:17:44+00:00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