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rStyle w:val="MSJHBD-SB16pt"/>
        </w:rPr>
        <w:t xml:space="preserve">
          國立陽明交通大學  National Yang Ming Chiao Tung University
          <w:br/>
          114學年度 第1學期 作業系統 Operating System 課程綱要
        </w:t>
      </w:r>
    </w:p>
    <w:tbl>
      <w:tblGrid>
        <w:gridCol w:w="3000" w:type="dxa"/>
        <w:gridCol w:w="2000" w:type="dxa"/>
        <w:gridCol w:w="3000" w:type="dxa"/>
        <w:gridCol w:w="2000" w:type="dxa"/>
        <w:gridCol w:w="3000" w:type="dxa"/>
        <w:gridCol w:w="2000" w:type="dxa"/>
      </w:tblGrid>
      <w:tblPr>
        <w:tblStyle w:val="myTable"/>
      </w:tblPr>
      <w:tr>
        <w:trPr/>
        <w:tc>
          <w:tcPr>
            <w:tcW w:w="7000" w:type="dxa"/>
            <w:gridSpan w:val="4"/>
            <w:vMerge w:val="restart"/>
          </w:tcPr>
          <w:p>
            <w:pPr>
              <w:jc w:val="left"/>
            </w:pPr>
            <w:r>
              <w:rPr>
                <w:rStyle w:val="MSJHBD-SB12pt"/>
              </w:rPr>
              <w:t xml:space="preserve">
                課程名稱：
                <w:br/>
                （中文）作業系統
                <w:br/>
                （英文）Operating System
              </w:t>
            </w:r>
          </w:p>
        </w:tc>
        <w:tc>
          <w:tcPr>
            <w:tcW w:w="3000" w:type="dxa"/>
          </w:tcPr>
          <w:p>
            <w:pPr>
              <w:jc w:val="left"/>
            </w:pPr>
            <w:r>
              <w:rPr>
                <w:rStyle w:val="MSJHBD-SB12pt"/>
              </w:rPr>
              <w:t xml:space="preserve">開課單位：</w:t>
            </w:r>
          </w:p>
        </w:tc>
        <w:tc>
          <w:tcPr>
            <w:tcW w:w="3000" w:type="dxa"/>
          </w:tcPr>
          <w:p>
            <w:pPr>
              <w:jc w:val="left"/>
            </w:pPr>
            <w:r>
              <w:rPr>
                <w:rStyle w:val="BlueMSJHBD-SB12pt"/>
              </w:rPr>
              <w:t xml:space="preserve">資科工碩  </w:t>
            </w:r>
          </w:p>
        </w:tc>
      </w:tr>
      <w:tr>
        <w:trPr/>
        <w:tc>
          <w:tcPr>
            <w:tcW w:w="7000" w:type="dxa"/>
            <w:gridSpan w:val="4"/>
            <w:vMerge w:val="continue"/>
          </w:tcPr>
          <w:p/>
        </w:tc>
        <w:tc>
          <w:tcPr>
            <w:tcW w:w="3000" w:type="dxa"/>
          </w:tcPr>
          <w:p>
            <w:pPr>
              <w:jc w:val="left"/>
            </w:pPr>
            <w:r>
              <w:rPr>
                <w:rStyle w:val="MSJHBD-SB12pt"/>
              </w:rPr>
              <w:t xml:space="preserve">永久課號：</w:t>
            </w:r>
          </w:p>
        </w:tc>
        <w:tc>
          <w:tcPr>
            <w:tcW w:w="3000" w:type="dxa"/>
          </w:tcPr>
          <w:p>
            <w:pPr>
              <w:jc w:val="left"/>
            </w:pPr>
            <w:r>
              <w:rPr>
                <w:rStyle w:val="BlueMSJHBD-SB12pt"/>
              </w:rPr>
              <w:t xml:space="preserve">CSIC30015</w:t>
            </w:r>
          </w:p>
        </w:tc>
      </w:tr>
      <w:tr>
        <w:trPr/>
        <w:tc>
          <w:tcPr>
            <w:tcW w:w="7000" w:type="dxa"/>
            <w:gridSpan w:val="4"/>
            <w:vMerge w:val="continue"/>
          </w:tcPr>
          <w:p/>
        </w:tc>
        <w:tc>
          <w:tcPr>
            <w:tcW w:w="3000" w:type="dxa"/>
          </w:tcPr>
          <w:p>
            <w:pPr>
              <w:jc w:val="left"/>
            </w:pPr>
            <w:r>
              <w:rPr>
                <w:rStyle w:val="MSJHBD-SB12pt"/>
              </w:rPr>
              <w:t xml:space="preserve">上課時間/教室：</w:t>
            </w:r>
          </w:p>
        </w:tc>
        <w:tc>
          <w:tcPr>
            <w:tcW w:w="3000" w:type="dxa"/>
          </w:tcPr>
          <w:p>
            <w:pPr>
              <w:jc w:val="left"/>
            </w:pPr>
            <w:r>
              <w:rPr>
                <w:rStyle w:val="BlueMSJHBD-SB12pt"/>
              </w:rPr>
              <w:t xml:space="preserve">W34-EC122[GF]</w:t>
            </w:r>
          </w:p>
        </w:tc>
      </w:tr>
      <w:tr>
        <w:trPr/>
        <w:tc>
          <w:tcPr>
            <w:tcW w:w="13000" w:type="dxa"/>
            <w:gridSpan w:val="6"/>
          </w:tcPr>
          <w:p>
            <w:pPr>
              <w:jc w:val="left"/>
            </w:pPr>
            <w:r>
              <w:rPr>
                <w:rStyle w:val="MSJHBD-SB12pt"/>
              </w:rPr>
              <w:t xml:space="preserve">授課教師：</w:t>
            </w:r>
          </w:p>
          <w:p>
            <w:pPr>
              <w:jc w:val="left"/>
            </w:pPr>
            <w:r>
              <w:rPr>
                <w:rStyle w:val="BlueMSJHBD-SB12pt"/>
              </w:rPr>
              <w:t xml:space="preserve">吳俊峯</w:t>
            </w:r>
          </w:p>
        </w:tc>
      </w:tr>
      <w:tr>
        <w:trPr/>
        <w:tc>
          <w:tcPr>
            <w:tcW w:w="3000" w:type="dxa"/>
          </w:tcPr>
          <w:p>
            <w:pPr>
              <w:jc w:val="left"/>
            </w:pPr>
            <w:r>
              <w:rPr>
                <w:rStyle w:val="MSJHBD-SB12pt"/>
              </w:rPr>
              <w:t xml:space="preserve">學分數：</w:t>
            </w:r>
          </w:p>
        </w:tc>
        <w:tc>
          <w:tcPr>
            <w:tcW w:w="2000" w:type="dxa"/>
          </w:tcPr>
          <w:p>
            <w:pPr>
              <w:jc w:val="left"/>
            </w:pPr>
            <w:r>
              <w:rPr>
                <w:rStyle w:val="BlueMSJHBD-SB12pt"/>
              </w:rPr>
              <w:t xml:space="preserve">3.00</w:t>
            </w:r>
          </w:p>
        </w:tc>
        <w:tc>
          <w:tcPr>
            <w:tcW w:w="3000" w:type="dxa"/>
          </w:tcPr>
          <w:p>
            <w:pPr>
              <w:jc w:val="left"/>
            </w:pPr>
            <w:r>
              <w:rPr>
                <w:rStyle w:val="MSJHBD-SB12pt"/>
              </w:rPr>
              <w:t xml:space="preserve">必／選修：</w:t>
            </w:r>
          </w:p>
        </w:tc>
        <w:tc>
          <w:tcPr>
            <w:tcW w:w="2000" w:type="dxa"/>
          </w:tcPr>
          <w:p>
            <w:pPr>
              <w:jc w:val="left"/>
            </w:pPr>
            <w:r>
              <w:rPr>
                <w:rStyle w:val="BlueMSJHBD-SB12pt"/>
              </w:rPr>
              <w:t xml:space="preserve">選修</w:t>
            </w:r>
          </w:p>
        </w:tc>
        <w:tc>
          <w:tcPr>
            <w:tcW w:w="3000" w:type="dxa"/>
          </w:tcPr>
          <w:p>
            <w:pPr>
              <w:jc w:val="left"/>
            </w:pPr>
            <w:r>
              <w:rPr>
                <w:rStyle w:val="MSJHBD-SB12pt"/>
              </w:rPr>
              <w:t xml:space="preserve">開課年級：</w:t>
            </w:r>
          </w:p>
        </w:tc>
        <w:tc>
          <w:tcPr>
            <w:tcW w:w="2000" w:type="dxa"/>
          </w:tcPr>
          <w:p>
            <w:pPr>
              <w:jc w:val="left"/>
            </w:pPr>
            <w:r>
              <w:rPr>
                <w:rStyle w:val="BlueMSJHBD-SB12pt"/>
              </w:rPr>
              <w:t xml:space="preserve">*</w:t>
            </w:r>
          </w:p>
        </w:tc>
      </w:tr>
      <w:tr>
        <w:trPr/>
        <w:tc>
          <w:tcPr>
            <w:tcW w:w="13000" w:type="dxa"/>
            <w:gridSpan w:val="6"/>
          </w:tcPr>
          <w:p>
            <w:pPr>
              <w:jc w:val="left"/>
            </w:pPr>
            <w:r>
              <w:rPr>
                <w:rStyle w:val="MSJHBD-SB12pt"/>
              </w:rPr>
              <w:t xml:space="preserve">先修科目或先備能力：</w:t>
            </w:r>
          </w:p>
          <w:p>
            <w:pPr>
              <w:jc w:val="left"/>
            </w:pPr>
            <w:r>
              <w:rPr>
                <w:rStyle w:val="BlueMSJHBD-SB12pt"/>
              </w:rPr>
              <w:t xml:space="preserve">Welcome beginners!</w:t>
            </w:r>
          </w:p>
        </w:tc>
      </w:tr>
      <w:tr>
        <w:trPr/>
        <w:tc>
          <w:tcPr>
            <w:tcW w:w="13000" w:type="dxa"/>
            <w:gridSpan w:val="6"/>
          </w:tcPr>
          <w:p>
            <w:pPr>
              <w:jc w:val="left"/>
            </w:pPr>
            <w:r>
              <w:rPr>
                <w:rStyle w:val="MSJHBD-SB12pt"/>
              </w:rPr>
              <w:t xml:space="preserve">課程概述與目標：</w:t>
            </w:r>
          </w:p>
          <w:p>
            <w:pPr>
              <w:jc w:val="left"/>
            </w:pPr>
            <w:r>
              <w:rPr>
                <w:rStyle w:val="BlueMSJHBD-SB12pt"/>
              </w:rPr>
              <w:t xml:space="preserve">This course is an advanced version of the undergraduate course "Introduction to Operating System". Generally,  most topics are the same as those of the undergraduate counterpart, but we will dive deeper to explore how are those topics implemented in Linux and what is the trend or challenge for each topic. For each topic, we will revisit key concepts provided in the undergraduate OS, and then move to advanced topics, mostly from selected papers. We will also have some hands-on projects on Linux, such as playing with kernel system call and CPU scheduling.</w:t>
            </w:r>
          </w:p>
        </w:tc>
      </w:tr>
      <w:tr>
        <w:trPr/>
        <w:tc>
          <w:tcPr>
            <w:tcW w:w="5000" w:type="dxa"/>
            <w:gridSpan w:val="2"/>
          </w:tcPr>
          <w:p>
            <w:pPr>
              <w:jc w:val="left"/>
            </w:pPr>
            <w:r>
              <w:rPr>
                <w:rStyle w:val="MSJHBD-SB12pt"/>
              </w:rPr>
              <w:t xml:space="preserve">教科書（請註明書名、作者、出版社、出版年等資訊）：</w:t>
            </w:r>
          </w:p>
        </w:tc>
        <w:tc>
          <w:tcPr>
            <w:tcW w:w="5000" w:type="dxa"/>
            <w:gridSpan w:val="4"/>
          </w:tcPr>
          <w:p>
            <w:pPr>
              <w:jc w:val="left"/>
            </w:pPr>
            <w:r>
              <w:rPr>
                <w:rStyle w:val="BlueMSJHBD-SB12pt"/>
              </w:rPr>
              <w:t xml:space="preserve">1.	Linux Kernel Development (3rd Edition), by Robert Love</w:t>
              <w:br/>
              <w:t>
2.	Professional Linux Kernel Architecture, by Wolfgang Mauerer</w:t>
              <w:br/>
              <w:t>
3.	Top System Conference Venues: USENIX OSDI, USENIX NSDI, USENIX FAST, USENIX ATC, ACM/IEEE ISCA, IEEE MICRO, IEEE HPCA, ASPOLOS</w:t>
              <w:br/>
              <w:t>
</w:t>
            </w:r>
          </w:p>
        </w:tc>
      </w:tr>
    </w:tbl>
    <w:tbl>
      <w:tblGrid>
        <w:gridCol w:w="3000" w:type="dxa"/>
        <w:gridCol w:w="3000" w:type="dxa"/>
        <w:gridCol w:w="1000" w:type="dxa"/>
        <w:gridCol w:w="1000" w:type="dxa"/>
        <w:gridCol w:w="1000" w:type="dxa"/>
        <w:gridCol w:w="1000" w:type="dxa"/>
        <w:gridCol w:w="3000" w:type="dxa"/>
      </w:tblGrid>
      <w:tblPr>
        <w:tblStyle w:val="outlineTable"/>
      </w:tblPr>
      <w:tr>
        <w:trPr/>
        <w:tc>
          <w:tcPr>
            <w:tcW w:w="8000" w:type="dxa"/>
            <w:gridSpan w:val="2"/>
          </w:tcPr>
          <w:p>
            <w:pPr>
              <w:jc w:val="center"/>
            </w:pPr>
            <w:r>
              <w:rPr>
                <w:rStyle w:val="MSJHBD-SB12pt"/>
              </w:rPr>
              <w:t xml:space="preserve">課程大網</w:t>
            </w:r>
          </w:p>
        </w:tc>
        <w:tc>
          <w:tcPr>
            <w:tcW w:w="2000" w:type="dxa"/>
            <w:gridSpan w:val="4"/>
          </w:tcPr>
          <w:p>
            <w:pPr>
              <w:jc w:val="center"/>
            </w:pPr>
            <w:r>
              <w:rPr>
                <w:rStyle w:val="MSJHBD-SB12pt"/>
              </w:rPr>
              <w:t xml:space="preserve">分配時數</w:t>
            </w:r>
          </w:p>
        </w:tc>
        <w:tc>
          <w:tcPr>
            <w:tcW w:w="3000" w:type="dxa"/>
            <w:vMerge w:val="restart"/>
          </w:tcPr>
          <w:p>
            <w:pPr>
              <w:jc w:val="center"/>
            </w:pPr>
            <w:r>
              <w:rPr>
                <w:rStyle w:val="MSJHBD-SB12pt"/>
              </w:rPr>
              <w:t xml:space="preserve">備註</w:t>
            </w:r>
          </w:p>
        </w:tc>
      </w:tr>
      <w:tr>
        <w:trPr/>
        <w:tc>
          <w:tcPr>
            <w:tcW w:w="3000" w:type="dxa"/>
          </w:tcPr>
          <w:p>
            <w:pPr>
              <w:jc w:val="center"/>
            </w:pPr>
            <w:r>
              <w:rPr>
                <w:rStyle w:val="MSJHBD-SB12pt"/>
              </w:rPr>
              <w:t xml:space="preserve">單元主題</w:t>
            </w:r>
          </w:p>
        </w:tc>
        <w:tc>
          <w:tcPr>
            <w:tcW w:w="3000" w:type="dxa"/>
          </w:tcPr>
          <w:p>
            <w:pPr>
              <w:jc w:val="center"/>
            </w:pPr>
            <w:r>
              <w:rPr>
                <w:rStyle w:val="MSJHBD-SB12pt"/>
              </w:rPr>
              <w:t xml:space="preserve">內容綱要</w:t>
            </w:r>
          </w:p>
        </w:tc>
        <w:tc>
          <w:tcPr>
            <w:tcW w:w="1000" w:type="dxa"/>
          </w:tcPr>
          <w:p>
            <w:pPr>
              <w:jc w:val="center"/>
            </w:pPr>
            <w:r>
              <w:rPr>
                <w:rStyle w:val="MSJHBD-SB12pt"/>
              </w:rPr>
              <w:t xml:space="preserve">講授</w:t>
            </w:r>
          </w:p>
        </w:tc>
        <w:tc>
          <w:tcPr>
            <w:tcW w:w="1000" w:type="dxa"/>
          </w:tcPr>
          <w:p>
            <w:pPr>
              <w:jc w:val="center"/>
            </w:pPr>
            <w:r>
              <w:rPr>
                <w:rStyle w:val="MSJHBD-SB12pt"/>
              </w:rPr>
              <w:t xml:space="preserve">示範</w:t>
            </w:r>
          </w:p>
        </w:tc>
        <w:tc>
          <w:tcPr>
            <w:tcW w:w="1000" w:type="dxa"/>
          </w:tcPr>
          <w:p>
            <w:pPr>
              <w:jc w:val="center"/>
            </w:pPr>
            <w:r>
              <w:rPr>
                <w:rStyle w:val="MSJHBD-SB12pt"/>
              </w:rPr>
              <w:t xml:space="preserve">習作</w:t>
            </w:r>
          </w:p>
        </w:tc>
        <w:tc>
          <w:tcPr>
            <w:tcW w:w="1000" w:type="dxa"/>
          </w:tcPr>
          <w:p>
            <w:pPr>
              <w:jc w:val="center"/>
            </w:pPr>
            <w:r>
              <w:rPr>
                <w:rStyle w:val="MSJHBD-SB12pt"/>
              </w:rPr>
              <w:t xml:space="preserve">其他</w:t>
            </w:r>
          </w:p>
        </w:tc>
        <w:tc>
          <w:tcPr>
            <w:tcW w:w="3000" w:type="dxa"/>
            <w:vMerge w:val="continue"/>
          </w:tcPr>
          <w:p>
            <w:pPr>
              <w:jc w:val="center"/>
            </w:pPr>
            <w:r>
              <w:rPr>
                <w:rStyle w:val="MSJHBD-SB12pt"/>
              </w:rPr>
              <w:t xml:space="preserve"/>
            </w:r>
          </w:p>
        </w:tc>
      </w:tr>
    </w:tbl>
    <w:tbl>
      <w:tblGrid>
        <w:gridCol w:w="2000" w:type="dxa"/>
        <w:gridCol w:w="5000" w:type="dxa"/>
        <w:gridCol w:w="2000" w:type="dxa"/>
        <w:gridCol w:w="4000" w:type="dxa"/>
      </w:tblGrid>
      <w:tblPr>
        <w:tblStyle w:val="descriptionDataTable"/>
      </w:tblPr>
      <w:tr>
        <w:trPr/>
        <w:tc>
          <w:tcPr>
            <w:tcW w:w="13000" w:type="dxa"/>
            <w:gridSpan w:val="4"/>
          </w:tcPr>
          <w:p>
            <w:pPr>
              <w:jc w:val="left"/>
            </w:pPr>
            <w:r>
              <w:rPr>
                <w:rStyle w:val="MSJHBD-SB12pt"/>
              </w:rPr>
              <w:t xml:space="preserve">教學要點概述：</w:t>
            </w:r>
          </w:p>
        </w:tc>
      </w:tr>
      <w:tr>
        <w:trPr/>
        <w:tc>
          <w:tcPr>
            <w:tcW w:w="13000" w:type="dxa"/>
            <w:gridSpan w:val="4"/>
          </w:tcPr>
          <w:p>
            <w:pPr>
              <w:jc w:val="left"/>
            </w:pPr>
            <w:r>
              <w:rPr>
                <w:rStyle w:val="MSJHBD-SB12pt"/>
              </w:rPr>
              <w:t xml:space="preserve">1.學期作業、考試、評量：</w:t>
            </w:r>
          </w:p>
          <w:p>
            <w:pPr>
              <w:jc w:val="left"/>
            </w:pPr>
            <w:r>
              <w:rPr>
                <w:rStyle w:val="BlueMSJHBD-SB12pt"/>
              </w:rPr>
              <w:t xml:space="preserve">(tentative, subject to change without notice)</w:t>
              <w:br/>
              <w:t>
midterm - 20%</w:t>
              <w:br/>
              <w:t>
final - 30%</w:t>
              <w:br/>
              <w:t>
paper presentations -20%</w:t>
              <w:br/>
              <w:t>
hands-on projects -30%</w:t>
              <w:br/>
              <w:t>
attendance, class participation, etc. - 5%</w:t>
              <w:br/>
              <w:t>
</w:t>
            </w:r>
          </w:p>
          <w:p>
            <w:pPr>
              <w:jc w:val="left"/>
            </w:pPr>
            <w:r>
              <w:rPr>
                <w:rStyle w:val="MSJHBD-SB12pt"/>
              </w:rPr>
              <w:t xml:space="preserve">2.教學方法及教學相關配合事項（如助教、網站或圖書及資料庫等）</w:t>
            </w:r>
          </w:p>
          <w:p>
            <w:pPr>
              <w:jc w:val="left"/>
            </w:pPr>
            <w:r>
              <w:rPr>
                <w:rStyle w:val="BlueMSJHBD-SB12pt"/>
              </w:rPr>
              <w:t xml:space="preserve"/>
            </w:r>
          </w:p>
        </w:tc>
      </w:tr>
      <w:tr>
        <w:trPr/>
        <w:tc>
          <w:tcPr>
            <w:tcW w:w="2000" w:type="dxa"/>
            <w:vMerge w:val="restart"/>
          </w:tcPr>
          <w:p>
            <w:pPr>
              <w:jc w:val="left"/>
            </w:pPr>
            <w:r>
              <w:rPr>
                <w:rStyle w:val="MSJHBD-SB12pt"/>
              </w:rPr>
              <w:t xml:space="preserve">師生晤談</w:t>
            </w:r>
          </w:p>
        </w:tc>
        <w:tc>
          <w:tcPr>
            <w:tcW w:w="5000" w:type="dxa"/>
          </w:tcPr>
          <w:p>
            <w:pPr>
              <w:jc w:val="left"/>
            </w:pPr>
            <w:r>
              <w:rPr>
                <w:rStyle w:val="MSJHBD-SB12pt"/>
              </w:rPr>
              <w:t xml:space="preserve">排定時間</w:t>
            </w:r>
          </w:p>
        </w:tc>
        <w:tc>
          <w:tcPr>
            <w:tcW w:w="2000" w:type="dxa"/>
          </w:tcPr>
          <w:p>
            <w:pPr>
              <w:jc w:val="left"/>
            </w:pPr>
            <w:r>
              <w:rPr>
                <w:rStyle w:val="MSJHBD-SB12pt"/>
              </w:rPr>
              <w:t xml:space="preserve">地點</w:t>
            </w:r>
          </w:p>
        </w:tc>
        <w:tc>
          <w:tcPr>
            <w:tcW w:w="4000" w:type="dxa"/>
          </w:tcPr>
          <w:p>
            <w:pPr>
              <w:jc w:val="left"/>
            </w:pPr>
            <w:r>
              <w:rPr>
                <w:rStyle w:val="MSJHBD-SB12pt"/>
              </w:rPr>
              <w:t xml:space="preserve">聯絡方式</w:t>
            </w:r>
          </w:p>
        </w:tc>
      </w:tr>
      <w:tr>
        <w:trPr/>
        <w:tc>
          <w:tcPr>
            <w:tcW w:w="2000" w:type="dxa"/>
            <w:vMerge w:val="continue"/>
          </w:tcPr>
          <w:p>
            <w:pPr>
              <w:jc w:val="left"/>
            </w:pPr>
            <w:r>
              <w:rPr>
                <w:rStyle w:val="MSJHBD-SB12pt"/>
              </w:rPr>
              <w:t xml:space="preserve"/>
            </w:r>
          </w:p>
        </w:tc>
        <w:tc>
          <w:tcPr>
            <w:tcW w:w="5000" w:type="dxa"/>
          </w:tcPr>
          <w:p>
            <w:pPr>
              <w:jc w:val="left"/>
            </w:pPr>
            <w:r>
              <w:rPr>
                <w:rStyle w:val="BlueMSJHBD-SB12pt"/>
              </w:rPr>
              <w:t xml:space="preserve">TBA</w:t>
            </w:r>
          </w:p>
        </w:tc>
        <w:tc>
          <w:tcPr>
            <w:tcW w:w="2000" w:type="dxa"/>
          </w:tcPr>
          <w:p>
            <w:pPr>
              <w:jc w:val="left"/>
            </w:pPr>
            <w:r>
              <w:rPr>
                <w:rStyle w:val="BlueMSJHBD-SB12pt"/>
              </w:rPr>
              <w:t xml:space="preserve">TBA</w:t>
            </w:r>
          </w:p>
        </w:tc>
        <w:tc>
          <w:tcPr>
            <w:tcW w:w="4000" w:type="dxa"/>
          </w:tcPr>
          <w:p>
            <w:pPr>
              <w:jc w:val="left"/>
            </w:pPr>
            <w:r>
              <w:rPr>
                <w:rStyle w:val="BlueMSJHBD-SB12pt"/>
              </w:rPr>
              <w:t xml:space="preserve">TBA</w:t>
            </w:r>
          </w:p>
        </w:tc>
      </w:tr>
    </w:tbl>
    <w:tbl>
      <w:tblGrid>
        <w:gridCol w:w="500" w:type="dxa"/>
        <w:gridCol w:w="2500" w:type="dxa"/>
        <w:gridCol w:w="7000" w:type="dxa"/>
        <w:gridCol w:w="500" w:type="dxa"/>
      </w:tblGrid>
      <w:tblPr>
        <w:tblStyle w:val="syllabusDataTable"/>
      </w:tblPr>
      <w:tr>
        <w:trPr/>
        <w:tc>
          <w:tcPr>
            <w:tcW w:w="13000" w:type="dxa"/>
            <w:gridSpan w:val="4"/>
          </w:tcPr>
          <w:p>
            <w:pPr>
              <w:jc w:val="left"/>
            </w:pPr>
            <w:r>
              <w:rPr>
                <w:rStyle w:val="MSJHBD-SB12pt"/>
              </w:rPr>
              <w:t xml:space="preserve">每週進度表</w:t>
            </w:r>
          </w:p>
        </w:tc>
      </w:tr>
      <w:tr>
        <w:trPr/>
        <w:tc>
          <w:tcPr>
            <w:tcW w:w="500" w:type="dxa"/>
          </w:tcPr>
          <w:p>
            <w:pPr>
              <w:jc w:val="center"/>
            </w:pPr>
            <w:r>
              <w:rPr>
                <w:rStyle w:val="MSJHBD-SB12pt"/>
              </w:rPr>
              <w:t xml:space="preserve">週次</w:t>
            </w:r>
          </w:p>
        </w:tc>
        <w:tc>
          <w:tcPr>
            <w:tcW w:w="2500" w:type="dxa"/>
          </w:tcPr>
          <w:p>
            <w:pPr>
              <w:jc w:val="center"/>
            </w:pPr>
            <w:r>
              <w:rPr>
                <w:rStyle w:val="MSJHBD-SB12pt"/>
              </w:rPr>
              <w:t xml:space="preserve">上課日期</w:t>
            </w:r>
          </w:p>
        </w:tc>
        <w:tc>
          <w:tcPr>
            <w:tcW w:w="7000" w:type="dxa"/>
          </w:tcPr>
          <w:p>
            <w:pPr>
              <w:jc w:val="center"/>
            </w:pPr>
            <w:r>
              <w:rPr>
                <w:rStyle w:val="MSJHBD-SB12pt"/>
              </w:rPr>
              <w:t xml:space="preserve">課程進度、內容、主題</w:t>
            </w:r>
          </w:p>
        </w:tc>
        <w:tc>
          <w:tcPr>
            <w:tcW w:w="500" w:type="dxa"/>
          </w:tcPr>
          <w:p>
            <w:pPr>
              <w:jc w:val="center"/>
            </w:pPr>
            <w:r>
              <w:rPr>
                <w:rStyle w:val="MSJHBD-SB12pt"/>
              </w:rPr>
              <w:t xml:space="preserve">教師授課時數</w:t>
            </w:r>
          </w:p>
        </w:tc>
      </w:tr>
      <w:tr>
        <w:trPr/>
        <w:tc>
          <w:tcPr>
            <w:tcW w:w="500" w:type="dxa"/>
          </w:tcPr>
          <w:p>
            <w:pPr>
              <w:jc w:val="center"/>
            </w:pPr>
            <w:r>
              <w:rPr>
                <w:rStyle w:val="BlueMSJHBD-SB12pt"/>
              </w:rPr>
              <w:t xml:space="preserve">1</w:t>
            </w:r>
          </w:p>
        </w:tc>
        <w:tc>
          <w:tcPr>
            <w:tcW w:w="2500" w:type="dxa"/>
          </w:tcPr>
          <w:p>
            <w:pPr>
              <w:jc w:val="left"/>
            </w:pPr>
            <w:r>
              <w:rPr>
                <w:rStyle w:val="BlueMSJHBD-SB12pt"/>
              </w:rPr>
              <w:t xml:space="preserve">2025-09-03(三)</w:t>
            </w:r>
          </w:p>
        </w:tc>
        <w:tc>
          <w:tcPr>
            <w:tcW w:w="7000" w:type="dxa"/>
          </w:tcPr>
          <w:p>
            <w:pPr>
              <w:jc w:val="left"/>
            </w:pPr>
            <w:r>
              <w:rPr>
                <w:rStyle w:val="BlueMSJHBD-SB12pt"/>
              </w:rPr>
              <w:t xml:space="preserve">Course Introduction</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2</w:t>
            </w:r>
          </w:p>
        </w:tc>
        <w:tc>
          <w:tcPr>
            <w:tcW w:w="2500" w:type="dxa"/>
          </w:tcPr>
          <w:p>
            <w:pPr>
              <w:jc w:val="left"/>
            </w:pPr>
            <w:r>
              <w:rPr>
                <w:rStyle w:val="BlueMSJHBD-SB12pt"/>
              </w:rPr>
              <w:t xml:space="preserve">2025-09-10(三)</w:t>
            </w:r>
          </w:p>
        </w:tc>
        <w:tc>
          <w:tcPr>
            <w:tcW w:w="7000" w:type="dxa"/>
          </w:tcPr>
          <w:p>
            <w:pPr>
              <w:jc w:val="left"/>
            </w:pPr>
            <w:r>
              <w:rPr>
                <w:rStyle w:val="BlueMSJHBD-SB12pt"/>
              </w:rPr>
              <w:t xml:space="preserve">Operating Systems a Recap ＆amp;amp</w:t>
              <w:br/>
              <w:t>
		#x0B＆amp;#x0D</w:t>
              <w:br/>
              <w:t>
		</w:t>
              <w:br/>
              <w:t>
		＆amp;amp</w:t>
              <w:br/>
              <w:t>
		amp＆amp;#x0D</w:t>
              <w:br/>
              <w:t>
		</w:t>
              <w:br/>
              <w:t>
		 Challenges</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3</w:t>
            </w:r>
          </w:p>
        </w:tc>
        <w:tc>
          <w:tcPr>
            <w:tcW w:w="2500" w:type="dxa"/>
          </w:tcPr>
          <w:p>
            <w:pPr>
              <w:jc w:val="left"/>
            </w:pPr>
            <w:r>
              <w:rPr>
                <w:rStyle w:val="BlueMSJHBD-SB12pt"/>
              </w:rPr>
              <w:t xml:space="preserve">2025-09-17(三)</w:t>
            </w:r>
          </w:p>
        </w:tc>
        <w:tc>
          <w:tcPr>
            <w:tcW w:w="7000" w:type="dxa"/>
          </w:tcPr>
          <w:p>
            <w:pPr>
              <w:jc w:val="left"/>
            </w:pPr>
            <w:r>
              <w:rPr>
                <w:rStyle w:val="BlueMSJHBD-SB12pt"/>
              </w:rPr>
              <w:t xml:space="preserve">Process ＆amp;amp</w:t>
              <w:br/>
              <w:t>
		amp＆amp;#x0D</w:t>
              <w:br/>
              <w:t>
		</w:t>
              <w:br/>
              <w:t>
		 CPU Scheduling: Process ＆amp;amp</w:t>
              <w:br/>
              <w:t>
		amp＆amp;#x0D</w:t>
              <w:br/>
              <w:t>
		</w:t>
              <w:br/>
              <w:t>
		 CPU Scheduling </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4</w:t>
            </w:r>
          </w:p>
        </w:tc>
        <w:tc>
          <w:tcPr>
            <w:tcW w:w="2500" w:type="dxa"/>
          </w:tcPr>
          <w:p>
            <w:pPr>
              <w:jc w:val="left"/>
            </w:pPr>
            <w:r>
              <w:rPr>
                <w:rStyle w:val="BlueMSJHBD-SB12pt"/>
              </w:rPr>
              <w:t xml:space="preserve">2025-09-24(三)</w:t>
            </w:r>
          </w:p>
        </w:tc>
        <w:tc>
          <w:tcPr>
            <w:tcW w:w="7000" w:type="dxa"/>
          </w:tcPr>
          <w:p>
            <w:pPr>
              <w:jc w:val="left"/>
            </w:pPr>
            <w:r>
              <w:rPr>
                <w:rStyle w:val="BlueMSJHBD-SB12pt"/>
              </w:rPr>
              <w:t xml:space="preserve">Process ＆amp;amp</w:t>
              <w:br/>
              <w:t>
		amp＆amp;#x0D</w:t>
              <w:br/>
              <w:t>
		</w:t>
              <w:br/>
              <w:t>
		 CPU Scheduling: CPU Scheduling, Interrupts</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5</w:t>
            </w:r>
          </w:p>
        </w:tc>
        <w:tc>
          <w:tcPr>
            <w:tcW w:w="2500" w:type="dxa"/>
          </w:tcPr>
          <w:p>
            <w:pPr>
              <w:jc w:val="left"/>
            </w:pPr>
            <w:r>
              <w:rPr>
                <w:rStyle w:val="BlueMSJHBD-SB12pt"/>
              </w:rPr>
              <w:t xml:space="preserve">2025-10-01(三)</w:t>
            </w:r>
          </w:p>
        </w:tc>
        <w:tc>
          <w:tcPr>
            <w:tcW w:w="7000" w:type="dxa"/>
          </w:tcPr>
          <w:p>
            <w:pPr>
              <w:jc w:val="left"/>
            </w:pPr>
            <w:r>
              <w:rPr>
                <w:rStyle w:val="BlueMSJHBD-SB12pt"/>
              </w:rPr>
              <w:t xml:space="preserve">Main Memory Management: Memory Hierarchy, Virtual Memory, Paging, Buddy System</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6</w:t>
            </w:r>
          </w:p>
        </w:tc>
        <w:tc>
          <w:tcPr>
            <w:tcW w:w="2500" w:type="dxa"/>
          </w:tcPr>
          <w:p>
            <w:pPr>
              <w:jc w:val="left"/>
            </w:pPr>
            <w:r>
              <w:rPr>
                <w:rStyle w:val="BlueMSJHBD-SB12pt"/>
              </w:rPr>
              <w:t xml:space="preserve">2025-10-08(三)</w:t>
            </w:r>
          </w:p>
        </w:tc>
        <w:tc>
          <w:tcPr>
            <w:tcW w:w="7000" w:type="dxa"/>
          </w:tcPr>
          <w:p>
            <w:pPr>
              <w:jc w:val="left"/>
            </w:pPr>
            <w:r>
              <w:rPr>
                <w:rStyle w:val="BlueMSJHBD-SB12pt"/>
              </w:rPr>
              <w:t xml:space="preserve">Holiday Week, No Class</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7</w:t>
            </w:r>
          </w:p>
        </w:tc>
        <w:tc>
          <w:tcPr>
            <w:tcW w:w="2500" w:type="dxa"/>
          </w:tcPr>
          <w:p>
            <w:pPr>
              <w:jc w:val="left"/>
            </w:pPr>
            <w:r>
              <w:rPr>
                <w:rStyle w:val="BlueMSJHBD-SB12pt"/>
              </w:rPr>
              <w:t xml:space="preserve">2025-10-15(三)</w:t>
            </w:r>
          </w:p>
        </w:tc>
        <w:tc>
          <w:tcPr>
            <w:tcW w:w="7000" w:type="dxa"/>
          </w:tcPr>
          <w:p>
            <w:pPr>
              <w:jc w:val="left"/>
            </w:pPr>
            <w:r>
              <w:rPr>
                <w:rStyle w:val="BlueMSJHBD-SB12pt"/>
              </w:rPr>
              <w:t xml:space="preserve">Advanced Main Memory Management: Rethink context switch, Rethink process scheduler, OS-Controlled Memory ＆amp;amp</w:t>
              <w:br/>
              <w:t>
		amp＆amp;#x0D</w:t>
              <w:br/>
              <w:t>
		</w:t>
              <w:br/>
              <w:t>
		 Hardware-Controlled Memory Extension</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8</w:t>
            </w:r>
          </w:p>
        </w:tc>
        <w:tc>
          <w:tcPr>
            <w:tcW w:w="2500" w:type="dxa"/>
          </w:tcPr>
          <w:p>
            <w:pPr>
              <w:jc w:val="left"/>
            </w:pPr>
            <w:r>
              <w:rPr>
                <w:rStyle w:val="BlueMSJHBD-SB12pt"/>
              </w:rPr>
              <w:t xml:space="preserve">2025-10-22(三)</w:t>
            </w:r>
          </w:p>
        </w:tc>
        <w:tc>
          <w:tcPr>
            <w:tcW w:w="7000" w:type="dxa"/>
          </w:tcPr>
          <w:p>
            <w:pPr>
              <w:jc w:val="left"/>
            </w:pPr>
            <w:r>
              <w:rPr>
                <w:rStyle w:val="BlueMSJHBD-SB12pt"/>
              </w:rPr>
              <w:t xml:space="preserve">Midterm Exam</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9</w:t>
            </w:r>
          </w:p>
        </w:tc>
        <w:tc>
          <w:tcPr>
            <w:tcW w:w="2500" w:type="dxa"/>
          </w:tcPr>
          <w:p>
            <w:pPr>
              <w:jc w:val="left"/>
            </w:pPr>
            <w:r>
              <w:rPr>
                <w:rStyle w:val="BlueMSJHBD-SB12pt"/>
              </w:rPr>
              <w:t xml:space="preserve">2025-10-29(三)</w:t>
            </w:r>
          </w:p>
        </w:tc>
        <w:tc>
          <w:tcPr>
            <w:tcW w:w="7000" w:type="dxa"/>
          </w:tcPr>
          <w:p>
            <w:pPr>
              <w:jc w:val="left"/>
            </w:pPr>
            <w:r>
              <w:rPr>
                <w:rStyle w:val="BlueMSJHBD-SB12pt"/>
              </w:rPr>
              <w:t xml:space="preserve">I/O Devices ＆amp;amp</w:t>
              <w:br/>
              <w:t>
		amp＆amp;#x0D</w:t>
              <w:br/>
              <w:t>
		</w:t>
              <w:br/>
              <w:t>
		 Device Driver: HDD, SSD, SMR, Block I/O Layer</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10</w:t>
            </w:r>
          </w:p>
        </w:tc>
        <w:tc>
          <w:tcPr>
            <w:tcW w:w="2500" w:type="dxa"/>
          </w:tcPr>
          <w:p>
            <w:pPr>
              <w:jc w:val="left"/>
            </w:pPr>
            <w:r>
              <w:rPr>
                <w:rStyle w:val="BlueMSJHBD-SB12pt"/>
              </w:rPr>
              <w:t xml:space="preserve">2025-11-05(三)</w:t>
            </w:r>
          </w:p>
        </w:tc>
        <w:tc>
          <w:tcPr>
            <w:tcW w:w="7000" w:type="dxa"/>
          </w:tcPr>
          <w:p>
            <w:pPr>
              <w:jc w:val="left"/>
            </w:pPr>
            <w:r>
              <w:rPr>
                <w:rStyle w:val="BlueMSJHBD-SB12pt"/>
              </w:rPr>
              <w:t xml:space="preserve">I/O Devices ＆amp;amp</w:t>
              <w:br/>
              <w:t>
		amp＆amp;#x0D</w:t>
              <w:br/>
              <w:t>
		</w:t>
              <w:br/>
              <w:t>
		 Device Driver: HDD, SSD, SMR, Block I/O Layer</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11</w:t>
            </w:r>
          </w:p>
        </w:tc>
        <w:tc>
          <w:tcPr>
            <w:tcW w:w="2500" w:type="dxa"/>
          </w:tcPr>
          <w:p>
            <w:pPr>
              <w:jc w:val="left"/>
            </w:pPr>
            <w:r>
              <w:rPr>
                <w:rStyle w:val="BlueMSJHBD-SB12pt"/>
              </w:rPr>
              <w:t xml:space="preserve">2025-11-12(三)</w:t>
            </w:r>
          </w:p>
        </w:tc>
        <w:tc>
          <w:tcPr>
            <w:tcW w:w="7000" w:type="dxa"/>
          </w:tcPr>
          <w:p>
            <w:pPr>
              <w:jc w:val="left"/>
            </w:pPr>
            <w:r>
              <w:rPr>
                <w:rStyle w:val="BlueMSJHBD-SB12pt"/>
              </w:rPr>
              <w:t xml:space="preserve">File System: Virtual File System</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12</w:t>
            </w:r>
          </w:p>
        </w:tc>
        <w:tc>
          <w:tcPr>
            <w:tcW w:w="2500" w:type="dxa"/>
          </w:tcPr>
          <w:p>
            <w:pPr>
              <w:jc w:val="left"/>
            </w:pPr>
            <w:r>
              <w:rPr>
                <w:rStyle w:val="BlueMSJHBD-SB12pt"/>
              </w:rPr>
              <w:t xml:space="preserve">2025-11-19(三)</w:t>
            </w:r>
          </w:p>
        </w:tc>
        <w:tc>
          <w:tcPr>
            <w:tcW w:w="7000" w:type="dxa"/>
          </w:tcPr>
          <w:p>
            <w:pPr>
              <w:jc w:val="left"/>
            </w:pPr>
            <w:r>
              <w:rPr>
                <w:rStyle w:val="BlueMSJHBD-SB12pt"/>
              </w:rPr>
              <w:t xml:space="preserve">File System: Virtual File System</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13</w:t>
            </w:r>
          </w:p>
        </w:tc>
        <w:tc>
          <w:tcPr>
            <w:tcW w:w="2500" w:type="dxa"/>
          </w:tcPr>
          <w:p>
            <w:pPr>
              <w:jc w:val="left"/>
            </w:pPr>
            <w:r>
              <w:rPr>
                <w:rStyle w:val="BlueMSJHBD-SB12pt"/>
              </w:rPr>
              <w:t xml:space="preserve">2025-11-26(三)</w:t>
            </w:r>
          </w:p>
        </w:tc>
        <w:tc>
          <w:tcPr>
            <w:tcW w:w="7000" w:type="dxa"/>
          </w:tcPr>
          <w:p>
            <w:pPr>
              <w:jc w:val="left"/>
            </w:pPr>
            <w:r>
              <w:rPr>
                <w:rStyle w:val="BlueMSJHBD-SB12pt"/>
              </w:rPr>
              <w:t xml:space="preserve">File System: Organization, Interface and Implementations</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14</w:t>
            </w:r>
          </w:p>
        </w:tc>
        <w:tc>
          <w:tcPr>
            <w:tcW w:w="2500" w:type="dxa"/>
          </w:tcPr>
          <w:p>
            <w:pPr>
              <w:jc w:val="left"/>
            </w:pPr>
            <w:r>
              <w:rPr>
                <w:rStyle w:val="BlueMSJHBD-SB12pt"/>
              </w:rPr>
              <w:t xml:space="preserve">2025-12-03(三)</w:t>
            </w:r>
          </w:p>
        </w:tc>
        <w:tc>
          <w:tcPr>
            <w:tcW w:w="7000" w:type="dxa"/>
          </w:tcPr>
          <w:p>
            <w:pPr>
              <w:jc w:val="left"/>
            </w:pPr>
            <w:r>
              <w:rPr>
                <w:rStyle w:val="BlueMSJHBD-SB12pt"/>
              </w:rPr>
              <w:t xml:space="preserve">Break, No Class</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15</w:t>
            </w:r>
          </w:p>
        </w:tc>
        <w:tc>
          <w:tcPr>
            <w:tcW w:w="2500" w:type="dxa"/>
          </w:tcPr>
          <w:p>
            <w:pPr>
              <w:jc w:val="left"/>
            </w:pPr>
            <w:r>
              <w:rPr>
                <w:rStyle w:val="BlueMSJHBD-SB12pt"/>
              </w:rPr>
              <w:t xml:space="preserve">2025-12-10(三)</w:t>
            </w:r>
          </w:p>
        </w:tc>
        <w:tc>
          <w:tcPr>
            <w:tcW w:w="7000" w:type="dxa"/>
          </w:tcPr>
          <w:p>
            <w:pPr>
              <w:jc w:val="left"/>
            </w:pPr>
            <w:r>
              <w:rPr>
                <w:rStyle w:val="BlueMSJHBD-SB12pt"/>
              </w:rPr>
              <w:t xml:space="preserve">Advanced Topic: In-Memory File System ＆amp;amp</w:t>
              <w:br/>
              <w:t>
		amp＆amp;#x0D</w:t>
              <w:br/>
              <w:t>
		</w:t>
              <w:br/>
              <w:t>
		 Key-Value Databases</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16</w:t>
            </w:r>
          </w:p>
        </w:tc>
        <w:tc>
          <w:tcPr>
            <w:tcW w:w="2500" w:type="dxa"/>
          </w:tcPr>
          <w:p>
            <w:pPr>
              <w:jc w:val="left"/>
            </w:pPr>
            <w:r>
              <w:rPr>
                <w:rStyle w:val="BlueMSJHBD-SB12pt"/>
              </w:rPr>
              <w:t xml:space="preserve">2025-12-17(三)</w:t>
            </w:r>
          </w:p>
        </w:tc>
        <w:tc>
          <w:tcPr>
            <w:tcW w:w="7000" w:type="dxa"/>
          </w:tcPr>
          <w:p>
            <w:pPr>
              <w:jc w:val="left"/>
            </w:pPr>
            <w:r>
              <w:rPr>
                <w:rStyle w:val="BlueMSJHBD-SB12pt"/>
              </w:rPr>
              <w:t xml:space="preserve">Final Exam</w:t>
            </w:r>
          </w:p>
        </w:tc>
        <w:tc>
          <w:tcPr>
            <w:tcW w:w="500" w:type="dxa"/>
          </w:tcPr>
          <w:p>
            <w:pPr>
              <w:jc w:val="left"/>
            </w:pPr>
            <w:r>
              <w:rPr>
                <w:rStyle w:val="BlueMSJHBD-SB12pt"/>
              </w:rPr>
              <w:t xml:space="preserve"/>
            </w:r>
          </w:p>
        </w:tc>
      </w:tr>
    </w:tbl>
    <w:tbl>
      <w:tblGrid>
        <w:gridCol w:w="13000" w:type="dxa"/>
      </w:tblGrid>
      <w:tblPr>
        <w:tblStyle w:val="noteTable"/>
      </w:tblPr>
      <w:tr>
        <w:trPr/>
        <w:tc>
          <w:tcPr>
            <w:tcW w:w="13000" w:type="dxa"/>
          </w:tcPr>
          <w:p>
            <w:pPr>
              <w:jc w:val="left"/>
            </w:pPr>
            <w:r>
              <w:rPr>
                <w:rStyle w:val="MSJHBD-SB12pt"/>
              </w:rPr>
              <w:t xml:space="preserve">備註：</w:t>
            </w:r>
          </w:p>
        </w:tc>
      </w:tr>
      <w:tr>
        <w:trPr/>
        <w:tc>
          <w:tcPr>
            <w:tcW w:w="13000" w:type="dxa"/>
          </w:tcPr>
          <w:p>
            <w:pPr>
              <w:jc w:val="left"/>
            </w:pPr>
            <w:r>
              <w:rPr>
                <w:rStyle w:val="MSJHBD-SB12pt"/>
              </w:rPr>
              <w:t xml:space="preserve">1.請遵守智慧財產權觀念及勿使用不法影印教科書。</w:t>
            </w:r>
          </w:p>
        </w:tc>
      </w:tr>
      <w:tr>
        <w:trPr/>
        <w:tc>
          <w:tcPr>
            <w:tcW w:w="13000" w:type="dxa"/>
          </w:tcPr>
          <w:p>
            <w:pPr>
              <w:jc w:val="left"/>
            </w:pPr>
            <w:r>
              <w:rPr>
                <w:rStyle w:val="MSJHBD-SB12pt"/>
              </w:rPr>
              <w:t xml:space="preserve">2.其他欄包含參訪、專題演講等活動。</w:t>
            </w:r>
          </w:p>
        </w:tc>
      </w:tr>
      <w:tr>
        <w:trPr/>
        <w:tc>
          <w:tcPr>
            <w:tcW w:w="13000" w:type="dxa"/>
          </w:tcPr>
          <w:p>
            <w:pPr>
              <w:jc w:val="center"/>
            </w:pPr>
            <w:r>
              <w:rPr>
                <w:rStyle w:val="MSJHBD-SB12pt"/>
              </w:rPr>
              <w:t xml:space="preserve"> Copyright©2025 National Yang Ming Chiao Tung University ALL RIGHTS RESERVED.</w:t>
            </w:r>
          </w:p>
        </w:tc>
      </w:tr>
    </w:tbl>
    <w:sectPr>
      <w:pgSz w:orient="portrait" w:w="11905.511811023622" w:h="16837.79527559055"/>
      <w:pgMar w:top="566.9291338582676" w:right="566.9291338582676" w:bottom="566.9291338582676" w:left="566.9291338582676"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軟正黑體" w:hAnsi="微軟正黑體" w:eastAsia="微軟正黑體" w:cs="微軟正黑體"/>
        <w:sz w:val="24"/>
        <w:szCs w:val="24"/>
        <w:lang w:val="en-US"/>
      </w:rPr>
    </w:rPrDefault>
  </w:docDefaults>
  <w:style w:type="paragraph" w:default="1" w:styleId="Normal">
    <w:name w:val="Normal"/>
    <w:pPr>
      <w:jc w:val="both"/>
      <w:ind w:left="0" w:right="0" w:firstLine="0"/>
      <w:spacing w:before="0" w:after="0" w:line="285.59999999999997" w:lineRule="auto"/>
    </w:pPr>
  </w:style>
  <w:style w:type="character" w:styleId="FootnoteReference">
    <w:name w:val="Footnote Reference"/>
    <w:semiHidden/>
    <w:unhideWhenUsed/>
    <w:rPr>
      <w:vertAlign w:val="superscript"/>
    </w:rPr>
  </w:style>
  <w:style w:type="character">
    <w:name w:val="MSJHBD-SB16pt"/>
    <w:rPr>
      <w:rFonts w:ascii="微軟正黑體" w:hAnsi="微軟正黑體" w:eastAsia="微軟正黑體" w:cs="微軟正黑體"/>
      <w:sz w:val="32"/>
      <w:szCs w:val="32"/>
    </w:rPr>
  </w:style>
  <w:style w:type="character">
    <w:name w:val="MSJHBD-SB12pt"/>
    <w:rPr>
      <w:rFonts w:ascii="微軟正黑體" w:hAnsi="微軟正黑體" w:eastAsia="微軟正黑體" w:cs="微軟正黑體"/>
      <w:sz w:val="24"/>
      <w:szCs w:val="24"/>
    </w:rPr>
  </w:style>
  <w:style w:type="character">
    <w:name w:val="RedMSJHBD-SB12pt"/>
    <w:rPr>
      <w:rFonts w:ascii="微軟正黑體" w:hAnsi="微軟正黑體" w:eastAsia="微軟正黑體" w:cs="微軟正黑體"/>
      <w:color w:val="FF0000"/>
      <w:sz w:val="24"/>
      <w:szCs w:val="24"/>
    </w:rPr>
  </w:style>
  <w:style w:type="character">
    <w:name w:val="BlueMSJHBD-SB12pt"/>
    <w:rPr>
      <w:rFonts w:ascii="微軟正黑體" w:hAnsi="微軟正黑體" w:eastAsia="微軟正黑體" w:cs="微軟正黑體"/>
      <w:color w:val="0000FF"/>
      <w:sz w:val="24"/>
      <w:szCs w:val="24"/>
    </w:rPr>
  </w:style>
  <w:style w:type="character">
    <w:name w:val="DFKai-SB18pt"/>
    <w:rPr>
      <w:rFonts w:ascii="標楷體" w:hAnsi="標楷體" w:eastAsia="標楷體" w:cs="標楷體"/>
      <w:sz w:val="36"/>
      <w:szCs w:val="36"/>
    </w:rPr>
  </w:style>
  <w:style w:type="character">
    <w:name w:val="DFKai-SB12pt"/>
    <w:rPr>
      <w:rFonts w:ascii="標楷體" w:hAnsi="標楷體" w:eastAsia="標楷體" w:cs="標楷體"/>
      <w:sz w:val="24"/>
      <w:szCs w:val="24"/>
    </w:rPr>
  </w:style>
  <w:style w:type="character">
    <w:name w:val="RedDFKai-SB12pt"/>
    <w:rPr>
      <w:rFonts w:ascii="標楷體" w:hAnsi="標楷體" w:eastAsia="標楷體" w:cs="標楷體"/>
      <w:color w:val="FF0000"/>
      <w:sz w:val="24"/>
      <w:szCs w:val="24"/>
    </w:rPr>
  </w:style>
  <w:style w:type="character">
    <w:name w:val="BlueDFKai-SB12pt"/>
    <w:rPr>
      <w:rFonts w:ascii="標楷體" w:hAnsi="標楷體" w:eastAsia="標楷體" w:cs="標楷體"/>
      <w:color w:val="0000FF"/>
      <w:sz w:val="24"/>
      <w:szCs w:val="24"/>
    </w:rPr>
  </w:style>
  <w:style w:type="table" w:customStyle="1" w:styleId="myTable">
    <w:name w:val="myTable"/>
    <w:uiPriority w:val="99"/>
    <w:tblPr>
      <w:tblW w:w="0" w:type="auto"/>
      <w:tblBorders>
        <w:top w:val="single" w:sz="15" w:color="000000"/>
        <w:left w:val="single" w:sz="15" w:color="000000"/>
        <w:right w:val="single" w:sz="15" w:color="000000"/>
        <w:bottom w:val="single" w:sz="15" w:color="000000"/>
        <w:insideH w:val="single" w:sz="1" w:color="000000"/>
        <w:insideV w:val="single" w:sz="1" w:color="000000"/>
      </w:tblBorders>
    </w:tblPr>
  </w:style>
  <w:style w:type="table" w:customStyle="1" w:styleId="outlineTable">
    <w:name w:val="outlineTable"/>
    <w:uiPriority w:val="99"/>
    <w:tblPr>
      <w:tblW w:w="0" w:type="auto"/>
      <w:tblBorders>
        <w:top w:val="single" w:sz="15" w:color="000000"/>
        <w:left w:val="single" w:sz="15" w:color="000000"/>
        <w:right w:val="single" w:sz="15" w:color="000000"/>
        <w:bottom w:val="single" w:sz="15" w:color="000000"/>
        <w:insideH w:val="single" w:sz="1" w:color="000000"/>
        <w:insideV w:val="single" w:sz="1" w:color="000000"/>
      </w:tblBorders>
    </w:tblPr>
  </w:style>
  <w:style w:type="table" w:customStyle="1" w:styleId="descriptionDataTable">
    <w:name w:val="descriptionDataTable"/>
    <w:uiPriority w:val="99"/>
    <w:tblPr>
      <w:tblW w:w="0" w:type="auto"/>
      <w:tblBorders>
        <w:top w:val="single" w:sz="15" w:color="000000"/>
        <w:left w:val="single" w:sz="15" w:color="000000"/>
        <w:right w:val="single" w:sz="15" w:color="000000"/>
        <w:bottom w:val="single" w:sz="15" w:color="000000"/>
        <w:insideH w:val="single" w:sz="1" w:color="000000"/>
        <w:insideV w:val="single" w:sz="1" w:color="000000"/>
      </w:tblBorders>
    </w:tblPr>
  </w:style>
  <w:style w:type="table" w:customStyle="1" w:styleId="syllabusDataTable">
    <w:name w:val="syllabusDataTable"/>
    <w:uiPriority w:val="99"/>
    <w:tblPr>
      <w:tblW w:w="0" w:type="auto"/>
      <w:tblBorders>
        <w:top w:val="single" w:sz="15" w:color="000000"/>
        <w:left w:val="single" w:sz="15" w:color="000000"/>
        <w:right w:val="single" w:sz="15" w:color="000000"/>
        <w:bottom w:val="single" w:sz="15" w:color="000000"/>
        <w:insideH w:val="single" w:sz="1" w:color="000000"/>
        <w:insideV w:val="single" w:sz="1" w:color="000000"/>
      </w:tblBorders>
    </w:tblPr>
  </w:style>
  <w:style w:type="table" w:customStyle="1" w:styleId="noteTable">
    <w:name w:val="noteTable"/>
    <w:uiPriority w:val="99"/>
    <w:tblPr>
      <w:tblW w:w="0" w:type="auto"/>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NCTU</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National Chiao Tung University Curriculum Management System</dc:creator>
  <dc:title>國立陽明交通大學課務管理系統之選課系統</dc:title>
  <dc:description>https://ccms.nycu.edu.tw</dc:description>
  <dc:subject/>
  <cp:keywords/>
  <cp:category/>
  <cp:lastModifiedBy>CCMS</cp:lastModifiedBy>
  <dcterms:created xsi:type="dcterms:W3CDTF">2025-12-23T16:52:16+08:00</dcterms:created>
  <dcterms:modified xsi:type="dcterms:W3CDTF">2025-12-23T16:52:16+08:00</dcterms:modified>
</cp:coreProperties>
</file>

<file path=docProps/custom.xml><?xml version="1.0" encoding="utf-8"?>
<Properties xmlns="http://schemas.openxmlformats.org/officeDocument/2006/custom-properties" xmlns:vt="http://schemas.openxmlformats.org/officeDocument/2006/docPropsVTypes"/>
</file>