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364"/>
        <w:gridCol w:w="238"/>
        <w:gridCol w:w="2701"/>
        <w:gridCol w:w="796"/>
        <w:gridCol w:w="149"/>
        <w:gridCol w:w="1365"/>
      </w:tblGrid>
      <w:tr w14:paraId="3C01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553E09CE">
            <w:pPr>
              <w:adjustRightInd w:val="0"/>
              <w:snapToGrid w:val="0"/>
              <w:jc w:val="distribute"/>
              <w:rPr>
                <w:rFonts w:hint="eastAsia" w:ascii="仿宋" w:hAnsi="仿宋" w:eastAsia="仿宋" w:cs="Times New Roman"/>
                <w:color w:val="000000"/>
                <w:sz w:val="28"/>
                <w:szCs w:val="24"/>
              </w:rPr>
            </w:pPr>
            <w:r>
              <w:rPr>
                <w:rFonts w:hint="eastAsia" w:ascii="仿宋" w:hAnsi="仿宋" w:eastAsia="仿宋" w:cs="Times New Roman"/>
                <w:b/>
                <w:bCs/>
                <w:color w:val="000000"/>
                <w:sz w:val="30"/>
                <w:szCs w:val="24"/>
              </w:rPr>
              <w:br w:type="page"/>
            </w:r>
            <w:r>
              <w:rPr>
                <w:rFonts w:hint="eastAsia" w:ascii="仿宋" w:hAnsi="仿宋" w:eastAsia="仿宋" w:cs="Times New Roman"/>
                <w:color w:val="000000"/>
                <w:sz w:val="28"/>
                <w:szCs w:val="24"/>
              </w:rPr>
              <w:t>分类号</w:t>
            </w:r>
          </w:p>
        </w:tc>
        <w:tc>
          <w:tcPr>
            <w:tcW w:w="1365" w:type="dxa"/>
            <w:gridSpan w:val="2"/>
            <w:tcBorders>
              <w:top w:val="nil"/>
              <w:left w:val="nil"/>
              <w:bottom w:val="dashSmallGap" w:color="auto" w:sz="4" w:space="0"/>
              <w:right w:val="nil"/>
            </w:tcBorders>
            <w:vAlign w:val="bottom"/>
          </w:tcPr>
          <w:p w14:paraId="480AFDF9">
            <w:pPr>
              <w:adjustRightInd w:val="0"/>
              <w:snapToGrid w:val="0"/>
              <w:jc w:val="center"/>
              <w:rPr>
                <w:rFonts w:eastAsia="仿宋" w:cs="Times New Roman"/>
                <w:bCs/>
                <w:sz w:val="28"/>
                <w:szCs w:val="28"/>
              </w:rPr>
            </w:pPr>
          </w:p>
        </w:tc>
        <w:tc>
          <w:tcPr>
            <w:tcW w:w="4303" w:type="dxa"/>
            <w:gridSpan w:val="3"/>
            <w:tcBorders>
              <w:top w:val="nil"/>
              <w:left w:val="nil"/>
              <w:bottom w:val="nil"/>
              <w:right w:val="nil"/>
            </w:tcBorders>
            <w:vAlign w:val="bottom"/>
          </w:tcPr>
          <w:p w14:paraId="68BE2700">
            <w:pPr>
              <w:adjustRightInd w:val="0"/>
              <w:snapToGrid w:val="0"/>
              <w:rPr>
                <w:rFonts w:hint="eastAsia" w:ascii="仿宋" w:hAnsi="仿宋" w:eastAsia="仿宋" w:cs="Times New Roman"/>
                <w:color w:val="000000"/>
                <w:sz w:val="28"/>
                <w:szCs w:val="24"/>
              </w:rPr>
            </w:pPr>
          </w:p>
        </w:tc>
        <w:tc>
          <w:tcPr>
            <w:tcW w:w="945" w:type="dxa"/>
            <w:gridSpan w:val="2"/>
            <w:tcBorders>
              <w:top w:val="nil"/>
              <w:left w:val="nil"/>
              <w:bottom w:val="nil"/>
              <w:right w:val="nil"/>
            </w:tcBorders>
            <w:vAlign w:val="bottom"/>
          </w:tcPr>
          <w:p w14:paraId="61EB1A44">
            <w:pPr>
              <w:adjustRightInd w:val="0"/>
              <w:snapToGrid w:val="0"/>
              <w:rPr>
                <w:rFonts w:hint="eastAsia" w:ascii="仿宋" w:hAnsi="仿宋" w:eastAsia="仿宋" w:cs="Times New Roman"/>
                <w:color w:val="000000"/>
                <w:sz w:val="28"/>
                <w:szCs w:val="24"/>
              </w:rPr>
            </w:pPr>
            <w:r>
              <w:rPr>
                <w:rFonts w:hint="eastAsia" w:ascii="仿宋" w:hAnsi="仿宋" w:eastAsia="仿宋" w:cs="Times New Roman"/>
                <w:color w:val="000000"/>
                <w:sz w:val="28"/>
                <w:szCs w:val="24"/>
              </w:rPr>
              <w:t>密 级</w:t>
            </w:r>
          </w:p>
        </w:tc>
        <w:tc>
          <w:tcPr>
            <w:tcW w:w="1365" w:type="dxa"/>
            <w:tcBorders>
              <w:top w:val="nil"/>
              <w:left w:val="nil"/>
              <w:bottom w:val="dashSmallGap" w:color="auto" w:sz="4" w:space="0"/>
              <w:right w:val="nil"/>
            </w:tcBorders>
            <w:vAlign w:val="bottom"/>
          </w:tcPr>
          <w:p w14:paraId="135B98CB">
            <w:pPr>
              <w:adjustRightInd w:val="0"/>
              <w:snapToGrid w:val="0"/>
              <w:rPr>
                <w:rFonts w:hint="eastAsia" w:ascii="仿宋" w:hAnsi="仿宋" w:eastAsia="仿宋" w:cs="Times New Roman"/>
                <w:color w:val="000000"/>
                <w:sz w:val="28"/>
                <w:szCs w:val="24"/>
              </w:rPr>
            </w:pPr>
          </w:p>
        </w:tc>
      </w:tr>
      <w:tr w14:paraId="3E75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1C02E5CB">
            <w:pPr>
              <w:adjustRightInd w:val="0"/>
              <w:snapToGrid w:val="0"/>
              <w:jc w:val="distribute"/>
              <w:rPr>
                <w:rFonts w:hint="eastAsia" w:ascii="仿宋" w:hAnsi="仿宋" w:eastAsia="仿宋" w:cs="Times New Roman"/>
                <w:color w:val="000000"/>
                <w:sz w:val="28"/>
                <w:szCs w:val="24"/>
              </w:rPr>
            </w:pPr>
            <w:r>
              <w:rPr>
                <w:rFonts w:hint="eastAsia" w:ascii="仿宋" w:hAnsi="仿宋" w:eastAsia="仿宋" w:cs="Times New Roman"/>
                <w:color w:val="000000"/>
                <w:sz w:val="28"/>
                <w:szCs w:val="24"/>
              </w:rPr>
              <w:t>U D C</w:t>
            </w:r>
          </w:p>
        </w:tc>
        <w:tc>
          <w:tcPr>
            <w:tcW w:w="1365" w:type="dxa"/>
            <w:gridSpan w:val="2"/>
            <w:tcBorders>
              <w:top w:val="dashSmallGap" w:color="auto" w:sz="4" w:space="0"/>
              <w:left w:val="nil"/>
              <w:bottom w:val="dashSmallGap" w:color="auto" w:sz="4" w:space="0"/>
              <w:right w:val="nil"/>
            </w:tcBorders>
            <w:vAlign w:val="bottom"/>
          </w:tcPr>
          <w:p w14:paraId="36365EC2">
            <w:pPr>
              <w:adjustRightInd w:val="0"/>
              <w:snapToGrid w:val="0"/>
              <w:jc w:val="center"/>
              <w:rPr>
                <w:rFonts w:hint="eastAsia" w:ascii="仿宋" w:hAnsi="仿宋" w:eastAsia="仿宋" w:cs="Times New Roman"/>
                <w:color w:val="000000"/>
                <w:sz w:val="28"/>
                <w:szCs w:val="24"/>
              </w:rPr>
            </w:pPr>
          </w:p>
        </w:tc>
        <w:tc>
          <w:tcPr>
            <w:tcW w:w="4303" w:type="dxa"/>
            <w:gridSpan w:val="3"/>
            <w:tcBorders>
              <w:top w:val="nil"/>
              <w:left w:val="nil"/>
              <w:bottom w:val="nil"/>
              <w:right w:val="nil"/>
            </w:tcBorders>
            <w:vAlign w:val="bottom"/>
          </w:tcPr>
          <w:p w14:paraId="5EDE134A">
            <w:pPr>
              <w:adjustRightInd w:val="0"/>
              <w:snapToGrid w:val="0"/>
              <w:rPr>
                <w:rFonts w:hint="eastAsia" w:ascii="仿宋" w:hAnsi="仿宋" w:eastAsia="仿宋" w:cs="Times New Roman"/>
                <w:color w:val="000000"/>
                <w:sz w:val="28"/>
                <w:szCs w:val="24"/>
              </w:rPr>
            </w:pPr>
          </w:p>
        </w:tc>
        <w:tc>
          <w:tcPr>
            <w:tcW w:w="945" w:type="dxa"/>
            <w:gridSpan w:val="2"/>
            <w:tcBorders>
              <w:top w:val="nil"/>
              <w:left w:val="nil"/>
              <w:bottom w:val="nil"/>
              <w:right w:val="nil"/>
            </w:tcBorders>
            <w:vAlign w:val="bottom"/>
          </w:tcPr>
          <w:p w14:paraId="0896DD6C">
            <w:pPr>
              <w:adjustRightInd w:val="0"/>
              <w:snapToGrid w:val="0"/>
              <w:rPr>
                <w:rFonts w:hint="eastAsia" w:ascii="仿宋" w:hAnsi="仿宋" w:eastAsia="仿宋" w:cs="Times New Roman"/>
                <w:color w:val="000000"/>
                <w:sz w:val="28"/>
                <w:szCs w:val="24"/>
              </w:rPr>
            </w:pPr>
            <w:r>
              <w:rPr>
                <w:rFonts w:hint="eastAsia" w:ascii="仿宋" w:hAnsi="仿宋" w:eastAsia="仿宋" w:cs="Times New Roman"/>
                <w:color w:val="000000"/>
                <w:sz w:val="28"/>
                <w:szCs w:val="24"/>
              </w:rPr>
              <w:t>编 号</w:t>
            </w:r>
          </w:p>
        </w:tc>
        <w:tc>
          <w:tcPr>
            <w:tcW w:w="1365" w:type="dxa"/>
            <w:tcBorders>
              <w:top w:val="dashSmallGap" w:color="auto" w:sz="4" w:space="0"/>
              <w:left w:val="nil"/>
              <w:bottom w:val="dashSmallGap" w:color="auto" w:sz="4" w:space="0"/>
              <w:right w:val="nil"/>
            </w:tcBorders>
            <w:vAlign w:val="bottom"/>
          </w:tcPr>
          <w:p w14:paraId="1EB91C0D">
            <w:pPr>
              <w:adjustRightInd w:val="0"/>
              <w:snapToGrid w:val="0"/>
              <w:jc w:val="center"/>
              <w:rPr>
                <w:rFonts w:eastAsia="仿宋" w:cs="Times New Roman"/>
                <w:color w:val="000000"/>
                <w:sz w:val="28"/>
                <w:szCs w:val="24"/>
              </w:rPr>
            </w:pPr>
            <w:r>
              <w:rPr>
                <w:rFonts w:eastAsia="仿宋" w:cs="Times New Roman"/>
                <w:color w:val="000000"/>
                <w:sz w:val="28"/>
                <w:szCs w:val="24"/>
              </w:rPr>
              <w:t>10486</w:t>
            </w:r>
          </w:p>
        </w:tc>
      </w:tr>
      <w:tr w14:paraId="2E87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4DCAC9A0">
            <w:pPr>
              <w:adjustRightInd w:val="0"/>
              <w:snapToGrid w:val="0"/>
              <w:jc w:val="center"/>
              <w:rPr>
                <w:rFonts w:eastAsia="宋体" w:cs="Times New Roman"/>
                <w:color w:val="000000"/>
                <w:sz w:val="44"/>
                <w:szCs w:val="24"/>
              </w:rPr>
            </w:pPr>
          </w:p>
          <w:p w14:paraId="77A5CBC6">
            <w:pPr>
              <w:adjustRightInd w:val="0"/>
              <w:snapToGrid w:val="0"/>
              <w:jc w:val="center"/>
              <w:rPr>
                <w:rFonts w:eastAsia="宋体" w:cs="Times New Roman"/>
                <w:color w:val="000000"/>
                <w:sz w:val="44"/>
                <w:szCs w:val="24"/>
              </w:rPr>
            </w:pPr>
          </w:p>
        </w:tc>
      </w:tr>
      <w:tr w14:paraId="195E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1B1A7534">
            <w:pPr>
              <w:adjustRightInd w:val="0"/>
              <w:snapToGrid w:val="0"/>
              <w:spacing w:line="360" w:lineRule="auto"/>
              <w:ind w:left="-17" w:leftChars="-58" w:right="-34" w:rightChars="-14" w:hanging="122" w:hangingChars="61"/>
              <w:jc w:val="center"/>
              <w:rPr>
                <w:rFonts w:eastAsia="宋体" w:cs="Times New Roman"/>
                <w:color w:val="000000"/>
                <w:sz w:val="44"/>
                <w:szCs w:val="24"/>
              </w:rPr>
            </w:pPr>
            <w:r>
              <w:rPr>
                <w:rFonts w:eastAsia="宋体" w:cs="Times New Roman"/>
                <w:sz w:val="20"/>
                <w:szCs w:val="24"/>
              </w:rPr>
              <w:drawing>
                <wp:inline distT="0" distB="0" distL="0" distR="0">
                  <wp:extent cx="1950720" cy="571500"/>
                  <wp:effectExtent l="0" t="0" r="0" b="0"/>
                  <wp:docPr id="10" name="图片 10"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武汉大学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950720" cy="571500"/>
                          </a:xfrm>
                          <a:prstGeom prst="rect">
                            <a:avLst/>
                          </a:prstGeom>
                          <a:noFill/>
                          <a:ln>
                            <a:noFill/>
                          </a:ln>
                        </pic:spPr>
                      </pic:pic>
                    </a:graphicData>
                  </a:graphic>
                </wp:inline>
              </w:drawing>
            </w:r>
          </w:p>
          <w:p w14:paraId="610F0C7A">
            <w:pPr>
              <w:adjustRightInd w:val="0"/>
              <w:snapToGrid w:val="0"/>
              <w:spacing w:line="360" w:lineRule="auto"/>
              <w:jc w:val="center"/>
              <w:rPr>
                <w:rFonts w:eastAsia="宋体" w:cs="Times New Roman"/>
                <w:b/>
                <w:color w:val="000000"/>
                <w:sz w:val="44"/>
                <w:szCs w:val="24"/>
              </w:rPr>
            </w:pPr>
            <w:r>
              <w:rPr>
                <w:rFonts w:hint="eastAsia" w:eastAsia="宋体" w:cs="Times New Roman"/>
                <w:b/>
                <w:color w:val="000000"/>
                <w:sz w:val="44"/>
                <w:szCs w:val="24"/>
              </w:rPr>
              <w:t>硕  士  学  位  论  文</w:t>
            </w:r>
          </w:p>
        </w:tc>
      </w:tr>
      <w:tr w14:paraId="169E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5C67D68B">
            <w:pPr>
              <w:adjustRightInd w:val="0"/>
              <w:snapToGrid w:val="0"/>
              <w:jc w:val="center"/>
              <w:rPr>
                <w:rFonts w:eastAsia="宋体" w:cs="Times New Roman"/>
                <w:color w:val="000000"/>
                <w:sz w:val="44"/>
                <w:szCs w:val="24"/>
              </w:rPr>
            </w:pPr>
          </w:p>
        </w:tc>
      </w:tr>
      <w:tr w14:paraId="2993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9A70F01">
            <w:pPr>
              <w:adjustRightInd w:val="0"/>
              <w:snapToGrid w:val="0"/>
              <w:jc w:val="center"/>
              <w:rPr>
                <w:rFonts w:eastAsia="楷体_GB2312" w:cs="Times New Roman"/>
                <w:bCs/>
                <w:color w:val="000000"/>
                <w:sz w:val="52"/>
                <w:szCs w:val="52"/>
              </w:rPr>
            </w:pPr>
            <w:r>
              <w:rPr>
                <w:rFonts w:hint="eastAsia" w:eastAsia="楷体_GB2312" w:cs="Times New Roman"/>
                <w:bCs/>
                <w:color w:val="000000"/>
                <w:sz w:val="52"/>
                <w:szCs w:val="52"/>
              </w:rPr>
              <w:t>结合大模型和预测型强化学习的</w:t>
            </w:r>
          </w:p>
          <w:p w14:paraId="5904D603">
            <w:pPr>
              <w:adjustRightInd w:val="0"/>
              <w:snapToGrid w:val="0"/>
              <w:jc w:val="center"/>
              <w:rPr>
                <w:rFonts w:eastAsia="楷体_GB2312" w:cs="Times New Roman"/>
                <w:bCs/>
                <w:color w:val="000000"/>
                <w:sz w:val="52"/>
                <w:szCs w:val="52"/>
              </w:rPr>
            </w:pPr>
            <w:r>
              <w:rPr>
                <w:rFonts w:hint="eastAsia" w:eastAsia="楷体_GB2312" w:cs="Times New Roman"/>
                <w:bCs/>
                <w:color w:val="000000"/>
                <w:sz w:val="52"/>
                <w:szCs w:val="52"/>
              </w:rPr>
              <w:t>新型电力系</w:t>
            </w:r>
            <w:r>
              <w:rPr>
                <w:rFonts w:eastAsia="楷体_GB2312" w:cs="Times New Roman"/>
                <w:bCs/>
                <w:color w:val="000000"/>
                <w:sz w:val="52"/>
                <w:szCs w:val="52"/>
              </w:rPr>
              <w:t>统APT检</w:t>
            </w:r>
            <w:r>
              <w:rPr>
                <w:rFonts w:hint="eastAsia" w:eastAsia="楷体_GB2312" w:cs="Times New Roman"/>
                <w:bCs/>
                <w:color w:val="000000"/>
                <w:sz w:val="52"/>
                <w:szCs w:val="52"/>
              </w:rPr>
              <w:t>测方法</w:t>
            </w:r>
          </w:p>
        </w:tc>
      </w:tr>
      <w:tr w14:paraId="0F05E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0CCBB375">
            <w:pPr>
              <w:adjustRightInd w:val="0"/>
              <w:snapToGrid w:val="0"/>
              <w:jc w:val="center"/>
              <w:rPr>
                <w:rFonts w:eastAsia="楷体_GB2312" w:cs="Times New Roman"/>
                <w:color w:val="000000"/>
                <w:sz w:val="52"/>
                <w:szCs w:val="24"/>
              </w:rPr>
            </w:pPr>
          </w:p>
        </w:tc>
        <w:tc>
          <w:tcPr>
            <w:tcW w:w="2645" w:type="dxa"/>
            <w:gridSpan w:val="2"/>
            <w:tcBorders>
              <w:top w:val="nil"/>
              <w:left w:val="nil"/>
              <w:bottom w:val="nil"/>
              <w:right w:val="nil"/>
            </w:tcBorders>
            <w:vAlign w:val="center"/>
          </w:tcPr>
          <w:p w14:paraId="7DB057A8">
            <w:pPr>
              <w:adjustRightInd w:val="0"/>
              <w:snapToGrid w:val="0"/>
              <w:jc w:val="distribute"/>
              <w:rPr>
                <w:rFonts w:eastAsia="宋体" w:cs="Times New Roman"/>
                <w:color w:val="000000"/>
                <w:sz w:val="28"/>
                <w:szCs w:val="24"/>
              </w:rPr>
            </w:pPr>
            <w:r>
              <w:rPr>
                <w:rFonts w:hint="eastAsia" w:eastAsia="宋体" w:cs="Times New Roman"/>
                <w:color w:val="000000"/>
                <w:sz w:val="28"/>
                <w:szCs w:val="24"/>
              </w:rPr>
              <w:t>研究生姓名</w:t>
            </w:r>
          </w:p>
        </w:tc>
        <w:tc>
          <w:tcPr>
            <w:tcW w:w="238" w:type="dxa"/>
            <w:tcBorders>
              <w:top w:val="nil"/>
              <w:left w:val="nil"/>
              <w:bottom w:val="nil"/>
              <w:right w:val="nil"/>
            </w:tcBorders>
            <w:vAlign w:val="center"/>
          </w:tcPr>
          <w:p w14:paraId="711FC529">
            <w:pPr>
              <w:adjustRightInd w:val="0"/>
              <w:snapToGrid w:val="0"/>
              <w:jc w:val="center"/>
              <w:rPr>
                <w:rFonts w:eastAsia="宋体" w:cs="Times New Roman"/>
                <w:color w:val="000000"/>
                <w:sz w:val="28"/>
                <w:szCs w:val="24"/>
              </w:rPr>
            </w:pPr>
            <w:r>
              <w:rPr>
                <w:rFonts w:hint="eastAsia" w:eastAsia="宋体" w:cs="Times New Roman"/>
                <w:color w:val="000000"/>
                <w:sz w:val="28"/>
                <w:szCs w:val="24"/>
              </w:rPr>
              <w:t>：</w:t>
            </w:r>
          </w:p>
        </w:tc>
        <w:tc>
          <w:tcPr>
            <w:tcW w:w="3497" w:type="dxa"/>
            <w:gridSpan w:val="2"/>
            <w:tcBorders>
              <w:top w:val="nil"/>
              <w:left w:val="nil"/>
              <w:bottom w:val="nil"/>
              <w:right w:val="nil"/>
            </w:tcBorders>
            <w:vAlign w:val="center"/>
          </w:tcPr>
          <w:p w14:paraId="6ADB9CEB">
            <w:pPr>
              <w:tabs>
                <w:tab w:val="left" w:pos="2354"/>
              </w:tabs>
              <w:adjustRightInd w:val="0"/>
              <w:snapToGrid w:val="0"/>
              <w:jc w:val="left"/>
              <w:rPr>
                <w:rFonts w:eastAsia="宋体" w:cs="Times New Roman"/>
                <w:color w:val="000000"/>
                <w:spacing w:val="20"/>
                <w:sz w:val="28"/>
                <w:szCs w:val="24"/>
              </w:rPr>
            </w:pPr>
            <w:r>
              <w:rPr>
                <w:rFonts w:hint="eastAsia" w:eastAsia="宋体" w:cs="Times New Roman"/>
                <w:color w:val="000000"/>
                <w:spacing w:val="20"/>
                <w:sz w:val="28"/>
                <w:szCs w:val="24"/>
              </w:rPr>
              <w:t>高齐泽</w:t>
            </w:r>
          </w:p>
        </w:tc>
        <w:tc>
          <w:tcPr>
            <w:tcW w:w="1514" w:type="dxa"/>
            <w:gridSpan w:val="2"/>
            <w:vMerge w:val="restart"/>
            <w:tcBorders>
              <w:top w:val="nil"/>
              <w:left w:val="nil"/>
              <w:bottom w:val="nil"/>
              <w:right w:val="nil"/>
            </w:tcBorders>
            <w:vAlign w:val="center"/>
          </w:tcPr>
          <w:p w14:paraId="061FDA49">
            <w:pPr>
              <w:adjustRightInd w:val="0"/>
              <w:snapToGrid w:val="0"/>
              <w:jc w:val="distribute"/>
              <w:rPr>
                <w:rFonts w:eastAsia="楷体_GB2312" w:cs="Times New Roman"/>
                <w:color w:val="000000"/>
                <w:sz w:val="52"/>
                <w:szCs w:val="24"/>
              </w:rPr>
            </w:pPr>
          </w:p>
        </w:tc>
      </w:tr>
      <w:tr w14:paraId="2911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6F7657B8">
            <w:pPr>
              <w:jc w:val="left"/>
              <w:rPr>
                <w:rFonts w:eastAsia="楷体_GB2312" w:cs="Times New Roman"/>
                <w:color w:val="000000"/>
                <w:sz w:val="52"/>
                <w:szCs w:val="24"/>
              </w:rPr>
            </w:pPr>
          </w:p>
        </w:tc>
        <w:tc>
          <w:tcPr>
            <w:tcW w:w="2645" w:type="dxa"/>
            <w:gridSpan w:val="2"/>
            <w:tcBorders>
              <w:top w:val="nil"/>
              <w:left w:val="nil"/>
              <w:bottom w:val="nil"/>
              <w:right w:val="nil"/>
            </w:tcBorders>
            <w:vAlign w:val="center"/>
          </w:tcPr>
          <w:p w14:paraId="2A101638">
            <w:pPr>
              <w:adjustRightInd w:val="0"/>
              <w:snapToGrid w:val="0"/>
              <w:jc w:val="distribute"/>
              <w:rPr>
                <w:rFonts w:eastAsia="宋体" w:cs="Times New Roman"/>
                <w:color w:val="000000"/>
                <w:sz w:val="28"/>
                <w:szCs w:val="24"/>
              </w:rPr>
            </w:pPr>
            <w:r>
              <w:rPr>
                <w:rFonts w:hint="eastAsia" w:eastAsia="宋体" w:cs="Times New Roman"/>
                <w:color w:val="000000"/>
                <w:sz w:val="28"/>
                <w:szCs w:val="24"/>
              </w:rPr>
              <w:t>学号</w:t>
            </w:r>
          </w:p>
        </w:tc>
        <w:tc>
          <w:tcPr>
            <w:tcW w:w="238" w:type="dxa"/>
            <w:tcBorders>
              <w:top w:val="nil"/>
              <w:left w:val="nil"/>
              <w:bottom w:val="nil"/>
              <w:right w:val="nil"/>
            </w:tcBorders>
            <w:vAlign w:val="center"/>
          </w:tcPr>
          <w:p w14:paraId="46313D3B">
            <w:pPr>
              <w:adjustRightInd w:val="0"/>
              <w:snapToGrid w:val="0"/>
              <w:jc w:val="center"/>
              <w:rPr>
                <w:rFonts w:eastAsia="宋体" w:cs="Times New Roman"/>
                <w:color w:val="000000"/>
                <w:sz w:val="28"/>
                <w:szCs w:val="24"/>
              </w:rPr>
            </w:pPr>
            <w:r>
              <w:rPr>
                <w:rFonts w:hint="eastAsia" w:eastAsia="宋体" w:cs="Times New Roman"/>
                <w:color w:val="000000"/>
                <w:sz w:val="28"/>
                <w:szCs w:val="24"/>
              </w:rPr>
              <w:t>：</w:t>
            </w:r>
          </w:p>
        </w:tc>
        <w:tc>
          <w:tcPr>
            <w:tcW w:w="3497" w:type="dxa"/>
            <w:gridSpan w:val="2"/>
            <w:tcBorders>
              <w:top w:val="nil"/>
              <w:left w:val="nil"/>
              <w:bottom w:val="nil"/>
              <w:right w:val="nil"/>
            </w:tcBorders>
            <w:vAlign w:val="center"/>
          </w:tcPr>
          <w:p w14:paraId="6A06E6EF">
            <w:pPr>
              <w:adjustRightInd w:val="0"/>
              <w:snapToGrid w:val="0"/>
              <w:jc w:val="left"/>
              <w:rPr>
                <w:rFonts w:eastAsia="宋体" w:cs="Times New Roman"/>
                <w:color w:val="000000"/>
                <w:sz w:val="28"/>
                <w:szCs w:val="24"/>
              </w:rPr>
            </w:pPr>
            <w:r>
              <w:rPr>
                <w:rFonts w:eastAsia="宋体" w:cs="Times New Roman"/>
                <w:color w:val="000000"/>
                <w:sz w:val="28"/>
                <w:szCs w:val="24"/>
              </w:rPr>
              <w:t>202</w:t>
            </w:r>
            <w:r>
              <w:rPr>
                <w:rFonts w:hint="eastAsia" w:eastAsia="宋体" w:cs="Times New Roman"/>
                <w:color w:val="000000"/>
                <w:sz w:val="28"/>
                <w:szCs w:val="24"/>
              </w:rPr>
              <w:t>3202210013</w:t>
            </w:r>
          </w:p>
        </w:tc>
        <w:tc>
          <w:tcPr>
            <w:tcW w:w="1514" w:type="dxa"/>
            <w:gridSpan w:val="2"/>
            <w:vMerge w:val="continue"/>
            <w:tcBorders>
              <w:top w:val="nil"/>
              <w:left w:val="nil"/>
              <w:bottom w:val="nil"/>
              <w:right w:val="nil"/>
            </w:tcBorders>
            <w:vAlign w:val="center"/>
          </w:tcPr>
          <w:p w14:paraId="25D64B3F">
            <w:pPr>
              <w:jc w:val="distribute"/>
              <w:rPr>
                <w:rFonts w:eastAsia="楷体_GB2312" w:cs="Times New Roman"/>
                <w:color w:val="000000"/>
                <w:sz w:val="52"/>
                <w:szCs w:val="24"/>
              </w:rPr>
            </w:pPr>
          </w:p>
        </w:tc>
      </w:tr>
      <w:tr w14:paraId="5634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FE9213D">
            <w:pPr>
              <w:jc w:val="left"/>
              <w:rPr>
                <w:rFonts w:eastAsia="楷体_GB2312" w:cs="Times New Roman"/>
                <w:color w:val="000000"/>
                <w:sz w:val="52"/>
                <w:szCs w:val="24"/>
              </w:rPr>
            </w:pPr>
          </w:p>
        </w:tc>
        <w:tc>
          <w:tcPr>
            <w:tcW w:w="2645" w:type="dxa"/>
            <w:gridSpan w:val="2"/>
            <w:tcBorders>
              <w:top w:val="nil"/>
              <w:left w:val="nil"/>
              <w:bottom w:val="nil"/>
              <w:right w:val="nil"/>
            </w:tcBorders>
            <w:vAlign w:val="center"/>
          </w:tcPr>
          <w:p w14:paraId="4DACD935">
            <w:pPr>
              <w:adjustRightInd w:val="0"/>
              <w:snapToGrid w:val="0"/>
              <w:jc w:val="distribute"/>
              <w:rPr>
                <w:rFonts w:eastAsia="宋体" w:cs="Times New Roman"/>
                <w:color w:val="000000"/>
                <w:sz w:val="28"/>
                <w:szCs w:val="24"/>
              </w:rPr>
            </w:pPr>
            <w:r>
              <w:rPr>
                <w:rFonts w:hint="eastAsia" w:eastAsia="宋体" w:cs="Times New Roman"/>
                <w:color w:val="000000"/>
                <w:sz w:val="28"/>
                <w:szCs w:val="24"/>
              </w:rPr>
              <w:t>指导教师姓名、职称</w:t>
            </w:r>
          </w:p>
        </w:tc>
        <w:tc>
          <w:tcPr>
            <w:tcW w:w="238" w:type="dxa"/>
            <w:tcBorders>
              <w:top w:val="nil"/>
              <w:left w:val="nil"/>
              <w:bottom w:val="nil"/>
              <w:right w:val="nil"/>
            </w:tcBorders>
            <w:vAlign w:val="center"/>
          </w:tcPr>
          <w:p w14:paraId="7B159AFF">
            <w:pPr>
              <w:adjustRightInd w:val="0"/>
              <w:snapToGrid w:val="0"/>
              <w:jc w:val="center"/>
              <w:rPr>
                <w:rFonts w:eastAsia="宋体" w:cs="Times New Roman"/>
                <w:color w:val="000000"/>
                <w:sz w:val="28"/>
                <w:szCs w:val="24"/>
              </w:rPr>
            </w:pPr>
            <w:r>
              <w:rPr>
                <w:rFonts w:hint="eastAsia" w:eastAsia="宋体" w:cs="Times New Roman"/>
                <w:color w:val="000000"/>
                <w:sz w:val="28"/>
                <w:szCs w:val="24"/>
              </w:rPr>
              <w:t>：</w:t>
            </w:r>
          </w:p>
        </w:tc>
        <w:tc>
          <w:tcPr>
            <w:tcW w:w="3497" w:type="dxa"/>
            <w:gridSpan w:val="2"/>
            <w:tcBorders>
              <w:top w:val="nil"/>
              <w:left w:val="nil"/>
              <w:bottom w:val="nil"/>
              <w:right w:val="nil"/>
            </w:tcBorders>
            <w:vAlign w:val="center"/>
          </w:tcPr>
          <w:p w14:paraId="06E81330">
            <w:pPr>
              <w:adjustRightInd w:val="0"/>
              <w:snapToGrid w:val="0"/>
              <w:jc w:val="left"/>
              <w:rPr>
                <w:rFonts w:hint="eastAsia" w:eastAsia="宋体" w:cs="Times New Roman"/>
                <w:color w:val="000000"/>
                <w:sz w:val="28"/>
                <w:szCs w:val="24"/>
              </w:rPr>
            </w:pPr>
            <w:r>
              <w:rPr>
                <w:rFonts w:hint="eastAsia" w:eastAsia="宋体" w:cs="Times New Roman"/>
                <w:color w:val="000000"/>
                <w:sz w:val="28"/>
                <w:szCs w:val="24"/>
              </w:rPr>
              <w:t>李俊娥 教授  陆秋余</w:t>
            </w:r>
          </w:p>
        </w:tc>
        <w:tc>
          <w:tcPr>
            <w:tcW w:w="1514" w:type="dxa"/>
            <w:gridSpan w:val="2"/>
            <w:vMerge w:val="continue"/>
            <w:tcBorders>
              <w:top w:val="nil"/>
              <w:left w:val="nil"/>
              <w:bottom w:val="nil"/>
              <w:right w:val="nil"/>
            </w:tcBorders>
            <w:vAlign w:val="center"/>
          </w:tcPr>
          <w:p w14:paraId="1034D74E">
            <w:pPr>
              <w:jc w:val="distribute"/>
              <w:rPr>
                <w:rFonts w:eastAsia="楷体_GB2312" w:cs="Times New Roman"/>
                <w:color w:val="000000"/>
                <w:sz w:val="52"/>
                <w:szCs w:val="24"/>
              </w:rPr>
            </w:pPr>
          </w:p>
        </w:tc>
      </w:tr>
      <w:tr w14:paraId="79868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93948FB">
            <w:pPr>
              <w:jc w:val="left"/>
              <w:rPr>
                <w:rFonts w:eastAsia="楷体_GB2312" w:cs="Times New Roman"/>
                <w:color w:val="000000"/>
                <w:sz w:val="52"/>
                <w:szCs w:val="24"/>
              </w:rPr>
            </w:pPr>
          </w:p>
        </w:tc>
        <w:tc>
          <w:tcPr>
            <w:tcW w:w="2645" w:type="dxa"/>
            <w:gridSpan w:val="2"/>
            <w:tcBorders>
              <w:top w:val="nil"/>
              <w:left w:val="nil"/>
              <w:bottom w:val="nil"/>
              <w:right w:val="nil"/>
            </w:tcBorders>
            <w:vAlign w:val="center"/>
          </w:tcPr>
          <w:p w14:paraId="65B1A5FD">
            <w:pPr>
              <w:adjustRightInd w:val="0"/>
              <w:snapToGrid w:val="0"/>
              <w:jc w:val="distribute"/>
              <w:rPr>
                <w:rFonts w:eastAsia="宋体" w:cs="Times New Roman"/>
                <w:color w:val="000000"/>
                <w:sz w:val="28"/>
                <w:szCs w:val="24"/>
              </w:rPr>
            </w:pPr>
            <w:r>
              <w:rPr>
                <w:rFonts w:hint="eastAsia" w:eastAsia="宋体" w:cs="Times New Roman"/>
                <w:color w:val="000000"/>
                <w:sz w:val="28"/>
                <w:szCs w:val="24"/>
              </w:rPr>
              <w:t>专业名称</w:t>
            </w:r>
          </w:p>
        </w:tc>
        <w:tc>
          <w:tcPr>
            <w:tcW w:w="238" w:type="dxa"/>
            <w:tcBorders>
              <w:top w:val="nil"/>
              <w:left w:val="nil"/>
              <w:bottom w:val="nil"/>
              <w:right w:val="nil"/>
            </w:tcBorders>
            <w:vAlign w:val="center"/>
          </w:tcPr>
          <w:p w14:paraId="6B39CED2">
            <w:pPr>
              <w:adjustRightInd w:val="0"/>
              <w:snapToGrid w:val="0"/>
              <w:jc w:val="center"/>
              <w:rPr>
                <w:rFonts w:eastAsia="宋体" w:cs="Times New Roman"/>
                <w:color w:val="000000"/>
                <w:sz w:val="28"/>
                <w:szCs w:val="24"/>
              </w:rPr>
            </w:pPr>
            <w:r>
              <w:rPr>
                <w:rFonts w:hint="eastAsia" w:eastAsia="宋体" w:cs="Times New Roman"/>
                <w:color w:val="000000"/>
                <w:sz w:val="28"/>
                <w:szCs w:val="24"/>
              </w:rPr>
              <w:t>：</w:t>
            </w:r>
          </w:p>
        </w:tc>
        <w:tc>
          <w:tcPr>
            <w:tcW w:w="3497" w:type="dxa"/>
            <w:gridSpan w:val="2"/>
            <w:tcBorders>
              <w:top w:val="nil"/>
              <w:left w:val="nil"/>
              <w:bottom w:val="nil"/>
              <w:right w:val="nil"/>
            </w:tcBorders>
            <w:vAlign w:val="center"/>
          </w:tcPr>
          <w:p w14:paraId="23C04E6B">
            <w:pPr>
              <w:adjustRightInd w:val="0"/>
              <w:snapToGrid w:val="0"/>
              <w:jc w:val="left"/>
              <w:rPr>
                <w:rFonts w:eastAsia="宋体" w:cs="Times New Roman"/>
                <w:color w:val="000000"/>
                <w:sz w:val="28"/>
                <w:szCs w:val="24"/>
              </w:rPr>
            </w:pPr>
            <w:r>
              <w:rPr>
                <w:rFonts w:hint="eastAsia" w:eastAsia="宋体" w:cs="Times New Roman"/>
                <w:color w:val="000000"/>
                <w:sz w:val="28"/>
                <w:szCs w:val="24"/>
              </w:rPr>
              <w:t>网络空间安全</w:t>
            </w:r>
          </w:p>
        </w:tc>
        <w:tc>
          <w:tcPr>
            <w:tcW w:w="1514" w:type="dxa"/>
            <w:gridSpan w:val="2"/>
            <w:vMerge w:val="continue"/>
            <w:tcBorders>
              <w:top w:val="nil"/>
              <w:left w:val="nil"/>
              <w:bottom w:val="nil"/>
              <w:right w:val="nil"/>
            </w:tcBorders>
            <w:vAlign w:val="center"/>
          </w:tcPr>
          <w:p w14:paraId="238D29BA">
            <w:pPr>
              <w:jc w:val="distribute"/>
              <w:rPr>
                <w:rFonts w:eastAsia="楷体_GB2312" w:cs="Times New Roman"/>
                <w:color w:val="000000"/>
                <w:sz w:val="52"/>
                <w:szCs w:val="24"/>
              </w:rPr>
            </w:pPr>
          </w:p>
        </w:tc>
      </w:tr>
      <w:tr w14:paraId="3C67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95BB7A4">
            <w:pPr>
              <w:jc w:val="left"/>
              <w:rPr>
                <w:rFonts w:eastAsia="楷体_GB2312" w:cs="Times New Roman"/>
                <w:color w:val="000000"/>
                <w:sz w:val="52"/>
                <w:szCs w:val="24"/>
              </w:rPr>
            </w:pPr>
          </w:p>
        </w:tc>
        <w:tc>
          <w:tcPr>
            <w:tcW w:w="2645" w:type="dxa"/>
            <w:gridSpan w:val="2"/>
            <w:tcBorders>
              <w:top w:val="nil"/>
              <w:left w:val="nil"/>
              <w:bottom w:val="nil"/>
              <w:right w:val="nil"/>
            </w:tcBorders>
            <w:vAlign w:val="center"/>
          </w:tcPr>
          <w:p w14:paraId="0EA0DEAE">
            <w:pPr>
              <w:adjustRightInd w:val="0"/>
              <w:snapToGrid w:val="0"/>
              <w:jc w:val="distribute"/>
              <w:rPr>
                <w:rFonts w:eastAsia="宋体" w:cs="Times New Roman"/>
                <w:color w:val="000000"/>
                <w:sz w:val="28"/>
                <w:szCs w:val="24"/>
              </w:rPr>
            </w:pPr>
            <w:r>
              <w:rPr>
                <w:rFonts w:hint="eastAsia" w:eastAsia="宋体" w:cs="Times New Roman"/>
                <w:color w:val="000000"/>
                <w:sz w:val="28"/>
                <w:szCs w:val="24"/>
              </w:rPr>
              <w:t>研究方向</w:t>
            </w:r>
          </w:p>
        </w:tc>
        <w:tc>
          <w:tcPr>
            <w:tcW w:w="238" w:type="dxa"/>
            <w:tcBorders>
              <w:top w:val="nil"/>
              <w:left w:val="nil"/>
              <w:bottom w:val="nil"/>
              <w:right w:val="nil"/>
            </w:tcBorders>
            <w:vAlign w:val="center"/>
          </w:tcPr>
          <w:p w14:paraId="4C8B735B">
            <w:pPr>
              <w:adjustRightInd w:val="0"/>
              <w:snapToGrid w:val="0"/>
              <w:jc w:val="center"/>
              <w:rPr>
                <w:rFonts w:eastAsia="宋体" w:cs="Times New Roman"/>
                <w:color w:val="000000"/>
                <w:sz w:val="28"/>
                <w:szCs w:val="24"/>
              </w:rPr>
            </w:pPr>
            <w:r>
              <w:rPr>
                <w:rFonts w:hint="eastAsia" w:eastAsia="宋体" w:cs="Times New Roman"/>
                <w:color w:val="000000"/>
                <w:sz w:val="28"/>
                <w:szCs w:val="24"/>
              </w:rPr>
              <w:t>：</w:t>
            </w:r>
          </w:p>
        </w:tc>
        <w:tc>
          <w:tcPr>
            <w:tcW w:w="3497" w:type="dxa"/>
            <w:gridSpan w:val="2"/>
            <w:tcBorders>
              <w:top w:val="nil"/>
              <w:left w:val="nil"/>
              <w:bottom w:val="nil"/>
              <w:right w:val="nil"/>
            </w:tcBorders>
            <w:vAlign w:val="center"/>
          </w:tcPr>
          <w:p w14:paraId="1CD5421A">
            <w:pPr>
              <w:adjustRightInd w:val="0"/>
              <w:snapToGrid w:val="0"/>
              <w:jc w:val="left"/>
              <w:rPr>
                <w:rFonts w:eastAsia="宋体" w:cs="Times New Roman"/>
                <w:color w:val="000000"/>
                <w:sz w:val="28"/>
                <w:szCs w:val="24"/>
              </w:rPr>
            </w:pPr>
            <w:r>
              <w:rPr>
                <w:rFonts w:hint="eastAsia" w:eastAsia="宋体" w:cs="Times New Roman"/>
                <w:color w:val="000000"/>
                <w:sz w:val="28"/>
                <w:szCs w:val="24"/>
              </w:rPr>
              <w:t>电力工控安全</w:t>
            </w:r>
          </w:p>
        </w:tc>
        <w:tc>
          <w:tcPr>
            <w:tcW w:w="1514" w:type="dxa"/>
            <w:gridSpan w:val="2"/>
            <w:vMerge w:val="continue"/>
            <w:tcBorders>
              <w:top w:val="nil"/>
              <w:left w:val="nil"/>
              <w:bottom w:val="nil"/>
              <w:right w:val="nil"/>
            </w:tcBorders>
            <w:vAlign w:val="center"/>
          </w:tcPr>
          <w:p w14:paraId="3C55A355">
            <w:pPr>
              <w:jc w:val="distribute"/>
              <w:rPr>
                <w:rFonts w:eastAsia="楷体_GB2312" w:cs="Times New Roman"/>
                <w:color w:val="000000"/>
                <w:sz w:val="52"/>
                <w:szCs w:val="24"/>
              </w:rPr>
            </w:pPr>
          </w:p>
        </w:tc>
      </w:tr>
      <w:tr w14:paraId="3107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72CDBA39">
            <w:pPr>
              <w:jc w:val="left"/>
              <w:rPr>
                <w:rFonts w:eastAsia="楷体_GB2312" w:cs="Times New Roman"/>
                <w:color w:val="000000"/>
                <w:sz w:val="52"/>
                <w:szCs w:val="24"/>
              </w:rPr>
            </w:pPr>
          </w:p>
        </w:tc>
        <w:tc>
          <w:tcPr>
            <w:tcW w:w="2645" w:type="dxa"/>
            <w:gridSpan w:val="2"/>
            <w:tcBorders>
              <w:top w:val="nil"/>
              <w:left w:val="nil"/>
              <w:bottom w:val="nil"/>
              <w:right w:val="nil"/>
            </w:tcBorders>
            <w:vAlign w:val="center"/>
          </w:tcPr>
          <w:p w14:paraId="596E169D">
            <w:pPr>
              <w:adjustRightInd w:val="0"/>
              <w:snapToGrid w:val="0"/>
              <w:jc w:val="distribute"/>
              <w:rPr>
                <w:rFonts w:eastAsia="宋体" w:cs="Times New Roman"/>
                <w:color w:val="000000"/>
                <w:sz w:val="28"/>
                <w:szCs w:val="24"/>
              </w:rPr>
            </w:pPr>
          </w:p>
        </w:tc>
        <w:tc>
          <w:tcPr>
            <w:tcW w:w="238" w:type="dxa"/>
            <w:tcBorders>
              <w:top w:val="nil"/>
              <w:left w:val="nil"/>
              <w:bottom w:val="nil"/>
              <w:right w:val="nil"/>
            </w:tcBorders>
            <w:vAlign w:val="center"/>
          </w:tcPr>
          <w:p w14:paraId="6F667341">
            <w:pPr>
              <w:adjustRightInd w:val="0"/>
              <w:snapToGrid w:val="0"/>
              <w:jc w:val="center"/>
              <w:rPr>
                <w:rFonts w:eastAsia="宋体" w:cs="Times New Roman"/>
                <w:color w:val="000000"/>
                <w:sz w:val="28"/>
                <w:szCs w:val="24"/>
              </w:rPr>
            </w:pPr>
          </w:p>
        </w:tc>
        <w:tc>
          <w:tcPr>
            <w:tcW w:w="3497" w:type="dxa"/>
            <w:gridSpan w:val="2"/>
            <w:tcBorders>
              <w:top w:val="nil"/>
              <w:left w:val="nil"/>
              <w:bottom w:val="nil"/>
              <w:right w:val="nil"/>
            </w:tcBorders>
            <w:vAlign w:val="center"/>
          </w:tcPr>
          <w:p w14:paraId="486065DF">
            <w:pPr>
              <w:adjustRightInd w:val="0"/>
              <w:snapToGrid w:val="0"/>
              <w:rPr>
                <w:rFonts w:eastAsia="宋体" w:cs="Times New Roman"/>
                <w:color w:val="000000"/>
                <w:sz w:val="28"/>
                <w:szCs w:val="24"/>
              </w:rPr>
            </w:pPr>
          </w:p>
        </w:tc>
        <w:tc>
          <w:tcPr>
            <w:tcW w:w="1514" w:type="dxa"/>
            <w:gridSpan w:val="2"/>
            <w:vMerge w:val="continue"/>
            <w:tcBorders>
              <w:top w:val="nil"/>
              <w:left w:val="nil"/>
              <w:bottom w:val="nil"/>
              <w:right w:val="nil"/>
            </w:tcBorders>
            <w:vAlign w:val="center"/>
          </w:tcPr>
          <w:p w14:paraId="3530ED29">
            <w:pPr>
              <w:jc w:val="left"/>
              <w:rPr>
                <w:rFonts w:eastAsia="楷体_GB2312" w:cs="Times New Roman"/>
                <w:color w:val="000000"/>
                <w:sz w:val="52"/>
                <w:szCs w:val="24"/>
              </w:rPr>
            </w:pPr>
          </w:p>
        </w:tc>
      </w:tr>
      <w:tr w14:paraId="5796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76858BB8">
            <w:pPr>
              <w:adjustRightInd w:val="0"/>
              <w:snapToGrid w:val="0"/>
              <w:rPr>
                <w:rFonts w:eastAsia="楷体_GB2312" w:cs="Times New Roman"/>
                <w:color w:val="000000"/>
                <w:sz w:val="32"/>
                <w:szCs w:val="32"/>
              </w:rPr>
            </w:pPr>
          </w:p>
          <w:p w14:paraId="7C4E0155">
            <w:pPr>
              <w:adjustRightInd w:val="0"/>
              <w:snapToGrid w:val="0"/>
              <w:rPr>
                <w:rFonts w:eastAsia="楷体_GB2312" w:cs="Times New Roman"/>
                <w:color w:val="000000"/>
                <w:sz w:val="32"/>
                <w:szCs w:val="32"/>
              </w:rPr>
            </w:pPr>
          </w:p>
        </w:tc>
      </w:tr>
      <w:tr w14:paraId="5239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9135" w:type="dxa"/>
            <w:gridSpan w:val="9"/>
            <w:tcBorders>
              <w:top w:val="nil"/>
              <w:left w:val="nil"/>
              <w:bottom w:val="nil"/>
              <w:right w:val="nil"/>
            </w:tcBorders>
          </w:tcPr>
          <w:p w14:paraId="361156C1">
            <w:pPr>
              <w:tabs>
                <w:tab w:val="center" w:pos="4459"/>
              </w:tabs>
              <w:adjustRightInd w:val="0"/>
              <w:snapToGrid w:val="0"/>
              <w:jc w:val="left"/>
              <w:rPr>
                <w:rFonts w:eastAsia="黑体" w:cs="Times New Roman"/>
                <w:color w:val="000000"/>
                <w:sz w:val="32"/>
                <w:szCs w:val="24"/>
              </w:rPr>
            </w:pPr>
            <w:r>
              <w:rPr>
                <w:rFonts w:eastAsia="黑体" w:cs="Times New Roman"/>
                <w:color w:val="000000"/>
                <w:spacing w:val="20"/>
                <w:sz w:val="32"/>
                <w:szCs w:val="24"/>
              </w:rPr>
              <w:tab/>
            </w:r>
            <w:r>
              <w:rPr>
                <w:rFonts w:hint="eastAsia" w:eastAsia="黑体" w:cs="Times New Roman"/>
                <w:color w:val="000000"/>
                <w:spacing w:val="20"/>
                <w:sz w:val="32"/>
                <w:szCs w:val="24"/>
              </w:rPr>
              <w:t>二〇二六年五</w:t>
            </w:r>
            <w:r>
              <w:rPr>
                <w:rFonts w:hint="eastAsia" w:eastAsia="黑体" w:cs="Times New Roman"/>
                <w:color w:val="000000"/>
                <w:sz w:val="32"/>
                <w:szCs w:val="24"/>
              </w:rPr>
              <w:t>月</w:t>
            </w:r>
          </w:p>
        </w:tc>
      </w:tr>
    </w:tbl>
    <w:p w14:paraId="6D950456">
      <w:pPr>
        <w:widowControl/>
        <w:jc w:val="left"/>
      </w:pPr>
      <w:r>
        <w:br w:type="page"/>
      </w:r>
    </w:p>
    <w:p w14:paraId="11B7E9EB">
      <w:pPr>
        <w:spacing w:before="163" w:after="163" w:line="360" w:lineRule="auto"/>
        <w:rPr>
          <w:rFonts w:cs="Times New Roman"/>
          <w:sz w:val="44"/>
          <w:szCs w:val="44"/>
        </w:rPr>
      </w:pPr>
    </w:p>
    <w:p w14:paraId="176AF1C0">
      <w:pPr>
        <w:spacing w:before="163" w:after="163" w:line="360" w:lineRule="auto"/>
        <w:rPr>
          <w:rFonts w:cs="Times New Roman"/>
          <w:sz w:val="44"/>
          <w:szCs w:val="44"/>
        </w:rPr>
      </w:pPr>
    </w:p>
    <w:p w14:paraId="73DF24E0">
      <w:pPr>
        <w:spacing w:before="163" w:after="163" w:line="560" w:lineRule="atLeast"/>
        <w:ind w:firstLine="880"/>
        <w:jc w:val="center"/>
        <w:rPr>
          <w:rFonts w:cs="Times New Roman"/>
          <w:sz w:val="44"/>
          <w:szCs w:val="44"/>
        </w:rPr>
      </w:pPr>
      <w:r>
        <w:rPr>
          <w:rFonts w:hint="eastAsia" w:cs="Times New Roman"/>
          <w:sz w:val="44"/>
          <w:szCs w:val="44"/>
        </w:rPr>
        <w:t xml:space="preserve">An </w:t>
      </w:r>
      <w:r>
        <w:rPr>
          <w:rFonts w:cs="Times New Roman"/>
          <w:sz w:val="44"/>
          <w:szCs w:val="44"/>
        </w:rPr>
        <w:t xml:space="preserve">APT Detection Method Integrating </w:t>
      </w:r>
      <w:r>
        <w:rPr>
          <w:rFonts w:hint="eastAsia" w:cs="Times New Roman"/>
          <w:sz w:val="44"/>
          <w:szCs w:val="44"/>
        </w:rPr>
        <w:t>LLM</w:t>
      </w:r>
      <w:r>
        <w:rPr>
          <w:rFonts w:cs="Times New Roman"/>
          <w:sz w:val="44"/>
          <w:szCs w:val="44"/>
        </w:rPr>
        <w:t xml:space="preserve"> and Predictive Reinforcement Learning for New Power Systems</w:t>
      </w:r>
    </w:p>
    <w:p w14:paraId="3BF46755">
      <w:pPr>
        <w:spacing w:before="163" w:after="163" w:line="560" w:lineRule="atLeast"/>
        <w:ind w:firstLine="880"/>
        <w:jc w:val="center"/>
        <w:rPr>
          <w:rFonts w:cs="Times New Roman"/>
          <w:sz w:val="44"/>
          <w:szCs w:val="44"/>
        </w:rPr>
      </w:pPr>
    </w:p>
    <w:p w14:paraId="2A2CF98D">
      <w:pPr>
        <w:spacing w:before="163" w:after="163" w:line="560" w:lineRule="atLeast"/>
        <w:ind w:firstLine="880"/>
        <w:jc w:val="center"/>
        <w:rPr>
          <w:rFonts w:cs="Times New Roman"/>
          <w:sz w:val="44"/>
          <w:szCs w:val="44"/>
        </w:rPr>
      </w:pPr>
    </w:p>
    <w:p w14:paraId="7988236B">
      <w:pPr>
        <w:spacing w:before="163" w:after="163" w:line="560" w:lineRule="atLeast"/>
        <w:ind w:firstLine="560"/>
        <w:jc w:val="center"/>
        <w:rPr>
          <w:rFonts w:cs="Times New Roman"/>
          <w:sz w:val="28"/>
          <w:szCs w:val="28"/>
        </w:rPr>
      </w:pPr>
    </w:p>
    <w:p w14:paraId="62FF5284">
      <w:pPr>
        <w:spacing w:before="163" w:after="163" w:line="560" w:lineRule="atLeast"/>
        <w:jc w:val="center"/>
        <w:rPr>
          <w:rFonts w:cs="Times New Roman"/>
          <w:sz w:val="44"/>
          <w:szCs w:val="44"/>
        </w:rPr>
      </w:pPr>
      <w:r>
        <w:rPr>
          <w:rFonts w:cs="Times New Roman"/>
          <w:sz w:val="28"/>
          <w:szCs w:val="28"/>
        </w:rPr>
        <w:t>By</w:t>
      </w:r>
    </w:p>
    <w:p w14:paraId="780D6FC3">
      <w:pPr>
        <w:spacing w:before="163" w:after="163" w:line="560" w:lineRule="atLeast"/>
        <w:jc w:val="center"/>
        <w:rPr>
          <w:rFonts w:cs="Times New Roman"/>
          <w:sz w:val="28"/>
          <w:szCs w:val="28"/>
        </w:rPr>
      </w:pPr>
      <w:r>
        <w:rPr>
          <w:rFonts w:hint="eastAsia" w:cs="Times New Roman"/>
          <w:sz w:val="28"/>
          <w:szCs w:val="28"/>
        </w:rPr>
        <w:t>Gao</w:t>
      </w:r>
      <w:r>
        <w:rPr>
          <w:rFonts w:cs="Times New Roman"/>
          <w:sz w:val="28"/>
          <w:szCs w:val="28"/>
        </w:rPr>
        <w:t xml:space="preserve"> </w:t>
      </w:r>
      <w:r>
        <w:rPr>
          <w:rFonts w:hint="eastAsia" w:cs="Times New Roman"/>
          <w:sz w:val="28"/>
          <w:szCs w:val="28"/>
        </w:rPr>
        <w:t>Qize</w:t>
      </w:r>
    </w:p>
    <w:p w14:paraId="36857591">
      <w:pPr>
        <w:spacing w:before="163" w:after="163" w:line="560" w:lineRule="atLeast"/>
        <w:ind w:firstLine="560"/>
        <w:jc w:val="center"/>
        <w:rPr>
          <w:rFonts w:cs="Times New Roman"/>
          <w:sz w:val="28"/>
          <w:szCs w:val="28"/>
        </w:rPr>
      </w:pPr>
    </w:p>
    <w:p w14:paraId="38FBFA8B">
      <w:pPr>
        <w:spacing w:before="163" w:after="163" w:line="560" w:lineRule="atLeast"/>
        <w:ind w:firstLine="560"/>
        <w:jc w:val="center"/>
        <w:rPr>
          <w:rFonts w:cs="Times New Roman"/>
          <w:sz w:val="28"/>
          <w:szCs w:val="28"/>
        </w:rPr>
      </w:pPr>
    </w:p>
    <w:p w14:paraId="35C7692F">
      <w:pPr>
        <w:spacing w:before="163" w:after="163" w:line="560" w:lineRule="atLeast"/>
        <w:jc w:val="center"/>
        <w:rPr>
          <w:rFonts w:cs="Times New Roman"/>
          <w:sz w:val="28"/>
          <w:szCs w:val="28"/>
        </w:rPr>
      </w:pPr>
      <w:r>
        <w:rPr>
          <w:rFonts w:cs="Times New Roman"/>
          <w:sz w:val="28"/>
          <w:szCs w:val="28"/>
        </w:rPr>
        <w:t>S</w:t>
      </w:r>
      <w:r>
        <w:rPr>
          <w:rFonts w:hint="eastAsia" w:cs="Times New Roman"/>
          <w:sz w:val="28"/>
          <w:szCs w:val="28"/>
        </w:rPr>
        <w:t>upervisor：</w:t>
      </w:r>
      <w:r>
        <w:rPr>
          <w:rFonts w:cs="Times New Roman"/>
          <w:sz w:val="28"/>
          <w:szCs w:val="28"/>
        </w:rPr>
        <w:t>Prof. Li June</w:t>
      </w:r>
    </w:p>
    <w:p w14:paraId="1C1C92D2">
      <w:pPr>
        <w:spacing w:before="163" w:after="163" w:line="560" w:lineRule="atLeast"/>
        <w:ind w:firstLine="560"/>
        <w:jc w:val="center"/>
        <w:rPr>
          <w:rFonts w:cs="Times New Roman"/>
          <w:sz w:val="28"/>
          <w:szCs w:val="28"/>
        </w:rPr>
      </w:pPr>
    </w:p>
    <w:p w14:paraId="2709FA11">
      <w:pPr>
        <w:spacing w:before="163" w:after="163" w:line="560" w:lineRule="atLeast"/>
        <w:rPr>
          <w:rFonts w:cs="Times New Roman"/>
          <w:sz w:val="28"/>
          <w:szCs w:val="28"/>
        </w:rPr>
      </w:pPr>
    </w:p>
    <w:p w14:paraId="1CB3EA63">
      <w:pPr>
        <w:spacing w:before="163" w:after="163" w:line="560" w:lineRule="atLeast"/>
        <w:jc w:val="center"/>
        <w:rPr>
          <w:rFonts w:cs="Times New Roman"/>
          <w:sz w:val="32"/>
          <w:szCs w:val="32"/>
        </w:rPr>
      </w:pPr>
      <w:r>
        <w:rPr>
          <w:rFonts w:cs="Times New Roman"/>
          <w:sz w:val="32"/>
          <w:szCs w:val="32"/>
        </w:rPr>
        <w:t>Wuhan University</w:t>
      </w:r>
    </w:p>
    <w:p w14:paraId="7479417E">
      <w:pPr>
        <w:spacing w:before="163" w:after="163" w:line="560" w:lineRule="atLeast"/>
        <w:jc w:val="center"/>
        <w:rPr>
          <w:rFonts w:cs="Times New Roman"/>
          <w:sz w:val="32"/>
          <w:szCs w:val="32"/>
        </w:rPr>
      </w:pPr>
      <w:r>
        <w:rPr>
          <w:rFonts w:hint="eastAsia" w:cs="Times New Roman"/>
          <w:sz w:val="32"/>
          <w:szCs w:val="32"/>
        </w:rPr>
        <w:t>May</w:t>
      </w:r>
      <w:r>
        <w:rPr>
          <w:rFonts w:cs="Times New Roman"/>
          <w:sz w:val="32"/>
          <w:szCs w:val="32"/>
        </w:rPr>
        <w:t>, 202</w:t>
      </w:r>
      <w:r>
        <w:rPr>
          <w:rFonts w:hint="eastAsia" w:cs="Times New Roman"/>
          <w:sz w:val="32"/>
          <w:szCs w:val="32"/>
        </w:rPr>
        <w:t>6</w:t>
      </w:r>
    </w:p>
    <w:p w14:paraId="04AA80C9">
      <w:pPr>
        <w:widowControl/>
        <w:spacing w:line="240" w:lineRule="auto"/>
        <w:jc w:val="left"/>
        <w:rPr>
          <w:rFonts w:cs="Times New Roman"/>
          <w:sz w:val="32"/>
          <w:szCs w:val="32"/>
        </w:rPr>
      </w:pPr>
      <w:r>
        <w:rPr>
          <w:rFonts w:cs="Times New Roman"/>
          <w:sz w:val="32"/>
          <w:szCs w:val="32"/>
        </w:rPr>
        <w:br w:type="page"/>
      </w:r>
    </w:p>
    <w:p w14:paraId="2D5B98B9">
      <w:pPr>
        <w:spacing w:before="163" w:after="163" w:line="560" w:lineRule="atLeast"/>
        <w:jc w:val="center"/>
        <w:rPr>
          <w:rFonts w:hint="eastAsia" w:ascii="黑体" w:hAnsi="黑体" w:eastAsia="黑体"/>
          <w:color w:val="FF0000"/>
        </w:rPr>
      </w:pPr>
      <w:r>
        <w:rPr>
          <w:rFonts w:hint="eastAsia" w:ascii="黑体" w:hAnsi="黑体" w:eastAsia="黑体"/>
          <w:color w:val="000000"/>
          <w:sz w:val="36"/>
          <w:szCs w:val="36"/>
        </w:rPr>
        <w:t>论文原创性声明</w:t>
      </w:r>
    </w:p>
    <w:p w14:paraId="2DFEAA9B">
      <w:pPr>
        <w:jc w:val="center"/>
      </w:pPr>
    </w:p>
    <w:p w14:paraId="1DE3B508">
      <w:pPr>
        <w:jc w:val="center"/>
        <w:rPr>
          <w:b/>
        </w:rPr>
      </w:pPr>
    </w:p>
    <w:p w14:paraId="43A4BAA3">
      <w:pPr>
        <w:spacing w:line="560" w:lineRule="atLeast"/>
        <w:ind w:firstLine="560" w:firstLineChars="200"/>
        <w:rPr>
          <w:sz w:val="28"/>
          <w:szCs w:val="28"/>
        </w:rPr>
      </w:pPr>
      <w:r>
        <w:rPr>
          <w:rFonts w:hint="eastAsia" w:hAnsi="宋体"/>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2198EB0A">
      <w:pPr>
        <w:spacing w:line="560" w:lineRule="atLeast"/>
        <w:rPr>
          <w:sz w:val="28"/>
          <w:szCs w:val="28"/>
        </w:rPr>
      </w:pPr>
    </w:p>
    <w:p w14:paraId="3E372B0E">
      <w:pPr>
        <w:spacing w:line="560" w:lineRule="atLeast"/>
        <w:jc w:val="right"/>
        <w:rPr>
          <w:rFonts w:hint="eastAsia" w:hAnsi="宋体"/>
          <w:sz w:val="28"/>
          <w:szCs w:val="28"/>
        </w:rPr>
      </w:pPr>
      <w:r>
        <w:rPr>
          <w:rFonts w:hint="eastAsia" w:hAnsi="宋体"/>
          <w:sz w:val="28"/>
          <w:szCs w:val="28"/>
        </w:rPr>
        <w:t xml:space="preserve">  学位论文作者（签名）：</w:t>
      </w:r>
      <w:r>
        <w:rPr>
          <w:rFonts w:hint="eastAsia" w:hAnsi="宋体"/>
          <w:sz w:val="28"/>
          <w:szCs w:val="28"/>
        </w:rPr>
        <w:drawing>
          <wp:inline distT="0" distB="0" distL="0" distR="0">
            <wp:extent cx="922020" cy="393700"/>
            <wp:effectExtent l="0" t="0" r="0" b="0"/>
            <wp:docPr id="90127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0385"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936223" cy="399949"/>
                    </a:xfrm>
                    <a:prstGeom prst="rect">
                      <a:avLst/>
                    </a:prstGeom>
                    <a:noFill/>
                    <a:ln>
                      <a:noFill/>
                    </a:ln>
                  </pic:spPr>
                </pic:pic>
              </a:graphicData>
            </a:graphic>
          </wp:inline>
        </w:drawing>
      </w:r>
    </w:p>
    <w:p w14:paraId="0A093620">
      <w:pPr>
        <w:spacing w:line="560" w:lineRule="atLeast"/>
        <w:jc w:val="right"/>
        <w:rPr>
          <w:rFonts w:hint="eastAsia" w:hAnsi="宋体"/>
          <w:sz w:val="28"/>
          <w:szCs w:val="28"/>
        </w:rPr>
      </w:pPr>
      <w:r>
        <w:rPr>
          <w:rFonts w:hint="eastAsia" w:hAnsi="宋体"/>
          <w:sz w:val="28"/>
          <w:szCs w:val="28"/>
        </w:rPr>
        <w:t>2026年5月19 日</w:t>
      </w:r>
    </w:p>
    <w:p w14:paraId="3B5D41C8">
      <w:pPr>
        <w:widowControl/>
        <w:spacing w:line="240" w:lineRule="auto"/>
        <w:jc w:val="left"/>
        <w:rPr>
          <w:rFonts w:hint="eastAsia" w:hAnsi="宋体"/>
          <w:sz w:val="28"/>
          <w:szCs w:val="28"/>
        </w:rPr>
      </w:pPr>
      <w:r>
        <w:rPr>
          <w:rFonts w:hint="eastAsia" w:hAnsi="宋体"/>
          <w:sz w:val="28"/>
          <w:szCs w:val="28"/>
        </w:rPr>
        <w:br w:type="page"/>
      </w:r>
    </w:p>
    <w:p w14:paraId="6202481F">
      <w:pPr>
        <w:widowControl/>
        <w:spacing w:line="240" w:lineRule="auto"/>
        <w:jc w:val="left"/>
        <w:rPr>
          <w:rFonts w:hint="eastAsia" w:hAnsi="宋体"/>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425" w:num="1"/>
          <w:docGrid w:type="lines" w:linePitch="312" w:charSpace="0"/>
        </w:sectPr>
      </w:pPr>
    </w:p>
    <w:p w14:paraId="539ABA59">
      <w:pPr>
        <w:pStyle w:val="2"/>
      </w:pPr>
      <w:bookmarkStart w:id="0" w:name="_Toc163672064"/>
      <w:bookmarkStart w:id="1" w:name="_Toc230086327"/>
      <w:bookmarkStart w:id="2" w:name="_Toc68804263"/>
      <w:r>
        <w:rPr>
          <w:rFonts w:hint="eastAsia"/>
        </w:rPr>
        <w:t>摘</w:t>
      </w:r>
      <w:r>
        <w:rPr>
          <w:rFonts w:hint="eastAsia"/>
          <w:sz w:val="24"/>
        </w:rPr>
        <w:t xml:space="preserve"> </w:t>
      </w:r>
      <w:r>
        <w:rPr>
          <w:sz w:val="24"/>
        </w:rPr>
        <w:t xml:space="preserve"> </w:t>
      </w:r>
      <w:r>
        <w:rPr>
          <w:rFonts w:hint="eastAsia"/>
        </w:rPr>
        <w:t>要</w:t>
      </w:r>
      <w:bookmarkEnd w:id="0"/>
      <w:bookmarkEnd w:id="1"/>
      <w:bookmarkEnd w:id="2"/>
    </w:p>
    <w:p w14:paraId="2E3A8B8C">
      <w:pPr>
        <w:ind w:firstLine="480" w:firstLineChars="200"/>
      </w:pPr>
      <w:r>
        <w:rPr>
          <w:rFonts w:hint="eastAsia"/>
        </w:rPr>
        <w:t>新型电力系统的运行环境日益复杂开放，遭受高级持续性威胁（Advanced Persistent Threat，APT）风险日益增加，严重威胁电力系统的安全稳定运行。然而，现有APT检测方法未全面考虑新型电力系统APT攻击长期隐匿性、持续演进、跨区域渗透等特点，难以实现及早且有效的攻击检测。为此，</w:t>
      </w:r>
      <w:r>
        <w:t>本文提出一种结合大模型和预测型强化学习的新型电力系统APT检测方法，主要工作如下：</w:t>
      </w:r>
    </w:p>
    <w:p w14:paraId="56DDD0DD">
      <w:pPr>
        <w:ind w:firstLine="480" w:firstLineChars="200"/>
      </w:pPr>
      <w:r>
        <w:rPr>
          <w:rFonts w:hint="eastAsia"/>
        </w:rPr>
        <w:t>1）针对现有特征选择方法大多仅考虑检测准确性并利用监督学习筛选特征，难以在APT异常线索微弱且持续演进情况下有效识别关键特征的问题，提出了一种基于性能反馈的自适应掩码特征选择方法。首先，基于对比学习进行特征预筛选，通过对比学习及特征贡献评估，有效地初步筛选出重要特征；然后，基于综合性能反馈进行自适应特征掩码选择，通过预测奖励反馈对特征组合进行动态优化，</w:t>
      </w:r>
      <w:r>
        <w:t>实现了关键特征的自适应更新。</w:t>
      </w:r>
      <w:r>
        <w:rPr>
          <w:rFonts w:hint="eastAsia"/>
        </w:rPr>
        <w:t>实验结果表明，所提方法能够有效地降低特征维度，且选出的日志特征相比现有方法平均回报提升了17.72，平均提前预警步数提升了5.62步。</w:t>
      </w:r>
    </w:p>
    <w:p w14:paraId="16A2977D">
      <w:pPr>
        <w:ind w:firstLine="480" w:firstLineChars="200"/>
      </w:pPr>
      <w:r>
        <w:rPr>
          <w:rFonts w:hint="eastAsia"/>
        </w:rPr>
        <w:t>2）针对现有APT检测方法仅根据当前观测进行决策、缺乏对当前行为及其后续演进的先验理解、从而难以有效兼顾检测准确性和提前预警能力的问题，提出了一种基于大模型先验和预测型强化学习的APT检测方法。首先，基于大语言模型</w:t>
      </w:r>
      <w:r>
        <w:rPr>
          <w:rFonts w:eastAsia="宋体" w:cs="Times New Roman"/>
        </w:rPr>
        <w:t>（Large Language Model，LLM）</w:t>
      </w:r>
      <w:r>
        <w:rPr>
          <w:rFonts w:hint="eastAsia"/>
        </w:rPr>
        <w:t>进行先验生成，通过生成包含先验偏好的候选计划，为APT检测提供可解释的先验信息；然后，基于集成动力概率学世界模型进行前瞻评估，通过对候选计划进行多步前瞻推演，为不同检测方案的比较提供进一步的依据；最后，基于PPO强化学习进行后验选择，实现了候选计划的后验选择与策略优化。实验结果表明，所提方法实现了有效的APT检测，相比现有方法平均回报提升了78.85，平均提前预警步数提升了18.15步。</w:t>
      </w:r>
    </w:p>
    <w:p w14:paraId="629C8735">
      <w:pPr>
        <w:ind w:firstLine="480" w:firstLineChars="200"/>
      </w:pPr>
      <w:r>
        <w:rPr>
          <w:rFonts w:hint="eastAsia"/>
        </w:rPr>
        <w:t>3）针对现有多区域检测和多智能体协作方法局限于集中式学习和分布式独立决策架构、难以实现APT跨区域渗透场景下整体协同性和单体灵活性的有效协调的问题，提出了一种基于大模型先验和多智能体协作的跨域协同检测方法。</w:t>
      </w:r>
      <w:r>
        <w:t>首先，</w:t>
      </w:r>
      <w:r>
        <w:rPr>
          <w:rFonts w:hint="eastAsia"/>
        </w:rPr>
        <w:t>使用LLM进行</w:t>
      </w:r>
      <w:r>
        <w:t>攻击阶段推理</w:t>
      </w:r>
      <w:r>
        <w:rPr>
          <w:rFonts w:hint="eastAsia"/>
        </w:rPr>
        <w:t>并生成针对跨域协同检测任务的协同动作先验计划，</w:t>
      </w:r>
      <w:r>
        <w:t>为协同决策提供先验信息和协作依据；然后，</w:t>
      </w:r>
      <w:r>
        <w:rPr>
          <w:rFonts w:hint="eastAsia"/>
        </w:rPr>
        <w:t>使用</w:t>
      </w:r>
      <w:r>
        <w:t>先验计划约束的多智能体协作决策，在协作先验约束下</w:t>
      </w:r>
      <w:r>
        <w:rPr>
          <w:rFonts w:hint="eastAsia"/>
        </w:rPr>
        <w:t>使用MAPPO方法进行协作策略学习与优化，</w:t>
      </w:r>
      <w:r>
        <w:t>实现了跨区域场景下的</w:t>
      </w:r>
      <w:r>
        <w:rPr>
          <w:rFonts w:hint="eastAsia"/>
        </w:rPr>
        <w:t>协同</w:t>
      </w:r>
      <w:r>
        <w:t>检测与</w:t>
      </w:r>
      <w:r>
        <w:rPr>
          <w:rFonts w:hint="eastAsia"/>
        </w:rPr>
        <w:t>联合</w:t>
      </w:r>
      <w:r>
        <w:t>优化。实验结果表明，</w:t>
      </w:r>
      <w:r>
        <w:rPr>
          <w:rFonts w:hint="eastAsia"/>
        </w:rPr>
        <w:t>所提方法实现了有效的APT跨域协同检测，相比现有方法平均回报提升了28.21，平均提前预警步数提升了38.77步</w:t>
      </w:r>
      <w:r>
        <w:t>。</w:t>
      </w:r>
    </w:p>
    <w:p w14:paraId="3E589887">
      <w:pPr>
        <w:ind w:firstLine="480" w:firstLineChars="200"/>
      </w:pPr>
      <w:r>
        <w:rPr>
          <w:rFonts w:hint="eastAsia"/>
        </w:rPr>
        <w:t>本文方法充分利用了大模型的先验理解、规划设计及语义推理等优势，提出了大模型-世界模型-强化学习融合的新型电力系统APT检测方法，能够有效兼顾检测性能和提前预警能力，为提升新型电力系统应对复杂隐匿APT威胁的能力提供关键技术方法支撑。</w:t>
      </w:r>
    </w:p>
    <w:p w14:paraId="1649F4D1">
      <w:pPr>
        <w:ind w:firstLine="480" w:firstLineChars="200"/>
      </w:pPr>
    </w:p>
    <w:p w14:paraId="590341C8">
      <w:pPr>
        <w:rPr>
          <w:rFonts w:hint="eastAsia" w:ascii="黑体" w:hAnsi="黑体" w:eastAsia="黑体" w:cs="Times New Roman"/>
          <w:kern w:val="0"/>
        </w:rPr>
      </w:pPr>
      <w:r>
        <w:rPr>
          <w:rFonts w:hint="eastAsia" w:ascii="黑体" w:hAnsi="黑体" w:eastAsia="黑体" w:cs="Times New Roman"/>
          <w:kern w:val="0"/>
        </w:rPr>
        <w:t>关键词</w:t>
      </w:r>
      <w:r>
        <w:rPr>
          <w:rFonts w:eastAsia="黑体" w:cs="Times New Roman"/>
          <w:kern w:val="0"/>
        </w:rPr>
        <w:t>：</w:t>
      </w:r>
      <w:r>
        <w:rPr>
          <w:rFonts w:hint="eastAsia"/>
        </w:rPr>
        <w:t>新型电力系统；高级持续性威胁检测；大语言模型；预测型强化学习；跨域协同检测</w:t>
      </w:r>
    </w:p>
    <w:p w14:paraId="27115C3A">
      <w:pPr>
        <w:widowControl/>
        <w:jc w:val="left"/>
      </w:pPr>
      <w:r>
        <w:br w:type="page"/>
      </w:r>
    </w:p>
    <w:p w14:paraId="7C335EF3">
      <w:pPr>
        <w:pStyle w:val="2"/>
      </w:pPr>
      <w:bookmarkStart w:id="3" w:name="_Toc163672065"/>
      <w:bookmarkStart w:id="4" w:name="_Toc230086328"/>
      <w:r>
        <w:rPr>
          <w:rFonts w:hint="eastAsia"/>
        </w:rPr>
        <w:t>Abstract</w:t>
      </w:r>
      <w:bookmarkEnd w:id="3"/>
      <w:bookmarkEnd w:id="4"/>
      <w:bookmarkStart w:id="5" w:name="OLE_LINK7"/>
    </w:p>
    <w:p w14:paraId="56E71EC7">
      <w:pPr>
        <w:ind w:firstLine="480" w:firstLineChars="200"/>
      </w:pPr>
      <w:r>
        <w:t>As the operating environment of new power systems becomes increasingly complex and open, the risk of Advanced Persistent Threat (APT) attacks continues to grow, posing a serious threat to the secure and stable operation of power systems. However, existing APT detection methods have yet to fully account for the characteristics of APT attacks in new power systems, such as long-term stealth, continuous evolution, and cross-regional infiltration, making it difficult to achieve timely and effective attack detection. To this end, this thesis proposes an APT detection method for new power systems that integrates large language models and predictive reinforcement learning. The main contributions are as follows:</w:t>
      </w:r>
    </w:p>
    <w:p w14:paraId="6A545B9F">
      <w:pPr>
        <w:ind w:firstLine="480" w:firstLineChars="200"/>
      </w:pPr>
      <w:r>
        <w:t>1) To address the limitation that most existing feature selection methods primarily focus on detection accuracy and rely on supervised learning for feature screening, making it difficult to effectively identify key features when APT anomalies are subtle and continuously evolving, a performance-feedback-driven adaptive mask-based feature selection method is proposed. First, a contrastive-learning-based feature pre-screening method is designed to preliminarily identify important features through contrastive learning and feature contribution evaluation. Then, an adaptive feature mask selection method based on comprehensive performance feedback is developed to dynamically optimize feature combinations through predictive reward feedback, thereby enabling the adaptive updating of key features. Experimental results demonstrate that the proposed method can effectively reduce feature dimensionality, and that the selected log features improve the average return by 17.72 and the average early warning lead time by 5.62 steps, compared with existing methods.</w:t>
      </w:r>
    </w:p>
    <w:p w14:paraId="11A00A97">
      <w:pPr>
        <w:ind w:firstLine="480" w:firstLineChars="200"/>
      </w:pPr>
      <w:r>
        <w:t>2) To address the limitation that existing APT detection methods make decisions solely based on current observations and lack prior understanding of current behaviors and their subsequent evolution, thereby making it difficult to effectively balance detection accuracy and early warning capability, an APT detection method based on large language model</w:t>
      </w:r>
      <w:r>
        <w:rPr>
          <w:rFonts w:hint="eastAsia"/>
        </w:rPr>
        <w:t xml:space="preserve"> (LLM)</w:t>
      </w:r>
      <w:r>
        <w:t xml:space="preserve"> priors and predictive reinforcement learning is proposed. First, an LLM-based prior generation method is designed to provide interpretable prior information for APT detection by generating candidate plans with prior preferences. Then, a foresight evaluation method based on an ensemble probabilistic dynamics world model is developed to perform multi-step look-ahead rollouts on candidate plans, thereby providing further support for the comparison of different detection schemes. Finally, a PPO-based reinforcement learning posterior selection method is designed to realize posterior selection and policy optimization over the candidate plans. Experimental results demonstrate that the proposed method achieves effective APT detection, with the average return improved by 78.85 and the average early warning lead time increased by 18.15 steps, compared with existing methods.</w:t>
      </w:r>
    </w:p>
    <w:p w14:paraId="26F9A9F0">
      <w:pPr>
        <w:ind w:firstLine="480" w:firstLineChars="200"/>
      </w:pPr>
      <w:r>
        <w:t>3) To address the limitation that existing multi-regional detection and multi-agent collaboration methods are largely confined to centralized learning and distributed independent decision-making architectures, making it difficult to effectively coordinate global collaboration and individual flexibility in APT cross-regional infiltration scenarios, a cross-domain collaborative detection method based on large language model priors and multi-agent collaboration is proposed. First, an LLM-based cross-domain collaborative prior plan generation method is designed, in which the LLM is employed to infer attack stages and generate collaborative action prior plans for cross-domain collaborative detection tasks, thereby providing prior information and a collaborative basis for joint decision-making. Then, a prior-plan-constrained multi-agent collaborative decision-making method is developed, in which MAPPO is adopted under collaborative prior constraints to learn and optimize collaborative policies, thereby achieving collaborative detection and joint optimization in cross-regional scenarios. Experimental results demonstrate that the proposed method achieves effective cross-domain collaborative APT detection, with the average return improved by 28.21 and the average early warning lead time increased by 38.77 steps, compared with existing methods.</w:t>
      </w:r>
    </w:p>
    <w:p w14:paraId="60DC9E2D">
      <w:pPr>
        <w:ind w:firstLine="480" w:firstLineChars="200"/>
      </w:pPr>
      <w:r>
        <w:t>This study fully leverages the strengths of large language models in prior understanding, planning, and semantic reasoning, and proposes an APT detection method for new power systems through the integration of large language models, world models, and reinforcement learning. The proposed method effectively balances detection performance and early warning capability, and provides methodological support for enhancing the resilience of new power systems against complex and stealthy APT threats.</w:t>
      </w:r>
    </w:p>
    <w:p w14:paraId="3D861989"/>
    <w:p w14:paraId="6B4C888C">
      <w:pPr>
        <w:widowControl/>
        <w:rPr>
          <w:rFonts w:eastAsia="宋体" w:cs="Times New Roman"/>
          <w:szCs w:val="24"/>
        </w:rPr>
      </w:pPr>
      <w:r>
        <w:rPr>
          <w:rFonts w:eastAsia="宋体" w:cs="Times New Roman"/>
          <w:b/>
          <w:szCs w:val="24"/>
        </w:rPr>
        <w:t>Keywords:</w:t>
      </w:r>
      <w:r>
        <w:t xml:space="preserve"> </w:t>
      </w:r>
      <w:bookmarkEnd w:id="5"/>
      <w:r>
        <w:t>New Power System; Advanced Persistent Threat Detection; Large Language Model; Predictive Reinforcement Learning; Cross-Domain Collaborative Detection.</w:t>
      </w:r>
      <w:r>
        <w:br w:type="page"/>
      </w:r>
    </w:p>
    <w:sdt>
      <w:sdtPr>
        <w:rPr>
          <w:rFonts w:asciiTheme="minorHAnsi" w:hAnsiTheme="minorHAnsi" w:eastAsiaTheme="minorEastAsia" w:cstheme="minorBidi"/>
          <w:color w:val="auto"/>
          <w:kern w:val="2"/>
          <w:sz w:val="21"/>
          <w:szCs w:val="22"/>
          <w:lang w:val="zh-CN"/>
        </w:rPr>
        <w:id w:val="-1373307429"/>
        <w:docPartObj>
          <w:docPartGallery w:val="Table of Contents"/>
          <w:docPartUnique/>
        </w:docPartObj>
      </w:sdtPr>
      <w:sdtEndPr>
        <w:rPr>
          <w:rFonts w:ascii="Times New Roman" w:hAnsi="Times New Roman" w:eastAsia="宋体" w:cs="Times New Roman"/>
          <w:color w:val="auto"/>
          <w:kern w:val="2"/>
          <w:sz w:val="21"/>
          <w:szCs w:val="21"/>
          <w:lang w:val="zh-CN"/>
        </w:rPr>
      </w:sdtEndPr>
      <w:sdtContent>
        <w:p w14:paraId="7A505901">
          <w:pPr>
            <w:pStyle w:val="42"/>
            <w:jc w:val="center"/>
            <w:rPr>
              <w:color w:val="000000" w:themeColor="text1"/>
              <w14:textFill>
                <w14:solidFill>
                  <w14:schemeClr w14:val="tx1"/>
                </w14:solidFill>
              </w14:textFill>
            </w:rPr>
          </w:pPr>
          <w:r>
            <w:rPr>
              <w:rFonts w:hint="eastAsia"/>
              <w:color w:val="000000" w:themeColor="text1"/>
              <w:lang w:val="zh-CN"/>
              <w14:textFill>
                <w14:solidFill>
                  <w14:schemeClr w14:val="tx1"/>
                </w14:solidFill>
              </w14:textFill>
            </w:rPr>
            <w:t>目</w:t>
          </w:r>
          <w:r>
            <w:rPr>
              <w:rFonts w:hint="eastAsia"/>
              <w:color w:val="000000" w:themeColor="text1"/>
              <w14:textFill>
                <w14:solidFill>
                  <w14:schemeClr w14:val="tx1"/>
                </w14:solidFill>
              </w14:textFill>
            </w:rPr>
            <w:t xml:space="preserve">  </w:t>
          </w:r>
          <w:r>
            <w:rPr>
              <w:rFonts w:hint="eastAsia"/>
              <w:color w:val="000000" w:themeColor="text1"/>
              <w:lang w:val="zh-CN"/>
              <w14:textFill>
                <w14:solidFill>
                  <w14:schemeClr w14:val="tx1"/>
                </w14:solidFill>
              </w14:textFill>
            </w:rPr>
            <w:t>录</w:t>
          </w:r>
        </w:p>
        <w:p w14:paraId="6BFF811F">
          <w:pPr>
            <w:pStyle w:val="14"/>
            <w:spacing w:line="240" w:lineRule="auto"/>
            <w:rPr>
              <w:rFonts w:asciiTheme="minorHAnsi" w:hAnsiTheme="minorHAnsi" w:cstheme="minorBidi"/>
              <w:b w:val="0"/>
              <w:sz w:val="22"/>
              <w14:ligatures w14:val="standardContextual"/>
            </w:rPr>
          </w:pPr>
          <w:r>
            <w:rPr>
              <w:rFonts w:eastAsia="宋体"/>
              <w:b w:val="0"/>
              <w:sz w:val="21"/>
              <w:szCs w:val="21"/>
              <w:lang w:val="zh-CN"/>
            </w:rPr>
            <w:fldChar w:fldCharType="begin" w:fldLock="1"/>
          </w:r>
          <w:r>
            <w:rPr>
              <w:rFonts w:eastAsia="宋体"/>
              <w:b w:val="0"/>
              <w:sz w:val="21"/>
              <w:szCs w:val="21"/>
              <w:lang w:val="zh-CN"/>
            </w:rPr>
            <w:instrText xml:space="preserve"> TOC \o "1-3" \h \z \u </w:instrText>
          </w:r>
          <w:r>
            <w:rPr>
              <w:rFonts w:eastAsia="宋体"/>
              <w:b w:val="0"/>
              <w:sz w:val="21"/>
              <w:szCs w:val="21"/>
              <w:lang w:val="zh-CN"/>
            </w:rPr>
            <w:fldChar w:fldCharType="separate"/>
          </w:r>
          <w:r>
            <w:fldChar w:fldCharType="begin"/>
          </w:r>
          <w:r>
            <w:instrText xml:space="preserve"> HYPERLINK \l "_Toc230086327" </w:instrText>
          </w:r>
          <w:r>
            <w:fldChar w:fldCharType="separate"/>
          </w:r>
          <w:r>
            <w:rPr>
              <w:rStyle w:val="22"/>
            </w:rPr>
            <w:t>摘  要</w:t>
          </w:r>
          <w:r>
            <w:rPr>
              <w:rFonts w:hint="eastAsia"/>
            </w:rPr>
            <w:tab/>
          </w:r>
          <w:r>
            <w:rPr>
              <w:rFonts w:hint="eastAsia"/>
            </w:rPr>
            <w:fldChar w:fldCharType="begin" w:fldLock="1"/>
          </w:r>
          <w:r>
            <w:rPr>
              <w:rFonts w:hint="eastAsia"/>
            </w:rPr>
            <w:instrText xml:space="preserve"> </w:instrText>
          </w:r>
          <w:r>
            <w:instrText xml:space="preserve">PAGEREF _Toc230086327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44097C52">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"_Toc230086328" </w:instrText>
          </w:r>
          <w:r>
            <w:fldChar w:fldCharType="separate"/>
          </w:r>
          <w:r>
            <w:rPr>
              <w:rStyle w:val="22"/>
            </w:rPr>
            <w:t>Abstract</w:t>
          </w:r>
          <w:r>
            <w:rPr>
              <w:rFonts w:hint="eastAsia"/>
            </w:rPr>
            <w:tab/>
          </w:r>
          <w:r>
            <w:rPr>
              <w:rFonts w:hint="eastAsia"/>
            </w:rPr>
            <w:fldChar w:fldCharType="begin" w:fldLock="1"/>
          </w:r>
          <w:r>
            <w:rPr>
              <w:rFonts w:hint="eastAsia"/>
            </w:rPr>
            <w:instrText xml:space="preserve"> </w:instrText>
          </w:r>
          <w:r>
            <w:instrText xml:space="preserve">PAGEREF _Toc230086328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3AF32B95">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"_Toc230086329" </w:instrText>
          </w:r>
          <w:r>
            <w:fldChar w:fldCharType="separate"/>
          </w:r>
          <w:r>
            <w:rPr>
              <w:rStyle w:val="22"/>
            </w:rPr>
            <w:t>第一章 绪论</w:t>
          </w:r>
          <w:r>
            <w:rPr>
              <w:rFonts w:hint="eastAsia"/>
            </w:rPr>
            <w:tab/>
          </w:r>
          <w:r>
            <w:rPr>
              <w:rFonts w:hint="eastAsia"/>
            </w:rPr>
            <w:fldChar w:fldCharType="begin" w:fldLock="1"/>
          </w:r>
          <w:r>
            <w:rPr>
              <w:rFonts w:hint="eastAsia"/>
            </w:rPr>
            <w:instrText xml:space="preserve"> </w:instrText>
          </w:r>
          <w:r>
            <w:instrText xml:space="preserve">PAGEREF _Toc230086329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DDBCC25">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"_Toc230086330" </w:instrText>
          </w:r>
          <w:r>
            <w:fldChar w:fldCharType="separate"/>
          </w:r>
          <w:r>
            <w:rPr>
              <w:rStyle w:val="22"/>
            </w:rPr>
            <w:t>1.1 研究背景与意义</w:t>
          </w:r>
          <w:r>
            <w:rPr>
              <w:rFonts w:hint="eastAsia"/>
            </w:rPr>
            <w:tab/>
          </w:r>
          <w:r>
            <w:rPr>
              <w:rFonts w:hint="eastAsia"/>
            </w:rPr>
            <w:fldChar w:fldCharType="begin" w:fldLock="1"/>
          </w:r>
          <w:r>
            <w:rPr>
              <w:rFonts w:hint="eastAsia"/>
            </w:rPr>
            <w:instrText xml:space="preserve"> </w:instrText>
          </w:r>
          <w:r>
            <w:instrText xml:space="preserve">PAGEREF _Toc230086330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4337931">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"_Toc230086331" </w:instrText>
          </w:r>
          <w:r>
            <w:fldChar w:fldCharType="separate"/>
          </w:r>
          <w:r>
            <w:rPr>
              <w:rStyle w:val="22"/>
            </w:rPr>
            <w:t>1.2 国内外研究现状</w:t>
          </w:r>
          <w:r>
            <w:rPr>
              <w:rFonts w:hint="eastAsia"/>
            </w:rPr>
            <w:tab/>
          </w:r>
          <w:r>
            <w:rPr>
              <w:rFonts w:hint="eastAsia"/>
            </w:rPr>
            <w:fldChar w:fldCharType="begin" w:fldLock="1"/>
          </w:r>
          <w:r>
            <w:rPr>
              <w:rFonts w:hint="eastAsia"/>
            </w:rPr>
            <w:instrText xml:space="preserve"> </w:instrText>
          </w:r>
          <w:r>
            <w:instrText xml:space="preserve">PAGEREF _Toc230086331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5BD06CC">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"_Toc230086332" </w:instrText>
          </w:r>
          <w:r>
            <w:fldChar w:fldCharType="separate"/>
          </w:r>
          <w:r>
            <w:rPr>
              <w:rStyle w:val="22"/>
            </w:rPr>
            <w:t>1.2.1 APT检测方法</w:t>
          </w:r>
          <w:r>
            <w:rPr>
              <w:rFonts w:hint="eastAsia"/>
            </w:rPr>
            <w:tab/>
          </w:r>
          <w:r>
            <w:rPr>
              <w:rFonts w:hint="eastAsia"/>
            </w:rPr>
            <w:fldChar w:fldCharType="begin" w:fldLock="1"/>
          </w:r>
          <w:r>
            <w:rPr>
              <w:rFonts w:hint="eastAsia"/>
            </w:rPr>
            <w:instrText xml:space="preserve"> </w:instrText>
          </w:r>
          <w:r>
            <w:instrText xml:space="preserve">PAGEREF _Toc230086332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FBA8A37">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"_Toc230086333" </w:instrText>
          </w:r>
          <w:r>
            <w:fldChar w:fldCharType="separate"/>
          </w:r>
          <w:r>
            <w:rPr>
              <w:rStyle w:val="22"/>
            </w:rPr>
            <w:t>1.2.2 多区域网络攻击检测方法</w:t>
          </w:r>
          <w:r>
            <w:rPr>
              <w:rFonts w:hint="eastAsia"/>
            </w:rPr>
            <w:tab/>
          </w:r>
          <w:r>
            <w:rPr>
              <w:rFonts w:hint="eastAsia"/>
            </w:rPr>
            <w:fldChar w:fldCharType="begin" w:fldLock="1"/>
          </w:r>
          <w:r>
            <w:rPr>
              <w:rFonts w:hint="eastAsia"/>
            </w:rPr>
            <w:instrText xml:space="preserve"> </w:instrText>
          </w:r>
          <w:r>
            <w:instrText xml:space="preserve">PAGEREF _Toc230086333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2552C1D">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"_Toc230086334" </w:instrText>
          </w:r>
          <w:r>
            <w:fldChar w:fldCharType="separate"/>
          </w:r>
          <w:r>
            <w:rPr>
              <w:rStyle w:val="22"/>
            </w:rPr>
            <w:t>1.2.3 特征选择方法</w:t>
          </w:r>
          <w:r>
            <w:rPr>
              <w:rFonts w:hint="eastAsia"/>
            </w:rPr>
            <w:tab/>
          </w:r>
          <w:r>
            <w:rPr>
              <w:rFonts w:hint="eastAsia"/>
            </w:rPr>
            <w:fldChar w:fldCharType="begin" w:fldLock="1"/>
          </w:r>
          <w:r>
            <w:rPr>
              <w:rFonts w:hint="eastAsia"/>
            </w:rPr>
            <w:instrText xml:space="preserve"> </w:instrText>
          </w:r>
          <w:r>
            <w:instrText xml:space="preserve">PAGEREF _Toc230086334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889F6A1">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"_Toc230086335" </w:instrText>
          </w:r>
          <w:r>
            <w:fldChar w:fldCharType="separate"/>
          </w:r>
          <w:r>
            <w:rPr>
              <w:rStyle w:val="22"/>
            </w:rPr>
            <w:t>1.2.4 大模型与强化学习结合方法</w:t>
          </w:r>
          <w:r>
            <w:rPr>
              <w:rFonts w:hint="eastAsia"/>
            </w:rPr>
            <w:tab/>
          </w:r>
          <w:r>
            <w:rPr>
              <w:rFonts w:hint="eastAsia"/>
            </w:rPr>
            <w:fldChar w:fldCharType="begin" w:fldLock="1"/>
          </w:r>
          <w:r>
            <w:rPr>
              <w:rFonts w:hint="eastAsia"/>
            </w:rPr>
            <w:instrText xml:space="preserve"> </w:instrText>
          </w:r>
          <w:r>
            <w:instrText xml:space="preserve">PAGEREF _Toc230086335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FC74AC4">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"_Toc230086336" </w:instrText>
          </w:r>
          <w:r>
            <w:fldChar w:fldCharType="separate"/>
          </w:r>
          <w:r>
            <w:rPr>
              <w:rStyle w:val="22"/>
            </w:rPr>
            <w:t>1.2.5 多智能体强化学习协作方法</w:t>
          </w:r>
          <w:r>
            <w:rPr>
              <w:rFonts w:hint="eastAsia"/>
            </w:rPr>
            <w:tab/>
          </w:r>
          <w:r>
            <w:rPr>
              <w:rFonts w:hint="eastAsia"/>
            </w:rPr>
            <w:fldChar w:fldCharType="begin" w:fldLock="1"/>
          </w:r>
          <w:r>
            <w:rPr>
              <w:rFonts w:hint="eastAsia"/>
            </w:rPr>
            <w:instrText xml:space="preserve"> </w:instrText>
          </w:r>
          <w:r>
            <w:instrText xml:space="preserve">PAGEREF _Toc230086336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B8C2E9A">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"_Toc230086337" </w:instrText>
          </w:r>
          <w:r>
            <w:fldChar w:fldCharType="separate"/>
          </w:r>
          <w:r>
            <w:rPr>
              <w:rStyle w:val="22"/>
            </w:rPr>
            <w:t>1.3 研究挑战</w:t>
          </w:r>
          <w:r>
            <w:rPr>
              <w:rFonts w:hint="eastAsia"/>
            </w:rPr>
            <w:tab/>
          </w:r>
          <w:r>
            <w:rPr>
              <w:rFonts w:hint="eastAsia"/>
            </w:rPr>
            <w:fldChar w:fldCharType="begin" w:fldLock="1"/>
          </w:r>
          <w:r>
            <w:rPr>
              <w:rFonts w:hint="eastAsia"/>
            </w:rPr>
            <w:instrText xml:space="preserve"> </w:instrText>
          </w:r>
          <w:r>
            <w:instrText xml:space="preserve">PAGEREF _Toc230086337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BE484E9">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"_Toc230086338" </w:instrText>
          </w:r>
          <w:r>
            <w:fldChar w:fldCharType="separate"/>
          </w:r>
          <w:r>
            <w:rPr>
              <w:rStyle w:val="22"/>
            </w:rPr>
            <w:t>1.4 本文研究内容</w:t>
          </w:r>
          <w:r>
            <w:rPr>
              <w:rFonts w:hint="eastAsia"/>
            </w:rPr>
            <w:tab/>
          </w:r>
          <w:r>
            <w:rPr>
              <w:rFonts w:hint="eastAsia"/>
            </w:rPr>
            <w:fldChar w:fldCharType="begin" w:fldLock="1"/>
          </w:r>
          <w:r>
            <w:rPr>
              <w:rFonts w:hint="eastAsia"/>
            </w:rPr>
            <w:instrText xml:space="preserve"> </w:instrText>
          </w:r>
          <w:r>
            <w:instrText xml:space="preserve">PAGEREF _Toc230086338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8CBDCF9">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"_Toc230086339" </w:instrText>
          </w:r>
          <w:r>
            <w:fldChar w:fldCharType="separate"/>
          </w:r>
          <w:r>
            <w:rPr>
              <w:rStyle w:val="22"/>
            </w:rPr>
            <w:t>1.5 论文组织架构</w:t>
          </w:r>
          <w:r>
            <w:rPr>
              <w:rFonts w:hint="eastAsia"/>
            </w:rPr>
            <w:tab/>
          </w:r>
          <w:r>
            <w:rPr>
              <w:rFonts w:hint="eastAsia"/>
            </w:rPr>
            <w:fldChar w:fldCharType="begin" w:fldLock="1"/>
          </w:r>
          <w:r>
            <w:rPr>
              <w:rFonts w:hint="eastAsia"/>
            </w:rPr>
            <w:instrText xml:space="preserve"> </w:instrText>
          </w:r>
          <w:r>
            <w:instrText xml:space="preserve">PAGEREF _Toc230086339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FE91FE2">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"_Toc230086340" </w:instrText>
          </w:r>
          <w:r>
            <w:fldChar w:fldCharType="separate"/>
          </w:r>
          <w:r>
            <w:rPr>
              <w:rStyle w:val="22"/>
            </w:rPr>
            <w:t>第二章 相关基础与方案概述</w:t>
          </w:r>
          <w:r>
            <w:rPr>
              <w:rFonts w:hint="eastAsia"/>
            </w:rPr>
            <w:tab/>
          </w:r>
          <w:r>
            <w:rPr>
              <w:rFonts w:hint="eastAsia"/>
            </w:rPr>
            <w:fldChar w:fldCharType="begin" w:fldLock="1"/>
          </w:r>
          <w:r>
            <w:rPr>
              <w:rFonts w:hint="eastAsia"/>
            </w:rPr>
            <w:instrText xml:space="preserve"> </w:instrText>
          </w:r>
          <w:r>
            <w:instrText xml:space="preserve">PAGEREF _Toc230086340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D7922BB">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"_Toc230086341" </w:instrText>
          </w:r>
          <w:r>
            <w:fldChar w:fldCharType="separate"/>
          </w:r>
          <w:r>
            <w:rPr>
              <w:rStyle w:val="22"/>
            </w:rPr>
            <w:t>2.1 新型电力系统APT特点分析</w:t>
          </w:r>
          <w:r>
            <w:rPr>
              <w:rFonts w:hint="eastAsia"/>
            </w:rPr>
            <w:tab/>
          </w:r>
          <w:r>
            <w:rPr>
              <w:rFonts w:hint="eastAsia"/>
            </w:rPr>
            <w:fldChar w:fldCharType="begin" w:fldLock="1"/>
          </w:r>
          <w:r>
            <w:rPr>
              <w:rFonts w:hint="eastAsia"/>
            </w:rPr>
            <w:instrText xml:space="preserve"> </w:instrText>
          </w:r>
          <w:r>
            <w:instrText xml:space="preserve">PAGEREF _Toc230086341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B361CB4">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"_Toc230086342" </w:instrText>
          </w:r>
          <w:r>
            <w:fldChar w:fldCharType="separate"/>
          </w:r>
          <w:r>
            <w:rPr>
              <w:rStyle w:val="22"/>
            </w:rPr>
            <w:t>2.1.1 新型电力系统的安全风险</w:t>
          </w:r>
          <w:r>
            <w:rPr>
              <w:rFonts w:hint="eastAsia"/>
            </w:rPr>
            <w:tab/>
          </w:r>
          <w:r>
            <w:rPr>
              <w:rFonts w:hint="eastAsia"/>
            </w:rPr>
            <w:fldChar w:fldCharType="begin" w:fldLock="1"/>
          </w:r>
          <w:r>
            <w:rPr>
              <w:rFonts w:hint="eastAsia"/>
            </w:rPr>
            <w:instrText xml:space="preserve"> </w:instrText>
          </w:r>
          <w:r>
            <w:instrText xml:space="preserve">PAGEREF _Toc230086342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5F7E4C9">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"_Toc230086343" </w:instrText>
          </w:r>
          <w:r>
            <w:fldChar w:fldCharType="separate"/>
          </w:r>
          <w:r>
            <w:rPr>
              <w:rStyle w:val="22"/>
            </w:rPr>
            <w:t>2.1.2 新型电力系统APT的特点</w:t>
          </w:r>
          <w:r>
            <w:rPr>
              <w:rFonts w:hint="eastAsia"/>
            </w:rPr>
            <w:tab/>
          </w:r>
          <w:r>
            <w:rPr>
              <w:rFonts w:hint="eastAsia"/>
            </w:rPr>
            <w:fldChar w:fldCharType="begin" w:fldLock="1"/>
          </w:r>
          <w:r>
            <w:rPr>
              <w:rFonts w:hint="eastAsia"/>
            </w:rPr>
            <w:instrText xml:space="preserve"> </w:instrText>
          </w:r>
          <w:r>
            <w:instrText xml:space="preserve">PAGEREF _Toc230086343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21099C3">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"_Toc230086344" </w:instrText>
          </w:r>
          <w:r>
            <w:fldChar w:fldCharType="separate"/>
          </w:r>
          <w:r>
            <w:rPr>
              <w:rStyle w:val="22"/>
            </w:rPr>
            <w:t>2.2 大语言模型</w:t>
          </w:r>
          <w:r>
            <w:rPr>
              <w:rFonts w:hint="eastAsia"/>
            </w:rPr>
            <w:tab/>
          </w:r>
          <w:r>
            <w:rPr>
              <w:rFonts w:hint="eastAsia"/>
            </w:rPr>
            <w:fldChar w:fldCharType="begin" w:fldLock="1"/>
          </w:r>
          <w:r>
            <w:rPr>
              <w:rFonts w:hint="eastAsia"/>
            </w:rPr>
            <w:instrText xml:space="preserve"> </w:instrText>
          </w:r>
          <w:r>
            <w:instrText xml:space="preserve">PAGEREF _Toc230086344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1E77DCC">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"_Toc230086345" </w:instrText>
          </w:r>
          <w:r>
            <w:fldChar w:fldCharType="separate"/>
          </w:r>
          <w:r>
            <w:rPr>
              <w:rStyle w:val="22"/>
            </w:rPr>
            <w:t>2.3 预测型强化学习</w:t>
          </w:r>
          <w:r>
            <w:rPr>
              <w:rFonts w:hint="eastAsia"/>
            </w:rPr>
            <w:tab/>
          </w:r>
          <w:r>
            <w:rPr>
              <w:rFonts w:hint="eastAsia"/>
            </w:rPr>
            <w:fldChar w:fldCharType="begin" w:fldLock="1"/>
          </w:r>
          <w:r>
            <w:rPr>
              <w:rFonts w:hint="eastAsia"/>
            </w:rPr>
            <w:instrText xml:space="preserve"> </w:instrText>
          </w:r>
          <w:r>
            <w:instrText xml:space="preserve">PAGEREF _Toc230086345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8D1B82D">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"_Toc230086346" </w:instrText>
          </w:r>
          <w:r>
            <w:fldChar w:fldCharType="separate"/>
          </w:r>
          <w:r>
            <w:rPr>
              <w:rStyle w:val="22"/>
            </w:rPr>
            <w:t>2.4 多智能体强化学习</w:t>
          </w:r>
          <w:r>
            <w:rPr>
              <w:rFonts w:hint="eastAsia"/>
            </w:rPr>
            <w:tab/>
          </w:r>
          <w:r>
            <w:rPr>
              <w:rFonts w:hint="eastAsia"/>
            </w:rPr>
            <w:fldChar w:fldCharType="begin" w:fldLock="1"/>
          </w:r>
          <w:r>
            <w:rPr>
              <w:rFonts w:hint="eastAsia"/>
            </w:rPr>
            <w:instrText xml:space="preserve"> </w:instrText>
          </w:r>
          <w:r>
            <w:instrText xml:space="preserve">PAGEREF _Toc230086346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093719D">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"_Toc230086347" </w:instrText>
          </w:r>
          <w:r>
            <w:fldChar w:fldCharType="separate"/>
          </w:r>
          <w:r>
            <w:rPr>
              <w:rStyle w:val="22"/>
            </w:rPr>
            <w:t>2.5 本文方案概述</w:t>
          </w:r>
          <w:r>
            <w:rPr>
              <w:rFonts w:hint="eastAsia"/>
            </w:rPr>
            <w:tab/>
          </w:r>
          <w:r>
            <w:rPr>
              <w:rFonts w:hint="eastAsia"/>
            </w:rPr>
            <w:fldChar w:fldCharType="begin" w:fldLock="1"/>
          </w:r>
          <w:r>
            <w:rPr>
              <w:rFonts w:hint="eastAsia"/>
            </w:rPr>
            <w:instrText xml:space="preserve"> </w:instrText>
          </w:r>
          <w:r>
            <w:instrText xml:space="preserve">PAGEREF _Toc230086347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37A50A7">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"_Toc230086348" </w:instrText>
          </w:r>
          <w:r>
            <w:fldChar w:fldCharType="separate"/>
          </w:r>
          <w:r>
            <w:rPr>
              <w:rStyle w:val="22"/>
            </w:rPr>
            <w:t>2.6 本章小结</w:t>
          </w:r>
          <w:r>
            <w:rPr>
              <w:rFonts w:hint="eastAsia"/>
            </w:rPr>
            <w:tab/>
          </w:r>
          <w:r>
            <w:rPr>
              <w:rFonts w:hint="eastAsia"/>
            </w:rPr>
            <w:fldChar w:fldCharType="begin" w:fldLock="1"/>
          </w:r>
          <w:r>
            <w:rPr>
              <w:rFonts w:hint="eastAsia"/>
            </w:rPr>
            <w:instrText xml:space="preserve"> </w:instrText>
          </w:r>
          <w:r>
            <w:instrText xml:space="preserve">PAGEREF _Toc230086348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2674EE7C">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"_Toc230086349" </w:instrText>
          </w:r>
          <w:r>
            <w:fldChar w:fldCharType="separate"/>
          </w:r>
          <w:r>
            <w:rPr>
              <w:rStyle w:val="22"/>
            </w:rPr>
            <w:t>第三章 基于性能反馈的自适应掩码特征选择方法</w:t>
          </w:r>
          <w:r>
            <w:rPr>
              <w:rFonts w:hint="eastAsia"/>
            </w:rPr>
            <w:tab/>
          </w:r>
          <w:r>
            <w:rPr>
              <w:rFonts w:hint="eastAsia"/>
            </w:rPr>
            <w:fldChar w:fldCharType="begin" w:fldLock="1"/>
          </w:r>
          <w:r>
            <w:rPr>
              <w:rFonts w:hint="eastAsia"/>
            </w:rPr>
            <w:instrText xml:space="preserve"> </w:instrText>
          </w:r>
          <w:r>
            <w:instrText xml:space="preserve">PAGEREF _Toc230086349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EEDE063">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"_Toc230086350" </w:instrText>
          </w:r>
          <w:r>
            <w:fldChar w:fldCharType="separate"/>
          </w:r>
          <w:r>
            <w:rPr>
              <w:rStyle w:val="22"/>
            </w:rPr>
            <w:t>3.1 方法概述</w:t>
          </w:r>
          <w:r>
            <w:rPr>
              <w:rFonts w:hint="eastAsia"/>
            </w:rPr>
            <w:tab/>
          </w:r>
          <w:r>
            <w:rPr>
              <w:rFonts w:hint="eastAsia"/>
            </w:rPr>
            <w:fldChar w:fldCharType="begin" w:fldLock="1"/>
          </w:r>
          <w:r>
            <w:rPr>
              <w:rFonts w:hint="eastAsia"/>
            </w:rPr>
            <w:instrText xml:space="preserve"> </w:instrText>
          </w:r>
          <w:r>
            <w:instrText xml:space="preserve">PAGEREF _Toc230086350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6C631E6">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"_Toc230086351" </w:instrText>
          </w:r>
          <w:r>
            <w:fldChar w:fldCharType="separate"/>
          </w:r>
          <w:r>
            <w:rPr>
              <w:rStyle w:val="22"/>
            </w:rPr>
            <w:t>3.2 基于对比学习的特征预筛选</w:t>
          </w:r>
          <w:r>
            <w:rPr>
              <w:rFonts w:hint="eastAsia"/>
            </w:rPr>
            <w:tab/>
          </w:r>
          <w:r>
            <w:rPr>
              <w:rFonts w:hint="eastAsia"/>
            </w:rPr>
            <w:fldChar w:fldCharType="begin" w:fldLock="1"/>
          </w:r>
          <w:r>
            <w:rPr>
              <w:rFonts w:hint="eastAsia"/>
            </w:rPr>
            <w:instrText xml:space="preserve"> </w:instrText>
          </w:r>
          <w:r>
            <w:instrText xml:space="preserve">PAGEREF _Toc230086351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C7508D0">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"_Toc230086352" </w:instrText>
          </w:r>
          <w:r>
            <w:fldChar w:fldCharType="separate"/>
          </w:r>
          <w:r>
            <w:rPr>
              <w:rStyle w:val="22"/>
            </w:rPr>
            <w:t>3.2.1 异构行为特征统一编码</w:t>
          </w:r>
          <w:r>
            <w:rPr>
              <w:rFonts w:hint="eastAsia"/>
            </w:rPr>
            <w:tab/>
          </w:r>
          <w:r>
            <w:rPr>
              <w:rFonts w:hint="eastAsia"/>
            </w:rPr>
            <w:fldChar w:fldCharType="begin" w:fldLock="1"/>
          </w:r>
          <w:r>
            <w:rPr>
              <w:rFonts w:hint="eastAsia"/>
            </w:rPr>
            <w:instrText xml:space="preserve"> </w:instrText>
          </w:r>
          <w:r>
            <w:instrText xml:space="preserve">PAGEREF _Toc230086352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0DFFF9C">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"_Toc230086353" </w:instrText>
          </w:r>
          <w:r>
            <w:fldChar w:fldCharType="separate"/>
          </w:r>
          <w:r>
            <w:rPr>
              <w:rStyle w:val="22"/>
            </w:rPr>
            <w:t>3.2.2 基于对比学习的行为表示</w:t>
          </w:r>
          <w:r>
            <w:rPr>
              <w:rFonts w:hint="eastAsia"/>
            </w:rPr>
            <w:tab/>
          </w:r>
          <w:r>
            <w:rPr>
              <w:rFonts w:hint="eastAsia"/>
            </w:rPr>
            <w:fldChar w:fldCharType="begin" w:fldLock="1"/>
          </w:r>
          <w:r>
            <w:rPr>
              <w:rFonts w:hint="eastAsia"/>
            </w:rPr>
            <w:instrText xml:space="preserve"> </w:instrText>
          </w:r>
          <w:r>
            <w:instrText xml:space="preserve">PAGEREF _Toc230086353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C5DDAD1">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"_Toc230086354" </w:instrText>
          </w:r>
          <w:r>
            <w:fldChar w:fldCharType="separate"/>
          </w:r>
          <w:r>
            <w:rPr>
              <w:rStyle w:val="22"/>
            </w:rPr>
            <w:t>3.2.3 特征贡献评估与筛选</w:t>
          </w:r>
          <w:r>
            <w:rPr>
              <w:rFonts w:hint="eastAsia"/>
            </w:rPr>
            <w:tab/>
          </w:r>
          <w:r>
            <w:rPr>
              <w:rFonts w:hint="eastAsia"/>
            </w:rPr>
            <w:fldChar w:fldCharType="begin" w:fldLock="1"/>
          </w:r>
          <w:r>
            <w:rPr>
              <w:rFonts w:hint="eastAsia"/>
            </w:rPr>
            <w:instrText xml:space="preserve"> </w:instrText>
          </w:r>
          <w:r>
            <w:instrText xml:space="preserve">PAGEREF _Toc230086354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7A040EC">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"_Toc230086355" </w:instrText>
          </w:r>
          <w:r>
            <w:fldChar w:fldCharType="separate"/>
          </w:r>
          <w:r>
            <w:rPr>
              <w:rStyle w:val="22"/>
            </w:rPr>
            <w:t>3.3 基于综合性能反馈的自适应特征掩码选择</w:t>
          </w:r>
          <w:r>
            <w:rPr>
              <w:rFonts w:hint="eastAsia"/>
            </w:rPr>
            <w:tab/>
          </w:r>
          <w:r>
            <w:rPr>
              <w:rFonts w:hint="eastAsia"/>
            </w:rPr>
            <w:fldChar w:fldCharType="begin" w:fldLock="1"/>
          </w:r>
          <w:r>
            <w:rPr>
              <w:rFonts w:hint="eastAsia"/>
            </w:rPr>
            <w:instrText xml:space="preserve"> </w:instrText>
          </w:r>
          <w:r>
            <w:instrText xml:space="preserve">PAGEREF _Toc230086355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9E74BAB">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"_Toc230086356" </w:instrText>
          </w:r>
          <w:r>
            <w:fldChar w:fldCharType="separate"/>
          </w:r>
          <w:r>
            <w:rPr>
              <w:rStyle w:val="22"/>
            </w:rPr>
            <w:t>3.3.1 特征掩码构建</w:t>
          </w:r>
          <w:r>
            <w:rPr>
              <w:rFonts w:hint="eastAsia"/>
            </w:rPr>
            <w:tab/>
          </w:r>
          <w:r>
            <w:rPr>
              <w:rFonts w:hint="eastAsia"/>
            </w:rPr>
            <w:fldChar w:fldCharType="begin" w:fldLock="1"/>
          </w:r>
          <w:r>
            <w:rPr>
              <w:rFonts w:hint="eastAsia"/>
            </w:rPr>
            <w:instrText xml:space="preserve"> </w:instrText>
          </w:r>
          <w:r>
            <w:instrText xml:space="preserve">PAGEREF _Toc230086356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294E9FDC">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"_Toc230086357" </w:instrText>
          </w:r>
          <w:r>
            <w:fldChar w:fldCharType="separate"/>
          </w:r>
          <w:r>
            <w:rPr>
              <w:rStyle w:val="22"/>
            </w:rPr>
            <w:t>3.3.2 轻量预检测</w:t>
          </w:r>
          <w:r>
            <w:rPr>
              <w:rFonts w:hint="eastAsia"/>
            </w:rPr>
            <w:tab/>
          </w:r>
          <w:r>
            <w:rPr>
              <w:rFonts w:hint="eastAsia"/>
            </w:rPr>
            <w:fldChar w:fldCharType="begin" w:fldLock="1"/>
          </w:r>
          <w:r>
            <w:rPr>
              <w:rFonts w:hint="eastAsia"/>
            </w:rPr>
            <w:instrText xml:space="preserve"> </w:instrText>
          </w:r>
          <w:r>
            <w:instrText xml:space="preserve">PAGEREF _Toc230086357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857925D">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"_Toc230086358" </w:instrText>
          </w:r>
          <w:r>
            <w:fldChar w:fldCharType="separate"/>
          </w:r>
          <w:r>
            <w:rPr>
              <w:rStyle w:val="22"/>
            </w:rPr>
            <w:t>3.3.3 基于综合性能反馈的特征选择策略优化</w:t>
          </w:r>
          <w:r>
            <w:rPr>
              <w:rFonts w:hint="eastAsia"/>
            </w:rPr>
            <w:tab/>
          </w:r>
          <w:r>
            <w:rPr>
              <w:rFonts w:hint="eastAsia"/>
            </w:rPr>
            <w:fldChar w:fldCharType="begin" w:fldLock="1"/>
          </w:r>
          <w:r>
            <w:rPr>
              <w:rFonts w:hint="eastAsia"/>
            </w:rPr>
            <w:instrText xml:space="preserve"> </w:instrText>
          </w:r>
          <w:r>
            <w:instrText xml:space="preserve">PAGEREF _Toc230086358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6296D2A6">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"_Toc230086359" </w:instrText>
          </w:r>
          <w:r>
            <w:fldChar w:fldCharType="separate"/>
          </w:r>
          <w:r>
            <w:rPr>
              <w:rStyle w:val="22"/>
            </w:rPr>
            <w:t>3.4 实验与分析</w:t>
          </w:r>
          <w:r>
            <w:rPr>
              <w:rFonts w:hint="eastAsia"/>
            </w:rPr>
            <w:tab/>
          </w:r>
          <w:r>
            <w:rPr>
              <w:rFonts w:hint="eastAsia"/>
            </w:rPr>
            <w:fldChar w:fldCharType="begin" w:fldLock="1"/>
          </w:r>
          <w:r>
            <w:rPr>
              <w:rFonts w:hint="eastAsia"/>
            </w:rPr>
            <w:instrText xml:space="preserve"> </w:instrText>
          </w:r>
          <w:r>
            <w:instrText xml:space="preserve">PAGEREF _Toc230086359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4F1C147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"_Toc230086360" </w:instrText>
          </w:r>
          <w:r>
            <w:fldChar w:fldCharType="separate"/>
          </w:r>
          <w:r>
            <w:rPr>
              <w:rStyle w:val="22"/>
            </w:rPr>
            <w:t>3.4.1 实验设置</w:t>
          </w:r>
          <w:r>
            <w:rPr>
              <w:rFonts w:hint="eastAsia"/>
            </w:rPr>
            <w:tab/>
          </w:r>
          <w:r>
            <w:rPr>
              <w:rFonts w:hint="eastAsia"/>
            </w:rPr>
            <w:fldChar w:fldCharType="begin" w:fldLock="1"/>
          </w:r>
          <w:r>
            <w:rPr>
              <w:rFonts w:hint="eastAsia"/>
            </w:rPr>
            <w:instrText xml:space="preserve"> </w:instrText>
          </w:r>
          <w:r>
            <w:instrText xml:space="preserve">PAGEREF _Toc230086360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034A74ED">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"_Toc230086361" </w:instrText>
          </w:r>
          <w:r>
            <w:fldChar w:fldCharType="separate"/>
          </w:r>
          <w:r>
            <w:rPr>
              <w:rStyle w:val="22"/>
            </w:rPr>
            <w:t>3.4.2 数据集</w:t>
          </w:r>
          <w:r>
            <w:rPr>
              <w:rFonts w:hint="eastAsia"/>
            </w:rPr>
            <w:tab/>
          </w:r>
          <w:r>
            <w:rPr>
              <w:rFonts w:hint="eastAsia"/>
            </w:rPr>
            <w:fldChar w:fldCharType="begin" w:fldLock="1"/>
          </w:r>
          <w:r>
            <w:rPr>
              <w:rFonts w:hint="eastAsia"/>
            </w:rPr>
            <w:instrText xml:space="preserve"> </w:instrText>
          </w:r>
          <w:r>
            <w:instrText xml:space="preserve">PAGEREF _Toc230086361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5A744B16">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"_Toc230086362" </w:instrText>
          </w:r>
          <w:r>
            <w:fldChar w:fldCharType="separate"/>
          </w:r>
          <w:r>
            <w:rPr>
              <w:rStyle w:val="22"/>
            </w:rPr>
            <w:t>3.4.3 对比文献</w:t>
          </w:r>
          <w:r>
            <w:rPr>
              <w:rFonts w:hint="eastAsia"/>
            </w:rPr>
            <w:tab/>
          </w:r>
          <w:r>
            <w:rPr>
              <w:rFonts w:hint="eastAsia"/>
            </w:rPr>
            <w:fldChar w:fldCharType="begin" w:fldLock="1"/>
          </w:r>
          <w:r>
            <w:rPr>
              <w:rFonts w:hint="eastAsia"/>
            </w:rPr>
            <w:instrText xml:space="preserve"> </w:instrText>
          </w:r>
          <w:r>
            <w:instrText xml:space="preserve">PAGEREF _Toc230086362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3A718487">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"_Toc230086363" </w:instrText>
          </w:r>
          <w:r>
            <w:fldChar w:fldCharType="separate"/>
          </w:r>
          <w:r>
            <w:rPr>
              <w:rStyle w:val="22"/>
            </w:rPr>
            <w:t>3.4.4 降维效果分析</w:t>
          </w:r>
          <w:r>
            <w:rPr>
              <w:rFonts w:hint="eastAsia"/>
            </w:rPr>
            <w:tab/>
          </w:r>
          <w:r>
            <w:rPr>
              <w:rFonts w:hint="eastAsia"/>
            </w:rPr>
            <w:fldChar w:fldCharType="begin" w:fldLock="1"/>
          </w:r>
          <w:r>
            <w:rPr>
              <w:rFonts w:hint="eastAsia"/>
            </w:rPr>
            <w:instrText xml:space="preserve"> </w:instrText>
          </w:r>
          <w:r>
            <w:instrText xml:space="preserve">PAGEREF _Toc230086363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2FF6115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"_Toc230086364" </w:instrText>
          </w:r>
          <w:r>
            <w:fldChar w:fldCharType="separate"/>
          </w:r>
          <w:r>
            <w:rPr>
              <w:rStyle w:val="22"/>
            </w:rPr>
            <w:t>3.4.5 攻击检测效果验证</w:t>
          </w:r>
          <w:r>
            <w:rPr>
              <w:rFonts w:hint="eastAsia"/>
            </w:rPr>
            <w:tab/>
          </w:r>
          <w:r>
            <w:rPr>
              <w:rFonts w:hint="eastAsia"/>
            </w:rPr>
            <w:fldChar w:fldCharType="begin" w:fldLock="1"/>
          </w:r>
          <w:r>
            <w:rPr>
              <w:rFonts w:hint="eastAsia"/>
            </w:rPr>
            <w:instrText xml:space="preserve"> </w:instrText>
          </w:r>
          <w:r>
            <w:instrText xml:space="preserve">PAGEREF _Toc230086364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0E04692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"_Toc230086365" </w:instrText>
          </w:r>
          <w:r>
            <w:fldChar w:fldCharType="separate"/>
          </w:r>
          <w:r>
            <w:rPr>
              <w:rStyle w:val="22"/>
            </w:rPr>
            <w:t>3.4.6 提前预警能力验证</w:t>
          </w:r>
          <w:r>
            <w:rPr>
              <w:rFonts w:hint="eastAsia"/>
            </w:rPr>
            <w:tab/>
          </w:r>
          <w:r>
            <w:rPr>
              <w:rFonts w:hint="eastAsia"/>
            </w:rPr>
            <w:fldChar w:fldCharType="begin" w:fldLock="1"/>
          </w:r>
          <w:r>
            <w:rPr>
              <w:rFonts w:hint="eastAsia"/>
            </w:rPr>
            <w:instrText xml:space="preserve"> </w:instrText>
          </w:r>
          <w:r>
            <w:instrText xml:space="preserve">PAGEREF _Toc230086365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5A431DF6">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"_Toc230086366" </w:instrText>
          </w:r>
          <w:r>
            <w:fldChar w:fldCharType="separate"/>
          </w:r>
          <w:r>
            <w:rPr>
              <w:rStyle w:val="22"/>
            </w:rPr>
            <w:t>3.4.7 消融实验</w:t>
          </w:r>
          <w:r>
            <w:rPr>
              <w:rFonts w:hint="eastAsia"/>
            </w:rPr>
            <w:tab/>
          </w:r>
          <w:r>
            <w:rPr>
              <w:rFonts w:hint="eastAsia"/>
            </w:rPr>
            <w:fldChar w:fldCharType="begin" w:fldLock="1"/>
          </w:r>
          <w:r>
            <w:rPr>
              <w:rFonts w:hint="eastAsia"/>
            </w:rPr>
            <w:instrText xml:space="preserve"> </w:instrText>
          </w:r>
          <w:r>
            <w:instrText xml:space="preserve">PAGEREF _Toc230086366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5BE15EED">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"_Toc230086367" </w:instrText>
          </w:r>
          <w:r>
            <w:fldChar w:fldCharType="separate"/>
          </w:r>
          <w:r>
            <w:rPr>
              <w:rStyle w:val="22"/>
            </w:rPr>
            <w:t>3.5 本章小结</w:t>
          </w:r>
          <w:r>
            <w:rPr>
              <w:rFonts w:hint="eastAsia"/>
            </w:rPr>
            <w:tab/>
          </w:r>
          <w:r>
            <w:rPr>
              <w:rFonts w:hint="eastAsia"/>
            </w:rPr>
            <w:fldChar w:fldCharType="begin" w:fldLock="1"/>
          </w:r>
          <w:r>
            <w:rPr>
              <w:rFonts w:hint="eastAsia"/>
            </w:rPr>
            <w:instrText xml:space="preserve"> </w:instrText>
          </w:r>
          <w:r>
            <w:instrText xml:space="preserve">PAGEREF _Toc230086367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70038DE6">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"_Toc230086368" </w:instrText>
          </w:r>
          <w:r>
            <w:fldChar w:fldCharType="separate"/>
          </w:r>
          <w:r>
            <w:rPr>
              <w:rStyle w:val="22"/>
            </w:rPr>
            <w:t>第四章 基于大模型先验和预测型强化学习的APT检测方法</w:t>
          </w:r>
          <w:r>
            <w:rPr>
              <w:rFonts w:hint="eastAsia"/>
            </w:rPr>
            <w:tab/>
          </w:r>
          <w:r>
            <w:rPr>
              <w:rFonts w:hint="eastAsia"/>
            </w:rPr>
            <w:fldChar w:fldCharType="begin" w:fldLock="1"/>
          </w:r>
          <w:r>
            <w:rPr>
              <w:rFonts w:hint="eastAsia"/>
            </w:rPr>
            <w:instrText xml:space="preserve"> </w:instrText>
          </w:r>
          <w:r>
            <w:instrText xml:space="preserve">PAGEREF _Toc230086368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5367AEA8">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"_Toc230086369" </w:instrText>
          </w:r>
          <w:r>
            <w:fldChar w:fldCharType="separate"/>
          </w:r>
          <w:r>
            <w:rPr>
              <w:rStyle w:val="22"/>
            </w:rPr>
            <w:t>4.1 方法概述</w:t>
          </w:r>
          <w:r>
            <w:rPr>
              <w:rFonts w:hint="eastAsia"/>
            </w:rPr>
            <w:tab/>
          </w:r>
          <w:r>
            <w:rPr>
              <w:rFonts w:hint="eastAsia"/>
            </w:rPr>
            <w:fldChar w:fldCharType="begin" w:fldLock="1"/>
          </w:r>
          <w:r>
            <w:rPr>
              <w:rFonts w:hint="eastAsia"/>
            </w:rPr>
            <w:instrText xml:space="preserve"> </w:instrText>
          </w:r>
          <w:r>
            <w:instrText xml:space="preserve">PAGEREF _Toc230086369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4BA457D8">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"_Toc230086370" </w:instrText>
          </w:r>
          <w:r>
            <w:fldChar w:fldCharType="separate"/>
          </w:r>
          <w:r>
            <w:rPr>
              <w:rStyle w:val="22"/>
            </w:rPr>
            <w:t>4.2 基于LLM的先验生成</w:t>
          </w:r>
          <w:r>
            <w:rPr>
              <w:rFonts w:hint="eastAsia"/>
            </w:rPr>
            <w:tab/>
          </w:r>
          <w:r>
            <w:rPr>
              <w:rFonts w:hint="eastAsia"/>
            </w:rPr>
            <w:fldChar w:fldCharType="begin" w:fldLock="1"/>
          </w:r>
          <w:r>
            <w:rPr>
              <w:rFonts w:hint="eastAsia"/>
            </w:rPr>
            <w:instrText xml:space="preserve"> </w:instrText>
          </w:r>
          <w:r>
            <w:instrText xml:space="preserve">PAGEREF _Toc230086370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ACADA1F">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"_Toc230086371" </w:instrText>
          </w:r>
          <w:r>
            <w:fldChar w:fldCharType="separate"/>
          </w:r>
          <w:r>
            <w:rPr>
              <w:rStyle w:val="22"/>
            </w:rPr>
            <w:t>4.2.1 状态摘要生成</w:t>
          </w:r>
          <w:r>
            <w:rPr>
              <w:rFonts w:hint="eastAsia"/>
            </w:rPr>
            <w:tab/>
          </w:r>
          <w:r>
            <w:rPr>
              <w:rFonts w:hint="eastAsia"/>
            </w:rPr>
            <w:fldChar w:fldCharType="begin" w:fldLock="1"/>
          </w:r>
          <w:r>
            <w:rPr>
              <w:rFonts w:hint="eastAsia"/>
            </w:rPr>
            <w:instrText xml:space="preserve"> </w:instrText>
          </w:r>
          <w:r>
            <w:instrText xml:space="preserve">PAGEREF _Toc230086371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531EE39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"_Toc230086372" </w:instrText>
          </w:r>
          <w:r>
            <w:fldChar w:fldCharType="separate"/>
          </w:r>
          <w:r>
            <w:rPr>
              <w:rStyle w:val="22"/>
            </w:rPr>
            <w:t>4.2.2 包含先验偏好的候选计划生成</w:t>
          </w:r>
          <w:r>
            <w:rPr>
              <w:rFonts w:hint="eastAsia"/>
            </w:rPr>
            <w:tab/>
          </w:r>
          <w:r>
            <w:rPr>
              <w:rFonts w:hint="eastAsia"/>
            </w:rPr>
            <w:fldChar w:fldCharType="begin" w:fldLock="1"/>
          </w:r>
          <w:r>
            <w:rPr>
              <w:rFonts w:hint="eastAsia"/>
            </w:rPr>
            <w:instrText xml:space="preserve"> </w:instrText>
          </w:r>
          <w:r>
            <w:instrText xml:space="preserve">PAGEREF _Toc230086372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630E6D06">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"_Toc230086373" </w:instrText>
          </w:r>
          <w:r>
            <w:fldChar w:fldCharType="separate"/>
          </w:r>
          <w:r>
            <w:rPr>
              <w:rStyle w:val="22"/>
            </w:rPr>
            <w:t>4.3 基于集成动力概率学世界模型的前瞻评估</w:t>
          </w:r>
          <w:r>
            <w:rPr>
              <w:rFonts w:hint="eastAsia"/>
            </w:rPr>
            <w:tab/>
          </w:r>
          <w:r>
            <w:rPr>
              <w:rFonts w:hint="eastAsia"/>
            </w:rPr>
            <w:fldChar w:fldCharType="begin" w:fldLock="1"/>
          </w:r>
          <w:r>
            <w:rPr>
              <w:rFonts w:hint="eastAsia"/>
            </w:rPr>
            <w:instrText xml:space="preserve"> </w:instrText>
          </w:r>
          <w:r>
            <w:instrText xml:space="preserve">PAGEREF _Toc230086373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3B797677">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"_Toc230086374" </w:instrText>
          </w:r>
          <w:r>
            <w:fldChar w:fldCharType="separate"/>
          </w:r>
          <w:r>
            <w:rPr>
              <w:rStyle w:val="22"/>
            </w:rPr>
            <w:t>4.3.1 状态转移模型</w:t>
          </w:r>
          <w:r>
            <w:rPr>
              <w:rFonts w:hint="eastAsia"/>
            </w:rPr>
            <w:tab/>
          </w:r>
          <w:r>
            <w:rPr>
              <w:rFonts w:hint="eastAsia"/>
            </w:rPr>
            <w:fldChar w:fldCharType="begin" w:fldLock="1"/>
          </w:r>
          <w:r>
            <w:rPr>
              <w:rFonts w:hint="eastAsia"/>
            </w:rPr>
            <w:instrText xml:space="preserve"> </w:instrText>
          </w:r>
          <w:r>
            <w:instrText xml:space="preserve">PAGEREF _Toc230086374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3DC293A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"_Toc230086375" </w:instrText>
          </w:r>
          <w:r>
            <w:fldChar w:fldCharType="separate"/>
          </w:r>
          <w:r>
            <w:rPr>
              <w:rStyle w:val="22"/>
            </w:rPr>
            <w:t>4.3.2 基于多步前瞻推演的候选计划评估</w:t>
          </w:r>
          <w:r>
            <w:rPr>
              <w:rFonts w:hint="eastAsia"/>
            </w:rPr>
            <w:tab/>
          </w:r>
          <w:r>
            <w:rPr>
              <w:rFonts w:hint="eastAsia"/>
            </w:rPr>
            <w:fldChar w:fldCharType="begin" w:fldLock="1"/>
          </w:r>
          <w:r>
            <w:rPr>
              <w:rFonts w:hint="eastAsia"/>
            </w:rPr>
            <w:instrText xml:space="preserve"> </w:instrText>
          </w:r>
          <w:r>
            <w:instrText xml:space="preserve">PAGEREF _Toc230086375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6CA7B1D4">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"_Toc230086376" </w:instrText>
          </w:r>
          <w:r>
            <w:fldChar w:fldCharType="separate"/>
          </w:r>
          <w:r>
            <w:rPr>
              <w:rStyle w:val="22"/>
            </w:rPr>
            <w:t>4.4 基于PPO的强化学习后验选择</w:t>
          </w:r>
          <w:r>
            <w:rPr>
              <w:rFonts w:hint="eastAsia"/>
            </w:rPr>
            <w:tab/>
          </w:r>
          <w:r>
            <w:rPr>
              <w:rFonts w:hint="eastAsia"/>
            </w:rPr>
            <w:fldChar w:fldCharType="begin" w:fldLock="1"/>
          </w:r>
          <w:r>
            <w:rPr>
              <w:rFonts w:hint="eastAsia"/>
            </w:rPr>
            <w:instrText xml:space="preserve"> </w:instrText>
          </w:r>
          <w:r>
            <w:instrText xml:space="preserve">PAGEREF _Toc230086376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785E0062">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"_Toc230086377" </w:instrText>
          </w:r>
          <w:r>
            <w:fldChar w:fldCharType="separate"/>
          </w:r>
          <w:r>
            <w:rPr>
              <w:rStyle w:val="22"/>
            </w:rPr>
            <w:t>4.4.1 候选计划后验选择策略建模</w:t>
          </w:r>
          <w:r>
            <w:rPr>
              <w:rFonts w:hint="eastAsia"/>
            </w:rPr>
            <w:tab/>
          </w:r>
          <w:r>
            <w:rPr>
              <w:rFonts w:hint="eastAsia"/>
            </w:rPr>
            <w:fldChar w:fldCharType="begin" w:fldLock="1"/>
          </w:r>
          <w:r>
            <w:rPr>
              <w:rFonts w:hint="eastAsia"/>
            </w:rPr>
            <w:instrText xml:space="preserve"> </w:instrText>
          </w:r>
          <w:r>
            <w:instrText xml:space="preserve">PAGEREF _Toc230086377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49419EDF">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"_Toc230086378" </w:instrText>
          </w:r>
          <w:r>
            <w:fldChar w:fldCharType="separate"/>
          </w:r>
          <w:r>
            <w:rPr>
              <w:rStyle w:val="22"/>
            </w:rPr>
            <w:t>4.4.2 候选计划后验选择策略学习及优化</w:t>
          </w:r>
          <w:r>
            <w:rPr>
              <w:rFonts w:hint="eastAsia"/>
            </w:rPr>
            <w:tab/>
          </w:r>
          <w:r>
            <w:rPr>
              <w:rFonts w:hint="eastAsia"/>
            </w:rPr>
            <w:fldChar w:fldCharType="begin" w:fldLock="1"/>
          </w:r>
          <w:r>
            <w:rPr>
              <w:rFonts w:hint="eastAsia"/>
            </w:rPr>
            <w:instrText xml:space="preserve"> </w:instrText>
          </w:r>
          <w:r>
            <w:instrText xml:space="preserve">PAGEREF _Toc230086378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7578A0CF">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"_Toc230086379" </w:instrText>
          </w:r>
          <w:r>
            <w:fldChar w:fldCharType="separate"/>
          </w:r>
          <w:r>
            <w:rPr>
              <w:rStyle w:val="22"/>
            </w:rPr>
            <w:t>4.5 实验与分析</w:t>
          </w:r>
          <w:r>
            <w:rPr>
              <w:rFonts w:hint="eastAsia"/>
            </w:rPr>
            <w:tab/>
          </w:r>
          <w:r>
            <w:rPr>
              <w:rFonts w:hint="eastAsia"/>
            </w:rPr>
            <w:fldChar w:fldCharType="begin" w:fldLock="1"/>
          </w:r>
          <w:r>
            <w:rPr>
              <w:rFonts w:hint="eastAsia"/>
            </w:rPr>
            <w:instrText xml:space="preserve"> </w:instrText>
          </w:r>
          <w:r>
            <w:instrText xml:space="preserve">PAGEREF _Toc230086379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2FBE1033">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"_Toc230086380" </w:instrText>
          </w:r>
          <w:r>
            <w:fldChar w:fldCharType="separate"/>
          </w:r>
          <w:r>
            <w:rPr>
              <w:rStyle w:val="22"/>
            </w:rPr>
            <w:t>4.5.1 实验设置</w:t>
          </w:r>
          <w:r>
            <w:rPr>
              <w:rFonts w:hint="eastAsia"/>
            </w:rPr>
            <w:tab/>
          </w:r>
          <w:r>
            <w:rPr>
              <w:rFonts w:hint="eastAsia"/>
            </w:rPr>
            <w:fldChar w:fldCharType="begin" w:fldLock="1"/>
          </w:r>
          <w:r>
            <w:rPr>
              <w:rFonts w:hint="eastAsia"/>
            </w:rPr>
            <w:instrText xml:space="preserve"> </w:instrText>
          </w:r>
          <w:r>
            <w:instrText xml:space="preserve">PAGEREF _Toc230086380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298036B1">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"_Toc230086381" </w:instrText>
          </w:r>
          <w:r>
            <w:fldChar w:fldCharType="separate"/>
          </w:r>
          <w:r>
            <w:rPr>
              <w:rStyle w:val="22"/>
            </w:rPr>
            <w:t>4.5.2 对比文献</w:t>
          </w:r>
          <w:r>
            <w:rPr>
              <w:rFonts w:hint="eastAsia"/>
            </w:rPr>
            <w:tab/>
          </w:r>
          <w:r>
            <w:rPr>
              <w:rFonts w:hint="eastAsia"/>
            </w:rPr>
            <w:fldChar w:fldCharType="begin" w:fldLock="1"/>
          </w:r>
          <w:r>
            <w:rPr>
              <w:rFonts w:hint="eastAsia"/>
            </w:rPr>
            <w:instrText xml:space="preserve"> </w:instrText>
          </w:r>
          <w:r>
            <w:instrText xml:space="preserve">PAGEREF _Toc230086381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36BEE6B0">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"_Toc230086382" </w:instrText>
          </w:r>
          <w:r>
            <w:fldChar w:fldCharType="separate"/>
          </w:r>
          <w:r>
            <w:rPr>
              <w:rStyle w:val="22"/>
            </w:rPr>
            <w:t>4.5.3 实验过程</w:t>
          </w:r>
          <w:r>
            <w:rPr>
              <w:rFonts w:hint="eastAsia"/>
            </w:rPr>
            <w:tab/>
          </w:r>
          <w:r>
            <w:rPr>
              <w:rFonts w:hint="eastAsia"/>
            </w:rPr>
            <w:fldChar w:fldCharType="begin" w:fldLock="1"/>
          </w:r>
          <w:r>
            <w:rPr>
              <w:rFonts w:hint="eastAsia"/>
            </w:rPr>
            <w:instrText xml:space="preserve"> </w:instrText>
          </w:r>
          <w:r>
            <w:instrText xml:space="preserve">PAGEREF _Toc230086382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54A4C53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"_Toc230086383" </w:instrText>
          </w:r>
          <w:r>
            <w:fldChar w:fldCharType="separate"/>
          </w:r>
          <w:r>
            <w:rPr>
              <w:rStyle w:val="22"/>
            </w:rPr>
            <w:t>4.5.4 APT检测效果验证</w:t>
          </w:r>
          <w:r>
            <w:rPr>
              <w:rFonts w:hint="eastAsia"/>
            </w:rPr>
            <w:tab/>
          </w:r>
          <w:r>
            <w:rPr>
              <w:rFonts w:hint="eastAsia"/>
            </w:rPr>
            <w:fldChar w:fldCharType="begin" w:fldLock="1"/>
          </w:r>
          <w:r>
            <w:rPr>
              <w:rFonts w:hint="eastAsia"/>
            </w:rPr>
            <w:instrText xml:space="preserve"> </w:instrText>
          </w:r>
          <w:r>
            <w:instrText xml:space="preserve">PAGEREF _Toc230086383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502F335C">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"_Toc230086384" </w:instrText>
          </w:r>
          <w:r>
            <w:fldChar w:fldCharType="separate"/>
          </w:r>
          <w:r>
            <w:rPr>
              <w:rStyle w:val="22"/>
            </w:rPr>
            <w:t>4.5.5 提前预警能力验证</w:t>
          </w:r>
          <w:r>
            <w:rPr>
              <w:rFonts w:hint="eastAsia"/>
            </w:rPr>
            <w:tab/>
          </w:r>
          <w:r>
            <w:rPr>
              <w:rFonts w:hint="eastAsia"/>
            </w:rPr>
            <w:fldChar w:fldCharType="begin" w:fldLock="1"/>
          </w:r>
          <w:r>
            <w:rPr>
              <w:rFonts w:hint="eastAsia"/>
            </w:rPr>
            <w:instrText xml:space="preserve"> </w:instrText>
          </w:r>
          <w:r>
            <w:instrText xml:space="preserve">PAGEREF _Toc230086384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3DD242D6">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"_Toc230086385" </w:instrText>
          </w:r>
          <w:r>
            <w:fldChar w:fldCharType="separate"/>
          </w:r>
          <w:r>
            <w:rPr>
              <w:rStyle w:val="22"/>
            </w:rPr>
            <w:t>4.5.6 消融实验</w:t>
          </w:r>
          <w:r>
            <w:rPr>
              <w:rFonts w:hint="eastAsia"/>
            </w:rPr>
            <w:tab/>
          </w:r>
          <w:r>
            <w:rPr>
              <w:rFonts w:hint="eastAsia"/>
            </w:rPr>
            <w:fldChar w:fldCharType="begin" w:fldLock="1"/>
          </w:r>
          <w:r>
            <w:rPr>
              <w:rFonts w:hint="eastAsia"/>
            </w:rPr>
            <w:instrText xml:space="preserve"> </w:instrText>
          </w:r>
          <w:r>
            <w:instrText xml:space="preserve">PAGEREF _Toc230086385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465AF398">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"_Toc230086386" </w:instrText>
          </w:r>
          <w:r>
            <w:fldChar w:fldCharType="separate"/>
          </w:r>
          <w:r>
            <w:rPr>
              <w:rStyle w:val="22"/>
            </w:rPr>
            <w:t>4.6 本章小结</w:t>
          </w:r>
          <w:r>
            <w:rPr>
              <w:rFonts w:hint="eastAsia"/>
            </w:rPr>
            <w:tab/>
          </w:r>
          <w:r>
            <w:rPr>
              <w:rFonts w:hint="eastAsia"/>
            </w:rPr>
            <w:fldChar w:fldCharType="begin" w:fldLock="1"/>
          </w:r>
          <w:r>
            <w:rPr>
              <w:rFonts w:hint="eastAsia"/>
            </w:rPr>
            <w:instrText xml:space="preserve"> </w:instrText>
          </w:r>
          <w:r>
            <w:instrText xml:space="preserve">PAGEREF _Toc230086386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2A3FDE9E">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"_Toc230086387" </w:instrText>
          </w:r>
          <w:r>
            <w:fldChar w:fldCharType="separate"/>
          </w:r>
          <w:r>
            <w:rPr>
              <w:rStyle w:val="22"/>
            </w:rPr>
            <w:t>第五章 基于大模型先验和多智能体协作的跨域协同检测方法</w:t>
          </w:r>
          <w:r>
            <w:rPr>
              <w:rFonts w:hint="eastAsia"/>
            </w:rPr>
            <w:tab/>
          </w:r>
          <w:r>
            <w:rPr>
              <w:rFonts w:hint="eastAsia"/>
            </w:rPr>
            <w:fldChar w:fldCharType="begin" w:fldLock="1"/>
          </w:r>
          <w:r>
            <w:rPr>
              <w:rFonts w:hint="eastAsia"/>
            </w:rPr>
            <w:instrText xml:space="preserve"> </w:instrText>
          </w:r>
          <w:r>
            <w:instrText xml:space="preserve">PAGEREF _Toc230086387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6F4C296A">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"_Toc230086388" </w:instrText>
          </w:r>
          <w:r>
            <w:fldChar w:fldCharType="separate"/>
          </w:r>
          <w:r>
            <w:rPr>
              <w:rStyle w:val="22"/>
            </w:rPr>
            <w:t>5.1 方法概述</w:t>
          </w:r>
          <w:r>
            <w:rPr>
              <w:rFonts w:hint="eastAsia"/>
            </w:rPr>
            <w:tab/>
          </w:r>
          <w:r>
            <w:rPr>
              <w:rFonts w:hint="eastAsia"/>
            </w:rPr>
            <w:fldChar w:fldCharType="begin" w:fldLock="1"/>
          </w:r>
          <w:r>
            <w:rPr>
              <w:rFonts w:hint="eastAsia"/>
            </w:rPr>
            <w:instrText xml:space="preserve"> </w:instrText>
          </w:r>
          <w:r>
            <w:instrText xml:space="preserve">PAGEREF _Toc230086388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57DDB56D">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"_Toc230086389" </w:instrText>
          </w:r>
          <w:r>
            <w:fldChar w:fldCharType="separate"/>
          </w:r>
          <w:r>
            <w:rPr>
              <w:rStyle w:val="22"/>
            </w:rPr>
            <w:t>5.2 基于LLM的跨域协作先验计划生成</w:t>
          </w:r>
          <w:r>
            <w:rPr>
              <w:rFonts w:hint="eastAsia"/>
            </w:rPr>
            <w:tab/>
          </w:r>
          <w:r>
            <w:rPr>
              <w:rFonts w:hint="eastAsia"/>
            </w:rPr>
            <w:fldChar w:fldCharType="begin" w:fldLock="1"/>
          </w:r>
          <w:r>
            <w:rPr>
              <w:rFonts w:hint="eastAsia"/>
            </w:rPr>
            <w:instrText xml:space="preserve"> </w:instrText>
          </w:r>
          <w:r>
            <w:instrText xml:space="preserve">PAGEREF _Toc230086389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6F86026B">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"_Toc230086390" </w:instrText>
          </w:r>
          <w:r>
            <w:fldChar w:fldCharType="separate"/>
          </w:r>
          <w:r>
            <w:rPr>
              <w:rStyle w:val="22"/>
            </w:rPr>
            <w:t>5.2.1 多区域检测证据库</w:t>
          </w:r>
          <w:r>
            <w:rPr>
              <w:rFonts w:hint="eastAsia"/>
            </w:rPr>
            <w:tab/>
          </w:r>
          <w:r>
            <w:rPr>
              <w:rFonts w:hint="eastAsia"/>
            </w:rPr>
            <w:fldChar w:fldCharType="begin" w:fldLock="1"/>
          </w:r>
          <w:r>
            <w:rPr>
              <w:rFonts w:hint="eastAsia"/>
            </w:rPr>
            <w:instrText xml:space="preserve"> </w:instrText>
          </w:r>
          <w:r>
            <w:instrText xml:space="preserve">PAGEREF _Toc230086390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317AB53">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"_Toc230086391" </w:instrText>
          </w:r>
          <w:r>
            <w:fldChar w:fldCharType="separate"/>
          </w:r>
          <w:r>
            <w:rPr>
              <w:rStyle w:val="22"/>
            </w:rPr>
            <w:t>5.2.2 攻击阶段推理</w:t>
          </w:r>
          <w:r>
            <w:rPr>
              <w:rFonts w:hint="eastAsia"/>
            </w:rPr>
            <w:tab/>
          </w:r>
          <w:r>
            <w:rPr>
              <w:rFonts w:hint="eastAsia"/>
            </w:rPr>
            <w:fldChar w:fldCharType="begin" w:fldLock="1"/>
          </w:r>
          <w:r>
            <w:rPr>
              <w:rFonts w:hint="eastAsia"/>
            </w:rPr>
            <w:instrText xml:space="preserve"> </w:instrText>
          </w:r>
          <w:r>
            <w:instrText xml:space="preserve">PAGEREF _Toc230086391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3E144AB9">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"_Toc230086392" </w:instrText>
          </w:r>
          <w:r>
            <w:fldChar w:fldCharType="separate"/>
          </w:r>
          <w:r>
            <w:rPr>
              <w:rStyle w:val="22"/>
            </w:rPr>
            <w:t>5.2.3 协作计划生成与规则校验</w:t>
          </w:r>
          <w:r>
            <w:rPr>
              <w:rFonts w:hint="eastAsia"/>
            </w:rPr>
            <w:tab/>
          </w:r>
          <w:r>
            <w:rPr>
              <w:rFonts w:hint="eastAsia"/>
            </w:rPr>
            <w:fldChar w:fldCharType="begin" w:fldLock="1"/>
          </w:r>
          <w:r>
            <w:rPr>
              <w:rFonts w:hint="eastAsia"/>
            </w:rPr>
            <w:instrText xml:space="preserve"> </w:instrText>
          </w:r>
          <w:r>
            <w:instrText xml:space="preserve">PAGEREF _Toc230086392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14:paraId="2B835E32">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"_Toc230086393" </w:instrText>
          </w:r>
          <w:r>
            <w:fldChar w:fldCharType="separate"/>
          </w:r>
          <w:r>
            <w:rPr>
              <w:rStyle w:val="22"/>
            </w:rPr>
            <w:t>5.3 先验计划约束的多智能体协作决策</w:t>
          </w:r>
          <w:r>
            <w:rPr>
              <w:rFonts w:hint="eastAsia"/>
            </w:rPr>
            <w:tab/>
          </w:r>
          <w:r>
            <w:rPr>
              <w:rFonts w:hint="eastAsia"/>
            </w:rPr>
            <w:fldChar w:fldCharType="begin" w:fldLock="1"/>
          </w:r>
          <w:r>
            <w:rPr>
              <w:rFonts w:hint="eastAsia"/>
            </w:rPr>
            <w:instrText xml:space="preserve"> </w:instrText>
          </w:r>
          <w:r>
            <w:instrText xml:space="preserve">PAGEREF _Toc230086393 \h</w:instrText>
          </w:r>
          <w:r>
            <w:rPr>
              <w:rFonts w:hint="eastAsia"/>
            </w:rPr>
            <w:instrText xml:space="preserve"> </w:instrText>
          </w:r>
          <w:r>
            <w:rPr>
              <w:rFonts w:hint="eastAsia"/>
            </w:rPr>
            <w:fldChar w:fldCharType="separate"/>
          </w:r>
          <w:r>
            <w:t>72</w:t>
          </w:r>
          <w:r>
            <w:rPr>
              <w:rFonts w:hint="eastAsia"/>
            </w:rPr>
            <w:fldChar w:fldCharType="end"/>
          </w:r>
          <w:r>
            <w:rPr>
              <w:rFonts w:hint="eastAsia"/>
            </w:rPr>
            <w:fldChar w:fldCharType="end"/>
          </w:r>
        </w:p>
        <w:p w14:paraId="69C17D7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"_Toc230086394" </w:instrText>
          </w:r>
          <w:r>
            <w:fldChar w:fldCharType="separate"/>
          </w:r>
          <w:r>
            <w:rPr>
              <w:rStyle w:val="22"/>
            </w:rPr>
            <w:t>5.3.1 先验计划约束的多智能体协作策略建模</w:t>
          </w:r>
          <w:r>
            <w:rPr>
              <w:rFonts w:hint="eastAsia"/>
            </w:rPr>
            <w:tab/>
          </w:r>
          <w:r>
            <w:rPr>
              <w:rFonts w:hint="eastAsia"/>
            </w:rPr>
            <w:fldChar w:fldCharType="begin" w:fldLock="1"/>
          </w:r>
          <w:r>
            <w:rPr>
              <w:rFonts w:hint="eastAsia"/>
            </w:rPr>
            <w:instrText xml:space="preserve"> </w:instrText>
          </w:r>
          <w:r>
            <w:instrText xml:space="preserve">PAGEREF _Toc230086394 \h</w:instrText>
          </w:r>
          <w:r>
            <w:rPr>
              <w:rFonts w:hint="eastAsia"/>
            </w:rPr>
            <w:instrText xml:space="preserve"> </w:instrText>
          </w:r>
          <w:r>
            <w:rPr>
              <w:rFonts w:hint="eastAsia"/>
            </w:rPr>
            <w:fldChar w:fldCharType="separate"/>
          </w:r>
          <w:r>
            <w:t>72</w:t>
          </w:r>
          <w:r>
            <w:rPr>
              <w:rFonts w:hint="eastAsia"/>
            </w:rPr>
            <w:fldChar w:fldCharType="end"/>
          </w:r>
          <w:r>
            <w:rPr>
              <w:rFonts w:hint="eastAsia"/>
            </w:rPr>
            <w:fldChar w:fldCharType="end"/>
          </w:r>
        </w:p>
        <w:p w14:paraId="3EF79EF1">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"_Toc230086395" </w:instrText>
          </w:r>
          <w:r>
            <w:fldChar w:fldCharType="separate"/>
          </w:r>
          <w:r>
            <w:rPr>
              <w:rStyle w:val="22"/>
            </w:rPr>
            <w:t>5.3.2 基于MAPPO的协作策略学习</w:t>
          </w:r>
          <w:r>
            <w:rPr>
              <w:rFonts w:hint="eastAsia"/>
            </w:rPr>
            <w:tab/>
          </w:r>
          <w:r>
            <w:rPr>
              <w:rFonts w:hint="eastAsia"/>
            </w:rPr>
            <w:fldChar w:fldCharType="begin" w:fldLock="1"/>
          </w:r>
          <w:r>
            <w:rPr>
              <w:rFonts w:hint="eastAsia"/>
            </w:rPr>
            <w:instrText xml:space="preserve"> </w:instrText>
          </w:r>
          <w:r>
            <w:instrText xml:space="preserve">PAGEREF _Toc230086395 \h</w:instrText>
          </w:r>
          <w:r>
            <w:rPr>
              <w:rFonts w:hint="eastAsia"/>
            </w:rPr>
            <w:instrText xml:space="preserve"> </w:instrText>
          </w:r>
          <w:r>
            <w:rPr>
              <w:rFonts w:hint="eastAsia"/>
            </w:rPr>
            <w:fldChar w:fldCharType="separate"/>
          </w:r>
          <w:r>
            <w:t>73</w:t>
          </w:r>
          <w:r>
            <w:rPr>
              <w:rFonts w:hint="eastAsia"/>
            </w:rPr>
            <w:fldChar w:fldCharType="end"/>
          </w:r>
          <w:r>
            <w:rPr>
              <w:rFonts w:hint="eastAsia"/>
            </w:rPr>
            <w:fldChar w:fldCharType="end"/>
          </w:r>
        </w:p>
        <w:p w14:paraId="3C99536D">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"_Toc230086396" </w:instrText>
          </w:r>
          <w:r>
            <w:fldChar w:fldCharType="separate"/>
          </w:r>
          <w:r>
            <w:rPr>
              <w:rStyle w:val="22"/>
            </w:rPr>
            <w:t>5.3.3 区域模型增量更新</w:t>
          </w:r>
          <w:r>
            <w:rPr>
              <w:rFonts w:hint="eastAsia"/>
            </w:rPr>
            <w:tab/>
          </w:r>
          <w:r>
            <w:rPr>
              <w:rFonts w:hint="eastAsia"/>
            </w:rPr>
            <w:fldChar w:fldCharType="begin" w:fldLock="1"/>
          </w:r>
          <w:r>
            <w:rPr>
              <w:rFonts w:hint="eastAsia"/>
            </w:rPr>
            <w:instrText xml:space="preserve"> </w:instrText>
          </w:r>
          <w:r>
            <w:instrText xml:space="preserve">PAGEREF _Toc230086396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61224833">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"_Toc230086397" </w:instrText>
          </w:r>
          <w:r>
            <w:fldChar w:fldCharType="separate"/>
          </w:r>
          <w:r>
            <w:rPr>
              <w:rStyle w:val="22"/>
            </w:rPr>
            <w:t>5.4 实验与分析</w:t>
          </w:r>
          <w:r>
            <w:rPr>
              <w:rFonts w:hint="eastAsia"/>
            </w:rPr>
            <w:tab/>
          </w:r>
          <w:r>
            <w:rPr>
              <w:rFonts w:hint="eastAsia"/>
            </w:rPr>
            <w:fldChar w:fldCharType="begin" w:fldLock="1"/>
          </w:r>
          <w:r>
            <w:rPr>
              <w:rFonts w:hint="eastAsia"/>
            </w:rPr>
            <w:instrText xml:space="preserve"> </w:instrText>
          </w:r>
          <w:r>
            <w:instrText xml:space="preserve">PAGEREF _Toc230086397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7B38B0EE">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"_Toc230086398" </w:instrText>
          </w:r>
          <w:r>
            <w:fldChar w:fldCharType="separate"/>
          </w:r>
          <w:r>
            <w:rPr>
              <w:rStyle w:val="22"/>
            </w:rPr>
            <w:t>5.4.1 实验设置</w:t>
          </w:r>
          <w:r>
            <w:rPr>
              <w:rFonts w:hint="eastAsia"/>
            </w:rPr>
            <w:tab/>
          </w:r>
          <w:r>
            <w:rPr>
              <w:rFonts w:hint="eastAsia"/>
            </w:rPr>
            <w:fldChar w:fldCharType="begin" w:fldLock="1"/>
          </w:r>
          <w:r>
            <w:rPr>
              <w:rFonts w:hint="eastAsia"/>
            </w:rPr>
            <w:instrText xml:space="preserve"> </w:instrText>
          </w:r>
          <w:r>
            <w:instrText xml:space="preserve">PAGEREF _Toc230086398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8E88396">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"_Toc230086399" </w:instrText>
          </w:r>
          <w:r>
            <w:fldChar w:fldCharType="separate"/>
          </w:r>
          <w:r>
            <w:rPr>
              <w:rStyle w:val="22"/>
            </w:rPr>
            <w:t>5.4.2 对比文献与CC4竞赛结果</w:t>
          </w:r>
          <w:r>
            <w:rPr>
              <w:rFonts w:hint="eastAsia"/>
            </w:rPr>
            <w:tab/>
          </w:r>
          <w:r>
            <w:rPr>
              <w:rFonts w:hint="eastAsia"/>
            </w:rPr>
            <w:fldChar w:fldCharType="begin" w:fldLock="1"/>
          </w:r>
          <w:r>
            <w:rPr>
              <w:rFonts w:hint="eastAsia"/>
            </w:rPr>
            <w:instrText xml:space="preserve"> </w:instrText>
          </w:r>
          <w:r>
            <w:instrText xml:space="preserve">PAGEREF _Toc230086399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B0CE557">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"_Toc230086400" </w:instrText>
          </w:r>
          <w:r>
            <w:fldChar w:fldCharType="separate"/>
          </w:r>
          <w:r>
            <w:rPr>
              <w:rStyle w:val="22"/>
            </w:rPr>
            <w:t>5.4.3 实验过程</w:t>
          </w:r>
          <w:r>
            <w:rPr>
              <w:rFonts w:hint="eastAsia"/>
            </w:rPr>
            <w:tab/>
          </w:r>
          <w:r>
            <w:rPr>
              <w:rFonts w:hint="eastAsia"/>
            </w:rPr>
            <w:fldChar w:fldCharType="begin" w:fldLock="1"/>
          </w:r>
          <w:r>
            <w:rPr>
              <w:rFonts w:hint="eastAsia"/>
            </w:rPr>
            <w:instrText xml:space="preserve"> </w:instrText>
          </w:r>
          <w:r>
            <w:instrText xml:space="preserve">PAGEREF _Toc230086400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58C6F7E5">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"_Toc230086401" </w:instrText>
          </w:r>
          <w:r>
            <w:fldChar w:fldCharType="separate"/>
          </w:r>
          <w:r>
            <w:rPr>
              <w:rStyle w:val="22"/>
            </w:rPr>
            <w:t>5.4.4 协同检测效果验证</w:t>
          </w:r>
          <w:r>
            <w:rPr>
              <w:rFonts w:hint="eastAsia"/>
            </w:rPr>
            <w:tab/>
          </w:r>
          <w:r>
            <w:rPr>
              <w:rFonts w:hint="eastAsia"/>
            </w:rPr>
            <w:fldChar w:fldCharType="begin" w:fldLock="1"/>
          </w:r>
          <w:r>
            <w:rPr>
              <w:rFonts w:hint="eastAsia"/>
            </w:rPr>
            <w:instrText xml:space="preserve"> </w:instrText>
          </w:r>
          <w:r>
            <w:instrText xml:space="preserve">PAGEREF _Toc230086401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6420FC5B">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"_Toc230086402" </w:instrText>
          </w:r>
          <w:r>
            <w:fldChar w:fldCharType="separate"/>
          </w:r>
          <w:r>
            <w:rPr>
              <w:rStyle w:val="22"/>
            </w:rPr>
            <w:t>5.4.5 提前预警能力验证</w:t>
          </w:r>
          <w:r>
            <w:rPr>
              <w:rFonts w:hint="eastAsia"/>
            </w:rPr>
            <w:tab/>
          </w:r>
          <w:r>
            <w:rPr>
              <w:rFonts w:hint="eastAsia"/>
            </w:rPr>
            <w:fldChar w:fldCharType="begin" w:fldLock="1"/>
          </w:r>
          <w:r>
            <w:rPr>
              <w:rFonts w:hint="eastAsia"/>
            </w:rPr>
            <w:instrText xml:space="preserve"> </w:instrText>
          </w:r>
          <w:r>
            <w:instrText xml:space="preserve">PAGEREF _Toc230086402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607E2C0A">
          <w:pPr>
            <w:pStyle w:val="9"/>
            <w:spacing w:line="240" w:lineRule="auto"/>
            <w:ind w:left="960"/>
            <w:rPr>
              <w:rFonts w:asciiTheme="minorHAnsi" w:hAnsiTheme="minorHAnsi"/>
              <w:sz w:val="22"/>
              <w:szCs w:val="24"/>
              <w14:ligatures w14:val="standardContextual"/>
            </w:rPr>
          </w:pPr>
          <w:r>
            <w:fldChar w:fldCharType="begin"/>
          </w:r>
          <w:r>
            <w:instrText xml:space="preserve"> HYPERLINK \l "_Toc230086403" </w:instrText>
          </w:r>
          <w:r>
            <w:fldChar w:fldCharType="separate"/>
          </w:r>
          <w:r>
            <w:rPr>
              <w:rStyle w:val="22"/>
            </w:rPr>
            <w:t>5.4.6 消融实验</w:t>
          </w:r>
          <w:r>
            <w:rPr>
              <w:rFonts w:hint="eastAsia"/>
            </w:rPr>
            <w:tab/>
          </w:r>
          <w:r>
            <w:rPr>
              <w:rFonts w:hint="eastAsia"/>
            </w:rPr>
            <w:fldChar w:fldCharType="begin" w:fldLock="1"/>
          </w:r>
          <w:r>
            <w:rPr>
              <w:rFonts w:hint="eastAsia"/>
            </w:rPr>
            <w:instrText xml:space="preserve"> </w:instrText>
          </w:r>
          <w:r>
            <w:instrText xml:space="preserve">PAGEREF _Toc230086403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636C5492">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"_Toc230086404" </w:instrText>
          </w:r>
          <w:r>
            <w:fldChar w:fldCharType="separate"/>
          </w:r>
          <w:r>
            <w:rPr>
              <w:rStyle w:val="22"/>
            </w:rPr>
            <w:t>5.5 本章小结</w:t>
          </w:r>
          <w:r>
            <w:rPr>
              <w:rFonts w:hint="eastAsia"/>
            </w:rPr>
            <w:tab/>
          </w:r>
          <w:r>
            <w:rPr>
              <w:rFonts w:hint="eastAsia"/>
            </w:rPr>
            <w:fldChar w:fldCharType="begin" w:fldLock="1"/>
          </w:r>
          <w:r>
            <w:rPr>
              <w:rFonts w:hint="eastAsia"/>
            </w:rPr>
            <w:instrText xml:space="preserve"> </w:instrText>
          </w:r>
          <w:r>
            <w:instrText xml:space="preserve">PAGEREF _Toc230086404 \h</w:instrText>
          </w:r>
          <w:r>
            <w:rPr>
              <w:rFonts w:hint="eastAsia"/>
            </w:rPr>
            <w:instrText xml:space="preserve"> </w:instrText>
          </w:r>
          <w:r>
            <w:rPr>
              <w:rFonts w:hint="eastAsia"/>
            </w:rPr>
            <w:fldChar w:fldCharType="separate"/>
          </w:r>
          <w:r>
            <w:t>85</w:t>
          </w:r>
          <w:r>
            <w:rPr>
              <w:rFonts w:hint="eastAsia"/>
            </w:rPr>
            <w:fldChar w:fldCharType="end"/>
          </w:r>
          <w:r>
            <w:rPr>
              <w:rFonts w:hint="eastAsia"/>
            </w:rPr>
            <w:fldChar w:fldCharType="end"/>
          </w:r>
        </w:p>
        <w:p w14:paraId="4DF5562E">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"_Toc230086405" </w:instrText>
          </w:r>
          <w:r>
            <w:fldChar w:fldCharType="separate"/>
          </w:r>
          <w:r>
            <w:rPr>
              <w:rStyle w:val="22"/>
            </w:rPr>
            <w:t>第六章 总结与展望</w:t>
          </w:r>
          <w:r>
            <w:rPr>
              <w:rFonts w:hint="eastAsia"/>
            </w:rPr>
            <w:tab/>
          </w:r>
          <w:r>
            <w:rPr>
              <w:rFonts w:hint="eastAsia"/>
            </w:rPr>
            <w:fldChar w:fldCharType="begin" w:fldLock="1"/>
          </w:r>
          <w:r>
            <w:rPr>
              <w:rFonts w:hint="eastAsia"/>
            </w:rPr>
            <w:instrText xml:space="preserve"> </w:instrText>
          </w:r>
          <w:r>
            <w:instrText xml:space="preserve">PAGEREF _Toc230086405 \h</w:instrText>
          </w:r>
          <w:r>
            <w:rPr>
              <w:rFonts w:hint="eastAsia"/>
            </w:rPr>
            <w:instrText xml:space="preserve"> </w:instrText>
          </w:r>
          <w:r>
            <w:rPr>
              <w:rFonts w:hint="eastAsia"/>
            </w:rPr>
            <w:fldChar w:fldCharType="separate"/>
          </w:r>
          <w:r>
            <w:t>86</w:t>
          </w:r>
          <w:r>
            <w:rPr>
              <w:rFonts w:hint="eastAsia"/>
            </w:rPr>
            <w:fldChar w:fldCharType="end"/>
          </w:r>
          <w:r>
            <w:rPr>
              <w:rFonts w:hint="eastAsia"/>
            </w:rPr>
            <w:fldChar w:fldCharType="end"/>
          </w:r>
        </w:p>
        <w:p w14:paraId="57F80730">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"_Toc230086406" </w:instrText>
          </w:r>
          <w:r>
            <w:fldChar w:fldCharType="separate"/>
          </w:r>
          <w:r>
            <w:rPr>
              <w:rStyle w:val="22"/>
            </w:rPr>
            <w:t>6.1 总结</w:t>
          </w:r>
          <w:r>
            <w:rPr>
              <w:rFonts w:hint="eastAsia"/>
            </w:rPr>
            <w:tab/>
          </w:r>
          <w:r>
            <w:rPr>
              <w:rFonts w:hint="eastAsia"/>
            </w:rPr>
            <w:fldChar w:fldCharType="begin" w:fldLock="1"/>
          </w:r>
          <w:r>
            <w:rPr>
              <w:rFonts w:hint="eastAsia"/>
            </w:rPr>
            <w:instrText xml:space="preserve"> </w:instrText>
          </w:r>
          <w:r>
            <w:instrText xml:space="preserve">PAGEREF _Toc230086406 \h</w:instrText>
          </w:r>
          <w:r>
            <w:rPr>
              <w:rFonts w:hint="eastAsia"/>
            </w:rPr>
            <w:instrText xml:space="preserve"> </w:instrText>
          </w:r>
          <w:r>
            <w:rPr>
              <w:rFonts w:hint="eastAsia"/>
            </w:rPr>
            <w:fldChar w:fldCharType="separate"/>
          </w:r>
          <w:r>
            <w:t>86</w:t>
          </w:r>
          <w:r>
            <w:rPr>
              <w:rFonts w:hint="eastAsia"/>
            </w:rPr>
            <w:fldChar w:fldCharType="end"/>
          </w:r>
          <w:r>
            <w:rPr>
              <w:rFonts w:hint="eastAsia"/>
            </w:rPr>
            <w:fldChar w:fldCharType="end"/>
          </w:r>
        </w:p>
        <w:p w14:paraId="6138AC87">
          <w:pPr>
            <w:pStyle w:val="15"/>
            <w:spacing w:line="240" w:lineRule="auto"/>
            <w:ind w:left="480"/>
            <w:rPr>
              <w:rFonts w:asciiTheme="minorHAnsi" w:hAnsiTheme="minorHAnsi"/>
              <w:sz w:val="22"/>
              <w:szCs w:val="24"/>
              <w14:ligatures w14:val="standardContextual"/>
            </w:rPr>
          </w:pPr>
          <w:r>
            <w:fldChar w:fldCharType="begin"/>
          </w:r>
          <w:r>
            <w:instrText xml:space="preserve"> HYPERLINK \l "_Toc230086407" </w:instrText>
          </w:r>
          <w:r>
            <w:fldChar w:fldCharType="separate"/>
          </w:r>
          <w:r>
            <w:rPr>
              <w:rStyle w:val="22"/>
            </w:rPr>
            <w:t>6.2 展望</w:t>
          </w:r>
          <w:r>
            <w:rPr>
              <w:rFonts w:hint="eastAsia"/>
            </w:rPr>
            <w:tab/>
          </w:r>
          <w:r>
            <w:rPr>
              <w:rFonts w:hint="eastAsia"/>
            </w:rPr>
            <w:fldChar w:fldCharType="begin" w:fldLock="1"/>
          </w:r>
          <w:r>
            <w:rPr>
              <w:rFonts w:hint="eastAsia"/>
            </w:rPr>
            <w:instrText xml:space="preserve"> </w:instrText>
          </w:r>
          <w:r>
            <w:instrText xml:space="preserve">PAGEREF _Toc230086407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14:paraId="563FAD0E">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"_Toc230086408" </w:instrText>
          </w:r>
          <w:r>
            <w:fldChar w:fldCharType="separate"/>
          </w:r>
          <w:r>
            <w:rPr>
              <w:rStyle w:val="22"/>
            </w:rPr>
            <w:t>参考文献</w:t>
          </w:r>
          <w:r>
            <w:rPr>
              <w:rFonts w:hint="eastAsia"/>
            </w:rPr>
            <w:tab/>
          </w:r>
          <w:r>
            <w:rPr>
              <w:rFonts w:hint="eastAsia"/>
            </w:rPr>
            <w:fldChar w:fldCharType="begin" w:fldLock="1"/>
          </w:r>
          <w:r>
            <w:rPr>
              <w:rFonts w:hint="eastAsia"/>
            </w:rPr>
            <w:instrText xml:space="preserve"> </w:instrText>
          </w:r>
          <w:r>
            <w:instrText xml:space="preserve">PAGEREF _Toc230086408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63DECF25">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"_Toc230086409" </w:instrText>
          </w:r>
          <w:r>
            <w:fldChar w:fldCharType="separate"/>
          </w:r>
          <w:r>
            <w:rPr>
              <w:rStyle w:val="22"/>
            </w:rPr>
            <w:t>攻读硕士学位期间的科研成果</w:t>
          </w:r>
          <w:r>
            <w:rPr>
              <w:rFonts w:hint="eastAsia"/>
            </w:rPr>
            <w:tab/>
          </w:r>
          <w:r>
            <w:rPr>
              <w:rFonts w:hint="eastAsia"/>
            </w:rPr>
            <w:fldChar w:fldCharType="begin" w:fldLock="1"/>
          </w:r>
          <w:r>
            <w:rPr>
              <w:rFonts w:hint="eastAsia"/>
            </w:rPr>
            <w:instrText xml:space="preserve"> </w:instrText>
          </w:r>
          <w:r>
            <w:instrText xml:space="preserve">PAGEREF _Toc230086409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75BDAF35">
          <w:pPr>
            <w:pStyle w:val="14"/>
            <w:spacing w:line="240" w:lineRule="auto"/>
            <w:rPr>
              <w:rFonts w:asciiTheme="minorHAnsi" w:hAnsiTheme="minorHAnsi" w:cstheme="minorBidi"/>
              <w:b w:val="0"/>
              <w:sz w:val="22"/>
              <w14:ligatures w14:val="standardContextual"/>
            </w:rPr>
          </w:pPr>
          <w:r>
            <w:fldChar w:fldCharType="begin"/>
          </w:r>
          <w:r>
            <w:instrText xml:space="preserve"> HYPERLINK \l "_Toc230086410" </w:instrText>
          </w:r>
          <w:r>
            <w:fldChar w:fldCharType="separate"/>
          </w:r>
          <w:r>
            <w:rPr>
              <w:rStyle w:val="22"/>
            </w:rPr>
            <w:t>致谢</w:t>
          </w:r>
          <w:r>
            <w:rPr>
              <w:rFonts w:hint="eastAsia"/>
            </w:rPr>
            <w:tab/>
          </w:r>
          <w:r>
            <w:rPr>
              <w:rFonts w:hint="eastAsia"/>
            </w:rPr>
            <w:fldChar w:fldCharType="begin" w:fldLock="1"/>
          </w:r>
          <w:r>
            <w:rPr>
              <w:rFonts w:hint="eastAsia"/>
            </w:rPr>
            <w:instrText xml:space="preserve"> </w:instrText>
          </w:r>
          <w:r>
            <w:instrText xml:space="preserve">PAGEREF _Toc230086410 \h</w:instrText>
          </w:r>
          <w:r>
            <w:rPr>
              <w:rFonts w:hint="eastAsia"/>
            </w:rPr>
            <w:instrText xml:space="preserve"> </w:instrText>
          </w:r>
          <w:r>
            <w:rPr>
              <w:rFonts w:hint="eastAsia"/>
            </w:rPr>
            <w:fldChar w:fldCharType="separate"/>
          </w:r>
          <w:r>
            <w:t>97</w:t>
          </w:r>
          <w:r>
            <w:rPr>
              <w:rFonts w:hint="eastAsia"/>
            </w:rPr>
            <w:fldChar w:fldCharType="end"/>
          </w:r>
          <w:r>
            <w:rPr>
              <w:rFonts w:hint="eastAsia"/>
            </w:rPr>
            <w:fldChar w:fldCharType="end"/>
          </w:r>
        </w:p>
        <w:p w14:paraId="7D22B675">
          <w:pPr>
            <w:spacing w:line="240" w:lineRule="auto"/>
            <w:rPr>
              <w:rFonts w:eastAsia="宋体" w:cs="Times New Roman"/>
              <w:sz w:val="21"/>
              <w:szCs w:val="21"/>
              <w:lang w:val="zh-CN"/>
            </w:rPr>
          </w:pPr>
          <w:r>
            <w:rPr>
              <w:rFonts w:eastAsia="宋体" w:cs="Times New Roman"/>
              <w:sz w:val="21"/>
              <w:szCs w:val="21"/>
              <w:lang w:val="zh-CN"/>
            </w:rPr>
            <w:fldChar w:fldCharType="end"/>
          </w:r>
        </w:p>
      </w:sdtContent>
    </w:sdt>
    <w:p w14:paraId="0B0CD457">
      <w:pPr>
        <w:rPr>
          <w:rFonts w:eastAsia="宋体" w:cs="Times New Roman"/>
          <w:sz w:val="21"/>
          <w:szCs w:val="21"/>
          <w:lang w:val="zh-CN"/>
        </w:rPr>
        <w:sectPr>
          <w:headerReference r:id="rId11" w:type="default"/>
          <w:footerReference r:id="rId13" w:type="default"/>
          <w:headerReference r:id="rId12" w:type="even"/>
          <w:footerReference r:id="rId14" w:type="even"/>
          <w:pgSz w:w="11906" w:h="16838"/>
          <w:pgMar w:top="1440" w:right="1800" w:bottom="1440" w:left="1800" w:header="851" w:footer="992" w:gutter="0"/>
          <w:pgNumType w:fmt="upperRoman" w:start="1"/>
          <w:cols w:space="425" w:num="1"/>
          <w:docGrid w:type="lines" w:linePitch="312" w:charSpace="0"/>
        </w:sectPr>
      </w:pPr>
    </w:p>
    <w:p w14:paraId="0C1EC18C">
      <w:pPr>
        <w:pStyle w:val="2"/>
      </w:pPr>
      <w:bookmarkStart w:id="6" w:name="_Toc230086329"/>
      <w:r>
        <w:rPr>
          <w:rFonts w:hint="eastAsia"/>
        </w:rPr>
        <w:t>第一章 绪论</w:t>
      </w:r>
      <w:bookmarkEnd w:id="6"/>
    </w:p>
    <w:p w14:paraId="6017BEF3">
      <w:pPr>
        <w:pStyle w:val="3"/>
      </w:pPr>
      <w:bookmarkStart w:id="7" w:name="_Toc230086330"/>
      <w:bookmarkStart w:id="8" w:name="_Toc163672067"/>
      <w:bookmarkStart w:id="9" w:name="_Toc68804266"/>
      <w:r>
        <w:rPr>
          <w:rFonts w:hint="eastAsia"/>
        </w:rPr>
        <w:t>1.1 研究背景与意义</w:t>
      </w:r>
      <w:bookmarkEnd w:id="7"/>
      <w:bookmarkEnd w:id="8"/>
      <w:bookmarkEnd w:id="9"/>
    </w:p>
    <w:p w14:paraId="7CDB6AE3">
      <w:pPr>
        <w:spacing w:line="400" w:lineRule="exact"/>
        <w:ind w:firstLine="480" w:firstLineChars="200"/>
        <w:rPr>
          <w:rFonts w:eastAsia="宋体" w:cs="Times New Roman"/>
        </w:rPr>
      </w:pPr>
      <w:r>
        <w:rPr>
          <w:rFonts w:eastAsia="宋体" w:cs="Times New Roman"/>
        </w:rPr>
        <w:t>在“双碳”目标持续推进和新一代信息通信技术广泛应用的背景下，电力系统正由传统相对封闭、层次相对清晰的运行形态，逐步演进为高比例新能源接入、源网荷储协同、多主体广泛参与的新型电力系统</w:t>
      </w:r>
      <w:r>
        <w:rPr>
          <w:rFonts w:eastAsia="宋体" w:cs="Times New Roman"/>
          <w:vertAlign w:val="superscript"/>
        </w:rPr>
        <w:fldChar w:fldCharType="begin" w:fldLock="1"/>
      </w:r>
      <w:r>
        <w:rPr>
          <w:rFonts w:eastAsia="宋体" w:cs="Times New Roman"/>
          <w:vertAlign w:val="superscript"/>
        </w:rPr>
        <w:instrText xml:space="preserve"> REF _Ref225359687 \r \h  \* MERGEFORMAT </w:instrText>
      </w:r>
      <w:r>
        <w:rPr>
          <w:rFonts w:eastAsia="宋体" w:cs="Times New Roman"/>
          <w:vertAlign w:val="superscript"/>
        </w:rPr>
        <w:fldChar w:fldCharType="separate"/>
      </w:r>
      <w:r>
        <w:rPr>
          <w:rFonts w:eastAsia="宋体" w:cs="Times New Roman"/>
          <w:vertAlign w:val="superscript"/>
        </w:rPr>
        <w:t>[1]</w:t>
      </w:r>
      <w:r>
        <w:rPr>
          <w:rFonts w:eastAsia="宋体" w:cs="Times New Roman"/>
          <w:vertAlign w:val="superscript"/>
        </w:rPr>
        <w:fldChar w:fldCharType="end"/>
      </w:r>
      <w:r>
        <w:rPr>
          <w:rFonts w:eastAsia="宋体" w:cs="Times New Roman"/>
        </w:rPr>
        <w:t>。随着分布式电源、储能、电动汽车及各类聚合单元的不断接入，系统运行对状态感知、数据通信、远程控制和边端云协同的依赖程度持续加深，运行过程中的数据类型、交互链路和业务关联也相应显著增加。在此基础上，新型电力系统逐渐呈现出多源异构、动态变化</w:t>
      </w:r>
      <w:r>
        <w:rPr>
          <w:rFonts w:hint="eastAsia" w:eastAsia="宋体" w:cs="Times New Roman"/>
        </w:rPr>
        <w:t>显著</w:t>
      </w:r>
      <w:r>
        <w:rPr>
          <w:rFonts w:eastAsia="宋体" w:cs="Times New Roman"/>
        </w:rPr>
        <w:t>、耦合紧密和边界开放等特点，系统内部数据交互、业务执行</w:t>
      </w:r>
      <w:r>
        <w:t>与运行状态之</w:t>
      </w:r>
      <w:r>
        <w:rPr>
          <w:rFonts w:eastAsia="宋体" w:cs="Times New Roman"/>
        </w:rPr>
        <w:t>间的关联不断加深，局部异常更易沿业务链路和控制链路扩散。这一变化使得新型电力系统的安全问题不再局限于传统意义上的网络边界防护，而更需要面向运行过程</w:t>
      </w:r>
      <w:r>
        <w:rPr>
          <w:rFonts w:hint="eastAsia" w:eastAsia="宋体" w:cs="Times New Roman"/>
        </w:rPr>
        <w:t>进行</w:t>
      </w:r>
      <w:r>
        <w:rPr>
          <w:rFonts w:eastAsia="宋体" w:cs="Times New Roman"/>
        </w:rPr>
        <w:t>持续感知与前瞻预警</w:t>
      </w:r>
      <w:r>
        <w:rPr>
          <w:rFonts w:eastAsia="宋体" w:cs="Times New Roman"/>
          <w:vertAlign w:val="superscript"/>
        </w:rPr>
        <w:fldChar w:fldCharType="begin" w:fldLock="1"/>
      </w:r>
      <w:r>
        <w:rPr>
          <w:rFonts w:eastAsia="宋体" w:cs="Times New Roman"/>
          <w:vertAlign w:val="superscript"/>
        </w:rPr>
        <w:instrText xml:space="preserve"> REF _Ref225359758 \r \h  \* MERGEFORMAT </w:instrText>
      </w:r>
      <w:r>
        <w:rPr>
          <w:rFonts w:eastAsia="宋体" w:cs="Times New Roman"/>
          <w:vertAlign w:val="superscript"/>
        </w:rPr>
        <w:fldChar w:fldCharType="separate"/>
      </w:r>
      <w:r>
        <w:rPr>
          <w:rFonts w:eastAsia="宋体" w:cs="Times New Roman"/>
          <w:vertAlign w:val="superscript"/>
        </w:rPr>
        <w:t>[2]</w:t>
      </w:r>
      <w:r>
        <w:rPr>
          <w:rFonts w:eastAsia="宋体" w:cs="Times New Roman"/>
          <w:vertAlign w:val="superscript"/>
        </w:rPr>
        <w:fldChar w:fldCharType="end"/>
      </w:r>
      <w:r>
        <w:rPr>
          <w:rFonts w:eastAsia="宋体" w:cs="Times New Roman"/>
        </w:rPr>
        <w:t>。在此背景下，高级持续性威胁（Advanced Persistent Threat，APT）作为一类具有长期潜伏、隐蔽渗透和持续控制特征的复杂网络攻击，正逐渐成为新型电力系统需要重点关注的重要安全威胁。</w:t>
      </w:r>
    </w:p>
    <w:p w14:paraId="43A3AEA6">
      <w:pPr>
        <w:spacing w:line="400" w:lineRule="exact"/>
        <w:ind w:firstLine="480" w:firstLineChars="200"/>
        <w:rPr>
          <w:rFonts w:eastAsia="宋体" w:cs="Times New Roman"/>
        </w:rPr>
      </w:pPr>
      <w:r>
        <w:rPr>
          <w:rFonts w:eastAsia="宋体" w:cs="Times New Roman"/>
        </w:rPr>
        <w:t>对于新型电力系统而言，APT攻击通常</w:t>
      </w:r>
      <w:r>
        <w:rPr>
          <w:rFonts w:hint="eastAsia" w:eastAsia="宋体" w:cs="Times New Roman"/>
        </w:rPr>
        <w:t>不是</w:t>
      </w:r>
      <w:r>
        <w:rPr>
          <w:rFonts w:eastAsia="宋体" w:cs="Times New Roman"/>
        </w:rPr>
        <w:t>短时间内完成的单次异常事件，而是沿侦察、漏洞利用、权限提升、横向移动和持续驻留等</w:t>
      </w:r>
      <w:r>
        <w:rPr>
          <w:rFonts w:hint="eastAsia" w:eastAsia="宋体" w:cs="Times New Roman"/>
        </w:rPr>
        <w:t>阶段</w:t>
      </w:r>
      <w:r>
        <w:rPr>
          <w:rFonts w:eastAsia="宋体" w:cs="Times New Roman"/>
        </w:rPr>
        <w:t>逐步</w:t>
      </w:r>
      <w:r>
        <w:rPr>
          <w:rFonts w:hint="eastAsia" w:eastAsia="宋体" w:cs="Times New Roman"/>
        </w:rPr>
        <w:t>演进</w:t>
      </w:r>
      <w:r>
        <w:rPr>
          <w:rFonts w:eastAsia="宋体" w:cs="Times New Roman"/>
        </w:rPr>
        <w:t>的隐蔽渗透过程</w:t>
      </w:r>
      <w:r>
        <w:rPr>
          <w:rFonts w:eastAsia="宋体" w:cs="Times New Roman"/>
          <w:vertAlign w:val="superscript"/>
        </w:rPr>
        <w:fldChar w:fldCharType="begin" w:fldLock="1"/>
      </w:r>
      <w:r>
        <w:rPr>
          <w:rFonts w:eastAsia="宋体" w:cs="Times New Roman"/>
          <w:vertAlign w:val="superscript"/>
        </w:rPr>
        <w:instrText xml:space="preserve"> REF _Ref225359860 \r \h  \* MERGEFORMAT </w:instrText>
      </w:r>
      <w:r>
        <w:rPr>
          <w:rFonts w:eastAsia="宋体" w:cs="Times New Roman"/>
          <w:vertAlign w:val="superscript"/>
        </w:rPr>
        <w:fldChar w:fldCharType="separate"/>
      </w:r>
      <w:r>
        <w:rPr>
          <w:rFonts w:eastAsia="宋体" w:cs="Times New Roman"/>
          <w:vertAlign w:val="superscript"/>
        </w:rPr>
        <w:t>[3]</w:t>
      </w:r>
      <w:r>
        <w:rPr>
          <w:rFonts w:eastAsia="宋体" w:cs="Times New Roman"/>
          <w:vertAlign w:val="superscript"/>
        </w:rPr>
        <w:fldChar w:fldCharType="end"/>
      </w:r>
      <w:r>
        <w:rPr>
          <w:rFonts w:eastAsia="宋体" w:cs="Times New Roman"/>
        </w:rPr>
        <w:t>。其早期异常行为</w:t>
      </w:r>
      <w:r>
        <w:rPr>
          <w:rFonts w:hint="eastAsia" w:eastAsia="宋体" w:cs="Times New Roman"/>
        </w:rPr>
        <w:t>通常</w:t>
      </w:r>
      <w:r>
        <w:rPr>
          <w:rFonts w:eastAsia="宋体" w:cs="Times New Roman"/>
        </w:rPr>
        <w:t>表现为低频、分散且强度较弱的线索，易被复杂系统中的大量正常行为所掩盖；同时，攻击状态会随入侵过程不断变化，若仅依据当前观测进行检测，通常难以及时识别APT攻击，也难以准确</w:t>
      </w:r>
      <w:r>
        <w:rPr>
          <w:rFonts w:hint="eastAsia" w:eastAsia="宋体" w:cs="Times New Roman"/>
        </w:rPr>
        <w:t>判断</w:t>
      </w:r>
      <w:r>
        <w:rPr>
          <w:rFonts w:eastAsia="宋体" w:cs="Times New Roman"/>
        </w:rPr>
        <w:t>其后续</w:t>
      </w:r>
      <w:r>
        <w:rPr>
          <w:rFonts w:hint="eastAsia" w:eastAsia="宋体" w:cs="Times New Roman"/>
        </w:rPr>
        <w:t>演进</w:t>
      </w:r>
      <w:r>
        <w:rPr>
          <w:rFonts w:eastAsia="宋体" w:cs="Times New Roman"/>
        </w:rPr>
        <w:t>过程。因此，传统面向当前观测和静态判别的检测方法，已难以满足新型电力系统APT攻击检测对及时性和前瞻性的实际需求</w:t>
      </w:r>
      <w:r>
        <w:rPr>
          <w:rFonts w:eastAsia="宋体" w:cs="Times New Roman"/>
          <w:vertAlign w:val="superscript"/>
        </w:rPr>
        <w:fldChar w:fldCharType="begin" w:fldLock="1"/>
      </w:r>
      <w:r>
        <w:rPr>
          <w:rFonts w:eastAsia="宋体" w:cs="Times New Roman"/>
          <w:vertAlign w:val="superscript"/>
        </w:rPr>
        <w:instrText xml:space="preserve"> REF _Ref226818803 \r \h  \* MERGEFORMAT </w:instrText>
      </w:r>
      <w:r>
        <w:rPr>
          <w:rFonts w:eastAsia="宋体" w:cs="Times New Roman"/>
          <w:vertAlign w:val="superscript"/>
        </w:rPr>
        <w:fldChar w:fldCharType="separate"/>
      </w:r>
      <w:r>
        <w:rPr>
          <w:rFonts w:eastAsia="宋体" w:cs="Times New Roman"/>
          <w:vertAlign w:val="superscript"/>
        </w:rPr>
        <w:t>[4]</w:t>
      </w:r>
      <w:r>
        <w:rPr>
          <w:rFonts w:eastAsia="宋体" w:cs="Times New Roman"/>
          <w:vertAlign w:val="superscript"/>
        </w:rPr>
        <w:fldChar w:fldCharType="end"/>
      </w:r>
      <w:r>
        <w:rPr>
          <w:rFonts w:eastAsia="宋体" w:cs="Times New Roman"/>
        </w:rPr>
        <w:t>。</w:t>
      </w:r>
    </w:p>
    <w:p w14:paraId="08F25C84">
      <w:pPr>
        <w:spacing w:line="400" w:lineRule="exact"/>
        <w:ind w:firstLine="480" w:firstLineChars="200"/>
        <w:rPr>
          <w:rFonts w:eastAsia="宋体" w:cs="Times New Roman"/>
        </w:rPr>
      </w:pPr>
      <w:r>
        <w:rPr>
          <w:rFonts w:eastAsia="宋体" w:cs="Times New Roman"/>
        </w:rPr>
        <w:t>进一步地，在新型电力系统场景下，APT攻击的风险不仅在于信息系统层面的隐蔽入侵</w:t>
      </w:r>
      <w:r>
        <w:t>，更在于其可能借助信息系统内部不同业务环节与控制链路之间的紧密关联，由</w:t>
      </w:r>
      <w:r>
        <w:rPr>
          <w:rFonts w:eastAsia="宋体" w:cs="Times New Roman"/>
        </w:rPr>
        <w:t>局部环节向更大范围持续扩展</w:t>
      </w:r>
      <w:r>
        <w:rPr>
          <w:rFonts w:eastAsia="宋体" w:cs="Times New Roman"/>
          <w:vertAlign w:val="superscript"/>
        </w:rPr>
        <w:fldChar w:fldCharType="begin" w:fldLock="1"/>
      </w:r>
      <w:r>
        <w:rPr>
          <w:rFonts w:eastAsia="宋体" w:cs="Times New Roman"/>
          <w:vertAlign w:val="superscript"/>
        </w:rPr>
        <w:instrText xml:space="preserve"> REF _Ref225360306 \r \h  \* MERGEFORMAT </w:instrText>
      </w:r>
      <w:r>
        <w:rPr>
          <w:rFonts w:eastAsia="宋体" w:cs="Times New Roman"/>
          <w:vertAlign w:val="superscript"/>
        </w:rPr>
        <w:fldChar w:fldCharType="separate"/>
      </w:r>
      <w:r>
        <w:rPr>
          <w:rFonts w:eastAsia="宋体" w:cs="Times New Roman"/>
          <w:vertAlign w:val="superscript"/>
        </w:rPr>
        <w:t>[5]</w:t>
      </w:r>
      <w:r>
        <w:rPr>
          <w:rFonts w:eastAsia="宋体" w:cs="Times New Roman"/>
          <w:vertAlign w:val="superscript"/>
        </w:rPr>
        <w:fldChar w:fldCharType="end"/>
      </w:r>
      <w:r>
        <w:rPr>
          <w:rFonts w:eastAsia="宋体" w:cs="Times New Roman"/>
        </w:rPr>
        <w:t>。攻击者在获得关键节点、核心业务链路或控制通道的访问权限后，相关影响可能进一步干扰调度控制、状态估计及协同运行过程，甚至引发设备异常、运行失稳和跨区域风险传播</w:t>
      </w:r>
      <w:r>
        <w:rPr>
          <w:rFonts w:eastAsia="宋体" w:cs="Times New Roman"/>
          <w:vertAlign w:val="superscript"/>
        </w:rPr>
        <w:fldChar w:fldCharType="begin" w:fldLock="1"/>
      </w:r>
      <w:r>
        <w:rPr>
          <w:rFonts w:eastAsia="宋体" w:cs="Times New Roman"/>
          <w:vertAlign w:val="superscript"/>
        </w:rPr>
        <w:instrText xml:space="preserve"> REF _Ref226818533 \r \h  \* MERGEFORMAT </w:instrText>
      </w:r>
      <w:r>
        <w:rPr>
          <w:rFonts w:eastAsia="宋体" w:cs="Times New Roman"/>
          <w:vertAlign w:val="superscript"/>
        </w:rPr>
        <w:fldChar w:fldCharType="separate"/>
      </w:r>
      <w:r>
        <w:rPr>
          <w:rFonts w:eastAsia="宋体" w:cs="Times New Roman"/>
          <w:vertAlign w:val="superscript"/>
        </w:rPr>
        <w:t>[6]</w:t>
      </w:r>
      <w:r>
        <w:rPr>
          <w:rFonts w:eastAsia="宋体" w:cs="Times New Roman"/>
          <w:vertAlign w:val="superscript"/>
        </w:rPr>
        <w:fldChar w:fldCharType="end"/>
      </w:r>
      <w:r>
        <w:rPr>
          <w:rFonts w:eastAsia="宋体" w:cs="Times New Roman"/>
        </w:rPr>
        <w:t>。同时，相关检测线索往往分散于日志、流量、告警及控制侧数据之中，不同区域、不同链路和不同业务环节之间又存在紧密关联，这使得单一区域或单一时刻的检测结果通常难以支撑对整体攻击过程的准确判断</w:t>
      </w:r>
      <w:r>
        <w:rPr>
          <w:rFonts w:eastAsia="宋体" w:cs="Times New Roman"/>
          <w:vertAlign w:val="superscript"/>
        </w:rPr>
        <w:fldChar w:fldCharType="begin" w:fldLock="1"/>
      </w:r>
      <w:r>
        <w:rPr>
          <w:rFonts w:eastAsia="宋体" w:cs="Times New Roman"/>
          <w:vertAlign w:val="superscript"/>
        </w:rPr>
        <w:instrText xml:space="preserve"> REF _Ref225360400 \r \h  \* MERGEFORMAT </w:instrText>
      </w:r>
      <w:r>
        <w:rPr>
          <w:rFonts w:eastAsia="宋体" w:cs="Times New Roman"/>
          <w:vertAlign w:val="superscript"/>
        </w:rPr>
        <w:fldChar w:fldCharType="separate"/>
      </w:r>
      <w:r>
        <w:rPr>
          <w:rFonts w:eastAsia="宋体" w:cs="Times New Roman"/>
          <w:vertAlign w:val="superscript"/>
        </w:rPr>
        <w:t>[7]</w:t>
      </w:r>
      <w:r>
        <w:rPr>
          <w:rFonts w:eastAsia="宋体" w:cs="Times New Roman"/>
          <w:vertAlign w:val="superscript"/>
        </w:rPr>
        <w:fldChar w:fldCharType="end"/>
      </w:r>
      <w:r>
        <w:rPr>
          <w:rFonts w:eastAsia="宋体" w:cs="Times New Roman"/>
          <w:vertAlign w:val="superscript"/>
        </w:rPr>
        <w:fldChar w:fldCharType="begin" w:fldLock="1"/>
      </w:r>
      <w:r>
        <w:rPr>
          <w:rFonts w:eastAsia="宋体" w:cs="Times New Roman"/>
          <w:vertAlign w:val="superscript"/>
        </w:rPr>
        <w:instrText xml:space="preserve"> REF _Ref226818644 \r \h  \* MERGEFORMAT </w:instrText>
      </w:r>
      <w:r>
        <w:rPr>
          <w:rFonts w:eastAsia="宋体" w:cs="Times New Roman"/>
          <w:vertAlign w:val="superscript"/>
        </w:rPr>
        <w:fldChar w:fldCharType="separate"/>
      </w:r>
      <w:r>
        <w:rPr>
          <w:rFonts w:eastAsia="宋体" w:cs="Times New Roman"/>
          <w:vertAlign w:val="superscript"/>
        </w:rPr>
        <w:t>[8]</w:t>
      </w:r>
      <w:r>
        <w:rPr>
          <w:rFonts w:eastAsia="宋体" w:cs="Times New Roman"/>
          <w:vertAlign w:val="superscript"/>
        </w:rPr>
        <w:fldChar w:fldCharType="end"/>
      </w:r>
      <w:r>
        <w:rPr>
          <w:rFonts w:eastAsia="宋体" w:cs="Times New Roman"/>
        </w:rPr>
        <w:t>。因此，传统面向单时刻、单区域或单一数据源的静态检测方法，已难以满足新型电力系统APT攻击检测对全局关联分析与持续</w:t>
      </w:r>
      <w:r>
        <w:rPr>
          <w:rFonts w:hint="eastAsia" w:eastAsia="宋体" w:cs="Times New Roman"/>
        </w:rPr>
        <w:t>追踪</w:t>
      </w:r>
      <w:r>
        <w:rPr>
          <w:rFonts w:eastAsia="宋体" w:cs="Times New Roman"/>
        </w:rPr>
        <w:t>的实际需求。</w:t>
      </w:r>
    </w:p>
    <w:p w14:paraId="7FB1387D">
      <w:pPr>
        <w:spacing w:line="400" w:lineRule="exact"/>
        <w:ind w:firstLine="480" w:firstLineChars="200"/>
        <w:rPr>
          <w:rFonts w:eastAsia="宋体" w:cs="Times New Roman"/>
        </w:rPr>
      </w:pPr>
      <w:r>
        <w:rPr>
          <w:rFonts w:eastAsia="宋体" w:cs="Times New Roman"/>
        </w:rPr>
        <w:t>因此，有必要面向新型电力系统研究一种兼顾检测及时性、准确性</w:t>
      </w:r>
      <w:r>
        <w:rPr>
          <w:rFonts w:hint="eastAsia" w:eastAsia="宋体" w:cs="Times New Roman"/>
        </w:rPr>
        <w:t>以及具有全局分析能力</w:t>
      </w:r>
      <w:r>
        <w:rPr>
          <w:rFonts w:eastAsia="宋体" w:cs="Times New Roman"/>
        </w:rPr>
        <w:t>的APT检测方法</w:t>
      </w:r>
      <w:r>
        <w:rPr>
          <w:rFonts w:eastAsia="宋体" w:cs="Times New Roman"/>
          <w:vertAlign w:val="superscript"/>
        </w:rPr>
        <w:fldChar w:fldCharType="begin" w:fldLock="1"/>
      </w:r>
      <w:r>
        <w:rPr>
          <w:rFonts w:eastAsia="宋体" w:cs="Times New Roman"/>
          <w:vertAlign w:val="superscript"/>
        </w:rPr>
        <w:instrText xml:space="preserve"> REF _Ref226406488 \r \h  \* MERGEFORMAT </w:instrText>
      </w:r>
      <w:r>
        <w:rPr>
          <w:rFonts w:eastAsia="宋体" w:cs="Times New Roman"/>
          <w:vertAlign w:val="superscript"/>
        </w:rPr>
        <w:fldChar w:fldCharType="separate"/>
      </w:r>
      <w:r>
        <w:rPr>
          <w:rFonts w:eastAsia="宋体" w:cs="Times New Roman"/>
          <w:vertAlign w:val="superscript"/>
        </w:rPr>
        <w:t>[9]</w:t>
      </w:r>
      <w:r>
        <w:rPr>
          <w:rFonts w:eastAsia="宋体" w:cs="Times New Roman"/>
          <w:vertAlign w:val="superscript"/>
        </w:rPr>
        <w:fldChar w:fldCharType="end"/>
      </w:r>
      <w:r>
        <w:rPr>
          <w:rFonts w:eastAsia="宋体" w:cs="Times New Roman"/>
        </w:rPr>
        <w:t>。然而，现有研究多侧重于离线判别和静态特征建模，缺乏对APT潜伏阶段弱异常线索的表现能力，对攻击</w:t>
      </w:r>
      <w:r>
        <w:rPr>
          <w:rFonts w:hint="eastAsia" w:eastAsia="宋体" w:cs="Times New Roman"/>
        </w:rPr>
        <w:t>演进</w:t>
      </w:r>
      <w:r>
        <w:rPr>
          <w:rFonts w:eastAsia="宋体" w:cs="Times New Roman"/>
        </w:rPr>
        <w:t>过程缺乏有效的前瞻分析，也未同时考虑跨区域关联与在线优化问题。针对上述不足，本文提出一种结合大模型和预测型强化学习的新型电力系统APT检测方法</w:t>
      </w:r>
      <w:r>
        <w:rPr>
          <w:rFonts w:hint="eastAsia" w:eastAsia="宋体" w:cs="Times New Roman"/>
        </w:rPr>
        <w:t>，探索自适应特征选择方法、结合大模型和预测型强化学习的APT检测方法以及结合大模型和多智能体强化学习的跨域协同检测方法，为提升新型电力系统应对复杂隐匿APT威胁的能力提供关键技术方法支撑。</w:t>
      </w:r>
    </w:p>
    <w:p w14:paraId="565038AA">
      <w:pPr>
        <w:pStyle w:val="3"/>
      </w:pPr>
      <w:bookmarkStart w:id="10" w:name="_Toc230086331"/>
      <w:bookmarkStart w:id="11" w:name="_Toc163672068"/>
      <w:r>
        <w:rPr>
          <w:rFonts w:hint="eastAsia"/>
        </w:rPr>
        <w:t>1.2 国内外研究现状</w:t>
      </w:r>
      <w:bookmarkEnd w:id="10"/>
      <w:bookmarkEnd w:id="11"/>
    </w:p>
    <w:p w14:paraId="636D7727">
      <w:pPr>
        <w:ind w:firstLine="480" w:firstLineChars="200"/>
      </w:pPr>
      <w:r>
        <w:t>本节从APT检测方法、多区域网络攻击检测方法、特征选择方法、大模型与强化学习结合方法以及多智能体强化学习协作方法五个方面，对国内外研究现状进行分析，并在此基础上归纳现有研究的不足，为后文研究挑战分析和本文方法设计提供依据。</w:t>
      </w:r>
    </w:p>
    <w:p w14:paraId="66290C07">
      <w:pPr>
        <w:pStyle w:val="4"/>
      </w:pPr>
      <w:bookmarkStart w:id="12" w:name="_Toc230086332"/>
      <w:r>
        <w:rPr>
          <w:rFonts w:hint="eastAsia"/>
        </w:rPr>
        <w:t>1.2.1 A</w:t>
      </w:r>
      <w:r>
        <w:t>PT</w:t>
      </w:r>
      <w:r>
        <w:rPr>
          <w:rFonts w:hint="eastAsia"/>
        </w:rPr>
        <w:t>检测方法</w:t>
      </w:r>
      <w:bookmarkEnd w:id="12"/>
    </w:p>
    <w:p w14:paraId="2C79BA65">
      <w:pPr>
        <w:ind w:firstLine="480" w:firstLineChars="200"/>
      </w:pPr>
      <w:r>
        <w:rPr>
          <w:rFonts w:hint="eastAsia"/>
        </w:rPr>
        <w:t>现有针对</w:t>
      </w:r>
      <w:r>
        <w:t>APT攻击检测</w:t>
      </w:r>
      <w:r>
        <w:rPr>
          <w:rFonts w:hint="eastAsia"/>
        </w:rPr>
        <w:t>方法的</w:t>
      </w:r>
      <w:r>
        <w:t>研究已取得一定进展。根据检测模型与决策机制的不同，现有研究主要可分为基于机器学习的APT攻击检测方法、基于深度学习的APT攻击检测方法以及基于强化学习的APT攻击检测方法</w:t>
      </w:r>
      <w:r>
        <w:rPr>
          <w:vertAlign w:val="superscript"/>
        </w:rPr>
        <w:fldChar w:fldCharType="begin" w:fldLock="1"/>
      </w:r>
      <w:r>
        <w:rPr>
          <w:vertAlign w:val="superscript"/>
        </w:rPr>
        <w:instrText xml:space="preserve"> REF _Ref226403959 \r \h  \* MERGEFORMAT </w:instrText>
      </w:r>
      <w:r>
        <w:rPr>
          <w:vertAlign w:val="superscript"/>
        </w:rPr>
        <w:fldChar w:fldCharType="separate"/>
      </w:r>
      <w:r>
        <w:rPr>
          <w:vertAlign w:val="superscript"/>
        </w:rPr>
        <w:t>[10]</w:t>
      </w:r>
      <w:r>
        <w:rPr>
          <w:vertAlign w:val="superscript"/>
        </w:rPr>
        <w:fldChar w:fldCharType="end"/>
      </w:r>
      <w:r>
        <w:t>。</w:t>
      </w:r>
    </w:p>
    <w:p w14:paraId="79079708">
      <w:pPr>
        <w:ind w:firstLine="482" w:firstLineChars="200"/>
        <w:rPr>
          <w:b/>
          <w:bCs/>
        </w:rPr>
      </w:pPr>
      <w:r>
        <w:rPr>
          <w:rFonts w:hint="eastAsia"/>
          <w:b/>
          <w:bCs/>
        </w:rPr>
        <w:t>（1）基于机器学习的APT攻击检测方法</w:t>
      </w:r>
    </w:p>
    <w:p w14:paraId="36124E56">
      <w:pPr>
        <w:ind w:firstLine="480"/>
      </w:pPr>
      <w:r>
        <w:rPr>
          <w:rFonts w:hint="eastAsia"/>
        </w:rPr>
        <w:t>现有</w:t>
      </w:r>
      <w:r>
        <w:t>基于机器学习的APT</w:t>
      </w:r>
      <w:r>
        <w:rPr>
          <w:rFonts w:hint="eastAsia"/>
        </w:rPr>
        <w:t>攻击</w:t>
      </w:r>
      <w:r>
        <w:t>检测</w:t>
      </w:r>
      <w:r>
        <w:rPr>
          <w:rFonts w:hint="eastAsia"/>
        </w:rPr>
        <w:t>方法通常基于</w:t>
      </w:r>
      <w:r>
        <w:t>网络流量、DNS与主机日志等数据源</w:t>
      </w:r>
      <w:r>
        <w:rPr>
          <w:rFonts w:hint="eastAsia"/>
        </w:rPr>
        <w:t>进行</w:t>
      </w:r>
      <w:r>
        <w:t>“预处理</w:t>
      </w:r>
      <w:r>
        <w:rPr>
          <w:rFonts w:hint="eastAsia"/>
        </w:rPr>
        <w:t>-</w:t>
      </w:r>
      <w:r>
        <w:t>特征工程</w:t>
      </w:r>
      <w:r>
        <w:rPr>
          <w:rFonts w:hint="eastAsia"/>
        </w:rPr>
        <w:t>-</w:t>
      </w:r>
      <w:r>
        <w:t>模型训练</w:t>
      </w:r>
      <w:r>
        <w:rPr>
          <w:rFonts w:hint="eastAsia"/>
        </w:rPr>
        <w:t>-</w:t>
      </w:r>
      <w:r>
        <w:t>评估”的流程。常用模型包括支持向量机、随机森林与梯度提升等集成方法，侧重在可解释与部署成本之间取得平衡。</w:t>
      </w:r>
    </w:p>
    <w:p w14:paraId="333A1082">
      <w:pPr>
        <w:ind w:firstLine="480"/>
      </w:pPr>
      <w:r>
        <w:t>Ahmed 等人</w:t>
      </w:r>
      <w:r>
        <w:rPr>
          <w:vertAlign w:val="superscript"/>
        </w:rPr>
        <w:fldChar w:fldCharType="begin" w:fldLock="1"/>
      </w:r>
      <w:r>
        <w:rPr>
          <w:vertAlign w:val="superscript"/>
        </w:rPr>
        <w:instrText xml:space="preserve"> REF _Ref229823230 \r \h  \* MERGEFORMAT </w:instrText>
      </w:r>
      <w:r>
        <w:rPr>
          <w:vertAlign w:val="superscript"/>
        </w:rPr>
        <w:fldChar w:fldCharType="separate"/>
      </w:r>
      <w:r>
        <w:rPr>
          <w:vertAlign w:val="superscript"/>
        </w:rPr>
        <w:t>[11]</w:t>
      </w:r>
      <w:r>
        <w:rPr>
          <w:vertAlign w:val="superscript"/>
        </w:rPr>
        <w:fldChar w:fldCharType="end"/>
      </w:r>
      <w:r>
        <w:t>基于Cyber Kill Chain框架，将APT攻击过程划分为多个阶段，并采用朴素贝叶斯、贝叶斯网络、KNN、随机森林和支持向量机等机器学习分类器进行阶段检测；Xuan等人</w:t>
      </w:r>
      <w:r>
        <w:rPr>
          <w:vertAlign w:val="superscript"/>
        </w:rPr>
        <w:fldChar w:fldCharType="begin" w:fldLock="1"/>
      </w:r>
      <w:r>
        <w:rPr>
          <w:vertAlign w:val="superscript"/>
        </w:rPr>
        <w:instrText xml:space="preserve"> REF _Ref225361400 \r \h  \* MERGEFORMAT </w:instrText>
      </w:r>
      <w:r>
        <w:rPr>
          <w:vertAlign w:val="superscript"/>
        </w:rPr>
        <w:fldChar w:fldCharType="separate"/>
      </w:r>
      <w:r>
        <w:rPr>
          <w:vertAlign w:val="superscript"/>
        </w:rPr>
        <w:t>[12]</w:t>
      </w:r>
      <w:r>
        <w:rPr>
          <w:vertAlign w:val="superscript"/>
        </w:rPr>
        <w:fldChar w:fldCharType="end"/>
      </w:r>
      <w:r>
        <w:t>基于网络流量中域名</w:t>
      </w:r>
      <w:r>
        <w:rPr>
          <w:rFonts w:hint="eastAsia"/>
        </w:rPr>
        <w:t>及</w:t>
      </w:r>
      <w:r>
        <w:t>IP的行为画像，利用随机森林识别APT</w:t>
      </w:r>
      <w:r>
        <w:rPr>
          <w:rFonts w:hint="eastAsia"/>
        </w:rPr>
        <w:t>攻击</w:t>
      </w:r>
      <w:r>
        <w:t>；Al-Saraireh 等人</w:t>
      </w:r>
      <w:r>
        <w:rPr>
          <w:vertAlign w:val="superscript"/>
        </w:rPr>
        <w:fldChar w:fldCharType="begin" w:fldLock="1"/>
      </w:r>
      <w:r>
        <w:rPr>
          <w:vertAlign w:val="superscript"/>
        </w:rPr>
        <w:instrText xml:space="preserve"> REF _Ref229823593 \r \h  \* MERGEFORMAT </w:instrText>
      </w:r>
      <w:r>
        <w:rPr>
          <w:vertAlign w:val="superscript"/>
        </w:rPr>
        <w:fldChar w:fldCharType="separate"/>
      </w:r>
      <w:r>
        <w:rPr>
          <w:vertAlign w:val="superscript"/>
        </w:rPr>
        <w:t>[13]</w:t>
      </w:r>
      <w:r>
        <w:rPr>
          <w:vertAlign w:val="superscript"/>
        </w:rPr>
        <w:fldChar w:fldCharType="end"/>
      </w:r>
      <w:r>
        <w:t>构建覆盖正常行为及多个APT攻击阶段的数据集，采用ANOVA方法进行特征选择，并以XGBoost构建APT检测模型</w:t>
      </w:r>
      <w:r>
        <w:rPr>
          <w:rFonts w:hint="eastAsia"/>
        </w:rPr>
        <w:t>；</w:t>
      </w:r>
      <w:r>
        <w:t>Xue等人</w:t>
      </w:r>
      <w:r>
        <w:rPr>
          <w:vertAlign w:val="superscript"/>
        </w:rPr>
        <w:fldChar w:fldCharType="begin" w:fldLock="1"/>
      </w:r>
      <w:r>
        <w:rPr>
          <w:vertAlign w:val="superscript"/>
        </w:rPr>
        <w:instrText xml:space="preserve"> REF _Ref225361418 \r \h  \* MERGEFORMAT </w:instrText>
      </w:r>
      <w:r>
        <w:rPr>
          <w:vertAlign w:val="superscript"/>
        </w:rPr>
        <w:fldChar w:fldCharType="separate"/>
      </w:r>
      <w:r>
        <w:rPr>
          <w:vertAlign w:val="superscript"/>
        </w:rPr>
        <w:t>[14]</w:t>
      </w:r>
      <w:r>
        <w:rPr>
          <w:vertAlign w:val="superscript"/>
        </w:rPr>
        <w:fldChar w:fldCharType="end"/>
      </w:r>
      <w:r>
        <w:t>以CK-sketch压缩流量并结合多种传统机器学习分类器检测可疑APT</w:t>
      </w:r>
      <w:r>
        <w:rPr>
          <w:rFonts w:hint="eastAsia"/>
        </w:rPr>
        <w:t>流量</w:t>
      </w:r>
      <w:r>
        <w:t>；Hasan等人</w:t>
      </w:r>
      <w:r>
        <w:rPr>
          <w:vertAlign w:val="superscript"/>
        </w:rPr>
        <w:fldChar w:fldCharType="begin" w:fldLock="1"/>
      </w:r>
      <w:r>
        <w:rPr>
          <w:vertAlign w:val="superscript"/>
        </w:rPr>
        <w:instrText xml:space="preserve"> REF _Ref225361435 \r \h  \* MERGEFORMAT </w:instrText>
      </w:r>
      <w:r>
        <w:rPr>
          <w:vertAlign w:val="superscript"/>
        </w:rPr>
        <w:fldChar w:fldCharType="separate"/>
      </w:r>
      <w:r>
        <w:rPr>
          <w:vertAlign w:val="superscript"/>
        </w:rPr>
        <w:t>[15]</w:t>
      </w:r>
      <w:r>
        <w:rPr>
          <w:vertAlign w:val="superscript"/>
        </w:rPr>
        <w:fldChar w:fldCharType="end"/>
      </w:r>
      <w:r>
        <w:t>采用Boosting</w:t>
      </w:r>
      <w:r>
        <w:rPr>
          <w:rFonts w:hint="eastAsia"/>
        </w:rPr>
        <w:t>及</w:t>
      </w:r>
      <w:r>
        <w:t>可解释</w:t>
      </w:r>
      <w:r>
        <w:rPr>
          <w:rFonts w:hint="eastAsia"/>
        </w:rPr>
        <w:t>方法</w:t>
      </w:r>
      <w:r>
        <w:t>对APT多类型进行识别；Ali等人</w:t>
      </w:r>
      <w:r>
        <w:rPr>
          <w:vertAlign w:val="superscript"/>
        </w:rPr>
        <w:fldChar w:fldCharType="begin" w:fldLock="1"/>
      </w:r>
      <w:r>
        <w:rPr>
          <w:vertAlign w:val="superscript"/>
        </w:rPr>
        <w:instrText xml:space="preserve"> REF _Ref225361460 \r \h  \* MERGEFORMAT </w:instrText>
      </w:r>
      <w:r>
        <w:rPr>
          <w:vertAlign w:val="superscript"/>
        </w:rPr>
        <w:fldChar w:fldCharType="separate"/>
      </w:r>
      <w:r>
        <w:rPr>
          <w:vertAlign w:val="superscript"/>
        </w:rPr>
        <w:t>[16]</w:t>
      </w:r>
      <w:r>
        <w:rPr>
          <w:vertAlign w:val="superscript"/>
        </w:rPr>
        <w:fldChar w:fldCharType="end"/>
      </w:r>
      <w:r>
        <w:t>在扩展的APT数据集上以XGBoost实现高精度检测。这些研究以特征</w:t>
      </w:r>
      <w:r>
        <w:rPr>
          <w:rFonts w:hint="eastAsia"/>
        </w:rPr>
        <w:t>选择</w:t>
      </w:r>
      <w:r>
        <w:t>配合</w:t>
      </w:r>
      <w:r>
        <w:rPr>
          <w:rFonts w:hint="eastAsia"/>
        </w:rPr>
        <w:t>单一</w:t>
      </w:r>
      <w:r>
        <w:t>或集成</w:t>
      </w:r>
      <w:r>
        <w:rPr>
          <w:rFonts w:hint="eastAsia"/>
        </w:rPr>
        <w:t>机器</w:t>
      </w:r>
      <w:r>
        <w:t>学习</w:t>
      </w:r>
      <w:r>
        <w:rPr>
          <w:rFonts w:hint="eastAsia"/>
        </w:rPr>
        <w:t>分类</w:t>
      </w:r>
      <w:r>
        <w:t>器，对阶段式与低可见度的APT行为进行</w:t>
      </w:r>
      <w:r>
        <w:rPr>
          <w:rFonts w:hint="eastAsia"/>
        </w:rPr>
        <w:t>检测</w:t>
      </w:r>
      <w:r>
        <w:t>。</w:t>
      </w:r>
      <w:r>
        <w:rPr>
          <w:rFonts w:hint="eastAsia"/>
        </w:rPr>
        <w:t>然而这些研究使用静态特征选择及模型训练，且评价指标主要为</w:t>
      </w:r>
      <w:r>
        <w:t>离线准确率</w:t>
      </w:r>
      <w:r>
        <w:rPr>
          <w:rFonts w:hint="eastAsia"/>
        </w:rPr>
        <w:t>，未将</w:t>
      </w:r>
      <w:r>
        <w:t>提前</w:t>
      </w:r>
      <w:r>
        <w:rPr>
          <w:rFonts w:hint="eastAsia"/>
        </w:rPr>
        <w:t>预警能力</w:t>
      </w:r>
      <w:r>
        <w:t>与误报代价等</w:t>
      </w:r>
      <w:r>
        <w:rPr>
          <w:rFonts w:hint="eastAsia"/>
        </w:rPr>
        <w:t>早期检测指标纳入优化过程，难以有效捕捉APT在早期阶段的隐蔽行为。</w:t>
      </w:r>
    </w:p>
    <w:p w14:paraId="559815C7">
      <w:pPr>
        <w:ind w:firstLine="480" w:firstLineChars="200"/>
      </w:pPr>
      <w:r>
        <w:t>综上所述，基于机器学习的APT检测提供了可解释、成本可控的</w:t>
      </w:r>
      <w:r>
        <w:rPr>
          <w:rFonts w:hint="eastAsia"/>
        </w:rPr>
        <w:t>基础</w:t>
      </w:r>
      <w:r>
        <w:t>方案，适用于资源受限或对可审计性要求较高的场景。但</w:t>
      </w:r>
      <w:r>
        <w:rPr>
          <w:rFonts w:hint="eastAsia"/>
        </w:rPr>
        <w:t>其总体</w:t>
      </w:r>
      <w:r>
        <w:t>依赖特征工程与静态训练，对</w:t>
      </w:r>
      <w:r>
        <w:rPr>
          <w:rFonts w:hint="eastAsia"/>
        </w:rPr>
        <w:t>APT攻击的</w:t>
      </w:r>
      <w:r>
        <w:t>多阶段</w:t>
      </w:r>
      <w:r>
        <w:rPr>
          <w:rFonts w:hint="eastAsia"/>
        </w:rPr>
        <w:t>演进</w:t>
      </w:r>
      <w:r>
        <w:t>与</w:t>
      </w:r>
      <w:r>
        <w:rPr>
          <w:rFonts w:hint="eastAsia"/>
        </w:rPr>
        <w:t>隐蔽行为</w:t>
      </w:r>
      <w:r>
        <w:t>的</w:t>
      </w:r>
      <w:r>
        <w:rPr>
          <w:rFonts w:hint="eastAsia"/>
        </w:rPr>
        <w:t>表征</w:t>
      </w:r>
      <w:r>
        <w:t>能力</w:t>
      </w:r>
      <w:r>
        <w:rPr>
          <w:rFonts w:hint="eastAsia"/>
        </w:rPr>
        <w:t>有限</w:t>
      </w:r>
      <w:r>
        <w:t>；同时，提前</w:t>
      </w:r>
      <w:r>
        <w:rPr>
          <w:rFonts w:hint="eastAsia"/>
        </w:rPr>
        <w:t>预警</w:t>
      </w:r>
      <w:r>
        <w:t>与误报</w:t>
      </w:r>
      <w:r>
        <w:rPr>
          <w:rFonts w:hint="eastAsia"/>
        </w:rPr>
        <w:t>惩罚</w:t>
      </w:r>
      <w:r>
        <w:t>等运行期目标多未</w:t>
      </w:r>
      <w:r>
        <w:rPr>
          <w:rFonts w:hint="eastAsia"/>
        </w:rPr>
        <w:t>被</w:t>
      </w:r>
      <w:r>
        <w:t>纳入优化过程，难以</w:t>
      </w:r>
      <w:r>
        <w:rPr>
          <w:rFonts w:hint="eastAsia"/>
        </w:rPr>
        <w:t>针对APT隐蔽行为</w:t>
      </w:r>
      <w:r>
        <w:t>实现及时</w:t>
      </w:r>
      <w:r>
        <w:rPr>
          <w:rFonts w:hint="eastAsia"/>
        </w:rPr>
        <w:t>、</w:t>
      </w:r>
      <w:r>
        <w:t>成本敏感的告警与</w:t>
      </w:r>
      <w:r>
        <w:rPr>
          <w:rFonts w:hint="eastAsia"/>
        </w:rPr>
        <w:t>及早检测</w:t>
      </w:r>
      <w:r>
        <w:t>。</w:t>
      </w:r>
    </w:p>
    <w:p w14:paraId="4688693B">
      <w:pPr>
        <w:ind w:firstLine="482" w:firstLineChars="200"/>
        <w:rPr>
          <w:b/>
          <w:bCs/>
        </w:rPr>
      </w:pPr>
      <w:r>
        <w:rPr>
          <w:rFonts w:hint="eastAsia"/>
          <w:b/>
          <w:bCs/>
        </w:rPr>
        <w:t>（2）基于深度学习的APT攻击检测方法</w:t>
      </w:r>
    </w:p>
    <w:p w14:paraId="4AB03347">
      <w:pPr>
        <w:ind w:firstLine="480" w:firstLineChars="200"/>
      </w:pPr>
      <w:r>
        <w:t>现有基于深度学习的APT检测</w:t>
      </w:r>
      <w:r>
        <w:rPr>
          <w:rFonts w:hint="eastAsia"/>
        </w:rPr>
        <w:t>方法通常基于</w:t>
      </w:r>
      <w:r>
        <w:t>网络流量、系统审计日志与溯源图等多源数据构建端到端模型。常用</w:t>
      </w:r>
      <w:r>
        <w:rPr>
          <w:rFonts w:hint="eastAsia"/>
        </w:rPr>
        <w:t>方法</w:t>
      </w:r>
      <w:r>
        <w:t>包括用于捕获长时依赖与阶段关联的RNN</w:t>
      </w:r>
      <w:r>
        <w:rPr>
          <w:rFonts w:hint="eastAsia"/>
        </w:rPr>
        <w:t>及</w:t>
      </w:r>
      <w:r>
        <w:t>Transformer序列建模</w:t>
      </w:r>
      <w:r>
        <w:rPr>
          <w:rFonts w:hint="eastAsia"/>
        </w:rPr>
        <w:t>、</w:t>
      </w:r>
      <w:r>
        <w:t>用于</w:t>
      </w:r>
      <w:r>
        <w:rPr>
          <w:rFonts w:hint="eastAsia"/>
        </w:rPr>
        <w:t>建模</w:t>
      </w:r>
      <w:r>
        <w:t>实体关系交互与跨步长传播的图神经网络（GNN）以及在标签有限情形下降低标注依赖的自监督</w:t>
      </w:r>
      <w:r>
        <w:rPr>
          <w:rFonts w:hint="eastAsia"/>
        </w:rPr>
        <w:t>及</w:t>
      </w:r>
      <w:r>
        <w:t>对比学习。相</w:t>
      </w:r>
      <w:r>
        <w:rPr>
          <w:rFonts w:hint="eastAsia"/>
        </w:rPr>
        <w:t>较于</w:t>
      </w:r>
      <w:r>
        <w:t>传统机器学习方法，深度模型能够从</w:t>
      </w:r>
      <w:r>
        <w:rPr>
          <w:rFonts w:hint="eastAsia"/>
        </w:rPr>
        <w:t>多阶段</w:t>
      </w:r>
      <w:r>
        <w:t>、</w:t>
      </w:r>
      <w:r>
        <w:rPr>
          <w:rFonts w:hint="eastAsia"/>
        </w:rPr>
        <w:t>隐蔽性较强的APT</w:t>
      </w:r>
      <w:r>
        <w:t>行为中</w:t>
      </w:r>
      <w:r>
        <w:rPr>
          <w:rFonts w:hint="eastAsia"/>
        </w:rPr>
        <w:t>提取</w:t>
      </w:r>
      <w:r>
        <w:t>多尺度特征，并在多源证据融合与上下文一致性方面具</w:t>
      </w:r>
      <w:r>
        <w:rPr>
          <w:rFonts w:hint="eastAsia"/>
        </w:rPr>
        <w:t>有一定</w:t>
      </w:r>
      <w:r>
        <w:t>优势。</w:t>
      </w:r>
    </w:p>
    <w:p w14:paraId="7A39D286">
      <w:pPr>
        <w:ind w:firstLine="480" w:firstLineChars="200"/>
      </w:pPr>
      <w:r>
        <w:t>Do Xuan等人</w:t>
      </w:r>
      <w:r>
        <w:rPr>
          <w:vertAlign w:val="superscript"/>
        </w:rPr>
        <w:fldChar w:fldCharType="begin" w:fldLock="1"/>
      </w:r>
      <w:r>
        <w:rPr>
          <w:vertAlign w:val="superscript"/>
        </w:rPr>
        <w:instrText xml:space="preserve"> REF _Ref229824394 \r \h  \* MERGEFORMAT </w:instrText>
      </w:r>
      <w:r>
        <w:rPr>
          <w:vertAlign w:val="superscript"/>
        </w:rPr>
        <w:fldChar w:fldCharType="separate"/>
      </w:r>
      <w:r>
        <w:rPr>
          <w:vertAlign w:val="superscript"/>
        </w:rPr>
        <w:t>[17]</w:t>
      </w:r>
      <w:r>
        <w:rPr>
          <w:vertAlign w:val="superscript"/>
        </w:rPr>
        <w:fldChar w:fldCharType="end"/>
      </w:r>
      <w:r>
        <w:t>基于网络流量分析构建组合深度学习模型，</w:t>
      </w:r>
      <w:r>
        <w:rPr>
          <w:rFonts w:hint="eastAsia"/>
        </w:rPr>
        <w:t>使用</w:t>
      </w:r>
      <w:r>
        <w:t>MLP、CNN和LSTM等网络结构</w:t>
      </w:r>
      <w:r>
        <w:rPr>
          <w:rFonts w:hint="eastAsia"/>
        </w:rPr>
        <w:t>进行</w:t>
      </w:r>
      <w:r>
        <w:t>APT攻击识别；Jia等人</w:t>
      </w:r>
      <w:r>
        <w:rPr>
          <w:vertAlign w:val="superscript"/>
        </w:rPr>
        <w:fldChar w:fldCharType="begin" w:fldLock="1"/>
      </w:r>
      <w:r>
        <w:rPr>
          <w:vertAlign w:val="superscript"/>
        </w:rPr>
        <w:instrText xml:space="preserve"> REF _Ref225361527 \r \h  \* MERGEFORMAT </w:instrText>
      </w:r>
      <w:r>
        <w:rPr>
          <w:vertAlign w:val="superscript"/>
        </w:rPr>
        <w:fldChar w:fldCharType="separate"/>
      </w:r>
      <w:r>
        <w:rPr>
          <w:vertAlign w:val="superscript"/>
        </w:rPr>
        <w:t>[18]</w:t>
      </w:r>
      <w:r>
        <w:rPr>
          <w:vertAlign w:val="superscript"/>
        </w:rPr>
        <w:fldChar w:fldCharType="end"/>
      </w:r>
      <w:r>
        <w:t>提出MAGIC</w:t>
      </w:r>
      <w:r>
        <w:rPr>
          <w:rFonts w:hint="eastAsia"/>
        </w:rPr>
        <w:t>方法</w:t>
      </w:r>
      <w:r>
        <w:t>，基于掩码图自监督在溯源图上进行表征学习，实现多粒度APT检测；Yue等人</w:t>
      </w:r>
      <w:r>
        <w:rPr>
          <w:vertAlign w:val="superscript"/>
        </w:rPr>
        <w:fldChar w:fldCharType="begin" w:fldLock="1"/>
      </w:r>
      <w:r>
        <w:rPr>
          <w:vertAlign w:val="superscript"/>
        </w:rPr>
        <w:instrText xml:space="preserve"> REF _Ref229824524 \r \h  \* MERGEFORMAT </w:instrText>
      </w:r>
      <w:r>
        <w:rPr>
          <w:vertAlign w:val="superscript"/>
        </w:rPr>
        <w:fldChar w:fldCharType="separate"/>
      </w:r>
      <w:r>
        <w:rPr>
          <w:vertAlign w:val="superscript"/>
        </w:rPr>
        <w:t>[19]</w:t>
      </w:r>
      <w:r>
        <w:rPr>
          <w:vertAlign w:val="superscript"/>
        </w:rPr>
        <w:fldChar w:fldCharType="end"/>
      </w:r>
      <w:r>
        <w:t>提出攻击意图驱动的序列学习方法，通过构建网络事件本体和溯源图，将异构审计数据转换为包含攻击意图信息的行为序列，用于APT攻击检测</w:t>
      </w:r>
      <w:r>
        <w:rPr>
          <w:rFonts w:hint="eastAsia"/>
        </w:rPr>
        <w:t>；</w:t>
      </w:r>
      <w:r>
        <w:t>Rehman等</w:t>
      </w:r>
      <w:r>
        <w:rPr>
          <w:rFonts w:hint="eastAsia"/>
        </w:rPr>
        <w:t>人</w:t>
      </w:r>
      <w:r>
        <w:rPr>
          <w:vertAlign w:val="superscript"/>
        </w:rPr>
        <w:fldChar w:fldCharType="begin" w:fldLock="1"/>
      </w:r>
      <w:r>
        <w:rPr>
          <w:vertAlign w:val="superscript"/>
        </w:rPr>
        <w:instrText xml:space="preserve"> </w:instrText>
      </w:r>
      <w:r>
        <w:rPr>
          <w:rFonts w:hint="eastAsia"/>
          <w:vertAlign w:val="superscript"/>
        </w:rPr>
        <w:instrText xml:space="preserve">REF _Ref229824779 \r \h</w:instrText>
      </w:r>
      <w:r>
        <w:rPr>
          <w:vertAlign w:val="superscript"/>
        </w:rPr>
        <w:instrText xml:space="preserve">  \* MERGEFORMAT </w:instrText>
      </w:r>
      <w:r>
        <w:rPr>
          <w:vertAlign w:val="superscript"/>
        </w:rPr>
        <w:fldChar w:fldCharType="separate"/>
      </w:r>
      <w:r>
        <w:rPr>
          <w:vertAlign w:val="superscript"/>
        </w:rPr>
        <w:t>[20]</w:t>
      </w:r>
      <w:r>
        <w:rPr>
          <w:vertAlign w:val="superscript"/>
        </w:rPr>
        <w:fldChar w:fldCharType="end"/>
      </w:r>
      <w:r>
        <w:t>提出FLASH方法，结合Word2Vec语义编码和图神经网络对数据溯源图进行表示学习，以提升对复杂入侵行为的检测能力；Ren等人</w:t>
      </w:r>
      <w:r>
        <w:rPr>
          <w:vertAlign w:val="superscript"/>
        </w:rPr>
        <w:fldChar w:fldCharType="begin" w:fldLock="1"/>
      </w:r>
      <w:r>
        <w:rPr>
          <w:vertAlign w:val="superscript"/>
        </w:rPr>
        <w:instrText xml:space="preserve"> REF _Ref225361558 \r \h  \* MERGEFORMAT </w:instrText>
      </w:r>
      <w:r>
        <w:rPr>
          <w:vertAlign w:val="superscript"/>
        </w:rPr>
        <w:fldChar w:fldCharType="separate"/>
      </w:r>
      <w:r>
        <w:rPr>
          <w:vertAlign w:val="superscript"/>
        </w:rPr>
        <w:t>[21]</w:t>
      </w:r>
      <w:r>
        <w:rPr>
          <w:vertAlign w:val="superscript"/>
        </w:rPr>
        <w:fldChar w:fldCharType="end"/>
      </w:r>
      <w:r>
        <w:t>在溯源图上采用掩码图自监督以学习跨阶段</w:t>
      </w:r>
      <w:r>
        <w:rPr>
          <w:rFonts w:hint="eastAsia"/>
        </w:rPr>
        <w:t>特征</w:t>
      </w:r>
      <w:r>
        <w:t>，缓解标签稀缺并提升</w:t>
      </w:r>
      <w:r>
        <w:rPr>
          <w:rFonts w:hint="eastAsia"/>
        </w:rPr>
        <w:t>模型</w:t>
      </w:r>
      <w:r>
        <w:t>迁移</w:t>
      </w:r>
      <w:r>
        <w:rPr>
          <w:rFonts w:hint="eastAsia"/>
        </w:rPr>
        <w:t>能力</w:t>
      </w:r>
      <w:r>
        <w:t>；Wang等人</w:t>
      </w:r>
      <w:r>
        <w:rPr>
          <w:vertAlign w:val="superscript"/>
        </w:rPr>
        <w:fldChar w:fldCharType="begin" w:fldLock="1"/>
      </w:r>
      <w:r>
        <w:rPr>
          <w:vertAlign w:val="superscript"/>
        </w:rPr>
        <w:instrText xml:space="preserve"> REF _Ref225361584 \r \h  \* MERGEFORMAT </w:instrText>
      </w:r>
      <w:r>
        <w:rPr>
          <w:vertAlign w:val="superscript"/>
        </w:rPr>
        <w:fldChar w:fldCharType="separate"/>
      </w:r>
      <w:r>
        <w:rPr>
          <w:vertAlign w:val="superscript"/>
        </w:rPr>
        <w:t>[22]</w:t>
      </w:r>
      <w:r>
        <w:rPr>
          <w:vertAlign w:val="superscript"/>
        </w:rPr>
        <w:fldChar w:fldCharType="end"/>
      </w:r>
      <w:r>
        <w:t>提出基于异构溯源图的深度学习框架，利用异构图神经网络（HGNN）</w:t>
      </w:r>
      <w:r>
        <w:rPr>
          <w:rFonts w:hint="eastAsia"/>
        </w:rPr>
        <w:t>对</w:t>
      </w:r>
      <w:r>
        <w:t>进程、文件、连接等多类型节点</w:t>
      </w:r>
      <w:r>
        <w:rPr>
          <w:rFonts w:hint="eastAsia"/>
        </w:rPr>
        <w:t>及</w:t>
      </w:r>
      <w:r>
        <w:t>关系进行表示学习，用于APT</w:t>
      </w:r>
      <w:r>
        <w:rPr>
          <w:rFonts w:hint="eastAsia"/>
        </w:rPr>
        <w:t>攻击</w:t>
      </w:r>
      <w:r>
        <w:t>检测</w:t>
      </w:r>
      <w:r>
        <w:rPr>
          <w:rFonts w:hint="eastAsia"/>
        </w:rPr>
        <w:t>。然而</w:t>
      </w:r>
      <w:r>
        <w:t>，</w:t>
      </w:r>
      <w:r>
        <w:rPr>
          <w:rFonts w:hint="eastAsia"/>
        </w:rPr>
        <w:t>现有</w:t>
      </w:r>
      <w:r>
        <w:t>深度学习检测</w:t>
      </w:r>
      <w:r>
        <w:rPr>
          <w:rFonts w:hint="eastAsia"/>
        </w:rPr>
        <w:t>方法</w:t>
      </w:r>
      <w:r>
        <w:t>多以离线</w:t>
      </w:r>
      <w:r>
        <w:rPr>
          <w:rFonts w:hint="eastAsia"/>
        </w:rPr>
        <w:t>方法</w:t>
      </w:r>
      <w:r>
        <w:t>与静态指标为主，模型优化目标</w:t>
      </w:r>
      <w:r>
        <w:rPr>
          <w:rFonts w:hint="eastAsia"/>
        </w:rPr>
        <w:t>主要为</w:t>
      </w:r>
      <w:r>
        <w:t>整体准确率与召回率；</w:t>
      </w:r>
      <w:r>
        <w:rPr>
          <w:rFonts w:hint="eastAsia"/>
        </w:rPr>
        <w:t>缺乏针</w:t>
      </w:r>
      <w:r>
        <w:t>对检测提前量与误报代价的运行期约束，</w:t>
      </w:r>
      <w:r>
        <w:rPr>
          <w:rFonts w:hint="eastAsia"/>
        </w:rPr>
        <w:t>其</w:t>
      </w:r>
      <w:r>
        <w:t>尚未系统内化为损失函数、阈值策略或在线更新准则。</w:t>
      </w:r>
      <w:r>
        <w:rPr>
          <w:rFonts w:hint="eastAsia"/>
        </w:rPr>
        <w:t>此外</w:t>
      </w:r>
      <w:r>
        <w:t>，</w:t>
      </w:r>
      <w:r>
        <w:rPr>
          <w:rFonts w:hint="eastAsia"/>
        </w:rPr>
        <w:t>深度学习模型的复杂性与资源消耗限制了其对APT早期隐匿行为的及早检测，其</w:t>
      </w:r>
      <w:r>
        <w:t>在可解释性、算力与时延方面带来的工程约束</w:t>
      </w:r>
      <w:r>
        <w:rPr>
          <w:rFonts w:hint="eastAsia"/>
        </w:rPr>
        <w:t>仍</w:t>
      </w:r>
      <w:r>
        <w:t>需权衡。上述特征决定了深度</w:t>
      </w:r>
      <w:r>
        <w:rPr>
          <w:rFonts w:hint="eastAsia"/>
        </w:rPr>
        <w:t>学习</w:t>
      </w:r>
      <w:r>
        <w:t>方法在面向潜伏期的低可见迹象与跨域迁移时，仍存在稳定性与成本敏感性的改进空间。</w:t>
      </w:r>
    </w:p>
    <w:p w14:paraId="174E5392">
      <w:pPr>
        <w:ind w:firstLine="480" w:firstLineChars="200"/>
      </w:pPr>
      <w:r>
        <w:t>综上所述，基于深度学习的APT检测在自动</w:t>
      </w:r>
      <w:r>
        <w:rPr>
          <w:rFonts w:hint="eastAsia"/>
        </w:rPr>
        <w:t>特征提取</w:t>
      </w:r>
      <w:r>
        <w:t>与多源</w:t>
      </w:r>
      <w:r>
        <w:rPr>
          <w:rFonts w:hint="eastAsia"/>
        </w:rPr>
        <w:t>信息</w:t>
      </w:r>
      <w:r>
        <w:t>融合方面具有</w:t>
      </w:r>
      <w:r>
        <w:rPr>
          <w:rFonts w:hint="eastAsia"/>
        </w:rPr>
        <w:t>一定</w:t>
      </w:r>
      <w:r>
        <w:t>优势；但现有研究普遍依赖离线评测，对</w:t>
      </w:r>
      <w:r>
        <w:rPr>
          <w:rFonts w:hint="eastAsia"/>
        </w:rPr>
        <w:t>提前预警</w:t>
      </w:r>
      <w:r>
        <w:t>与误报</w:t>
      </w:r>
      <w:r>
        <w:rPr>
          <w:rFonts w:hint="eastAsia"/>
        </w:rPr>
        <w:t>惩罚</w:t>
      </w:r>
      <w:r>
        <w:t>缺乏在线层面的约束</w:t>
      </w:r>
      <w:r>
        <w:rPr>
          <w:rFonts w:hint="eastAsia"/>
        </w:rPr>
        <w:t>方法</w:t>
      </w:r>
      <w:r>
        <w:t>，且在解释性与资源消耗方面需要进一步平衡。</w:t>
      </w:r>
      <w:r>
        <w:rPr>
          <w:rFonts w:hint="eastAsia"/>
        </w:rPr>
        <w:t>这些缺陷限制了其</w:t>
      </w:r>
      <w:r>
        <w:t>对</w:t>
      </w:r>
      <w:r>
        <w:rPr>
          <w:rFonts w:hint="eastAsia"/>
        </w:rPr>
        <w:t>于</w:t>
      </w:r>
      <w:r>
        <w:t>APT</w:t>
      </w:r>
      <w:r>
        <w:rPr>
          <w:rFonts w:hint="eastAsia"/>
        </w:rPr>
        <w:t>攻击</w:t>
      </w:r>
      <w:r>
        <w:t>的</w:t>
      </w:r>
      <w:r>
        <w:rPr>
          <w:rFonts w:hint="eastAsia"/>
        </w:rPr>
        <w:t>及早</w:t>
      </w:r>
      <w:r>
        <w:t>、准确检测能力。</w:t>
      </w:r>
    </w:p>
    <w:p w14:paraId="32E8C94D">
      <w:pPr>
        <w:ind w:firstLine="482" w:firstLineChars="200"/>
        <w:rPr>
          <w:b/>
          <w:bCs/>
        </w:rPr>
      </w:pPr>
      <w:r>
        <w:rPr>
          <w:rFonts w:hint="eastAsia"/>
          <w:b/>
          <w:bCs/>
        </w:rPr>
        <w:t>（3）基于强化学习的APT攻击检测方法</w:t>
      </w:r>
    </w:p>
    <w:p w14:paraId="3FEAA299">
      <w:pPr>
        <w:ind w:firstLine="480" w:firstLineChars="200"/>
      </w:pPr>
      <w:r>
        <w:t>基于强化学习（Reinforcement Learning，RL）的APT检测</w:t>
      </w:r>
      <w:r>
        <w:rPr>
          <w:rFonts w:hint="eastAsia"/>
        </w:rPr>
        <w:t>方法通常</w:t>
      </w:r>
      <w:r>
        <w:t>将检测</w:t>
      </w:r>
      <w:r>
        <w:rPr>
          <w:rFonts w:hint="eastAsia"/>
        </w:rPr>
        <w:t>过程建模</w:t>
      </w:r>
      <w:r>
        <w:t>为逐步决策</w:t>
      </w:r>
      <w:r>
        <w:rPr>
          <w:rFonts w:hint="eastAsia"/>
        </w:rPr>
        <w:t>过程，其包含</w:t>
      </w:r>
      <w:r>
        <w:t>探测、补证与处置</w:t>
      </w:r>
      <w:r>
        <w:rPr>
          <w:rFonts w:hint="eastAsia"/>
        </w:rPr>
        <w:t>等步骤。</w:t>
      </w:r>
      <w:r>
        <w:t>RL智能体在不确定和代价约束下</w:t>
      </w:r>
      <w:r>
        <w:rPr>
          <w:rFonts w:hint="eastAsia"/>
        </w:rPr>
        <w:t>进行动作</w:t>
      </w:r>
      <w:r>
        <w:t>选择，并</w:t>
      </w:r>
      <w:r>
        <w:rPr>
          <w:rFonts w:hint="eastAsia"/>
        </w:rPr>
        <w:t>能够通过</w:t>
      </w:r>
      <w:r>
        <w:t>奖励函数综合衡量</w:t>
      </w:r>
      <w:r>
        <w:rPr>
          <w:rFonts w:hint="eastAsia"/>
        </w:rPr>
        <w:t>检测的</w:t>
      </w:r>
      <w:r>
        <w:t>及时性、准确性与</w:t>
      </w:r>
      <w:r>
        <w:rPr>
          <w:rFonts w:hint="eastAsia"/>
        </w:rPr>
        <w:t>动作代价</w:t>
      </w:r>
      <w:r>
        <w:t>。相较于机器学习与深度学习的静态判别</w:t>
      </w:r>
      <w:r>
        <w:rPr>
          <w:rFonts w:hint="eastAsia"/>
        </w:rPr>
        <w:t>方法</w:t>
      </w:r>
      <w:r>
        <w:t>，RL更便于在优化目标中显式</w:t>
      </w:r>
      <w:r>
        <w:rPr>
          <w:rFonts w:hint="eastAsia"/>
        </w:rPr>
        <w:t>引入</w:t>
      </w:r>
      <w:r>
        <w:t>检测提前量与误报代价，并在运行期通过策略更新</w:t>
      </w:r>
      <w:r>
        <w:rPr>
          <w:rFonts w:hint="eastAsia"/>
        </w:rPr>
        <w:t>以</w:t>
      </w:r>
      <w:r>
        <w:t>实现主动与成本敏感的</w:t>
      </w:r>
      <w:r>
        <w:rPr>
          <w:rFonts w:hint="eastAsia"/>
        </w:rPr>
        <w:t>及早检测，因此在APT检测中具有一定优势</w:t>
      </w:r>
      <w:r>
        <w:t>。</w:t>
      </w:r>
    </w:p>
    <w:p w14:paraId="277F70D5">
      <w:pPr>
        <w:ind w:firstLine="480" w:firstLineChars="200"/>
      </w:pPr>
      <w:r>
        <w:t>Yu等人</w:t>
      </w:r>
      <w:r>
        <w:rPr>
          <w:vertAlign w:val="superscript"/>
        </w:rPr>
        <w:fldChar w:fldCharType="begin" w:fldLock="1"/>
      </w:r>
      <w:r>
        <w:rPr>
          <w:vertAlign w:val="superscript"/>
        </w:rPr>
        <w:instrText xml:space="preserve"> REF _Ref229839441 \r \h  \* MERGEFORMAT </w:instrText>
      </w:r>
      <w:r>
        <w:rPr>
          <w:vertAlign w:val="superscript"/>
        </w:rPr>
        <w:fldChar w:fldCharType="separate"/>
      </w:r>
      <w:r>
        <w:rPr>
          <w:vertAlign w:val="superscript"/>
        </w:rPr>
        <w:t>[23]</w:t>
      </w:r>
      <w:r>
        <w:rPr>
          <w:vertAlign w:val="superscript"/>
        </w:rPr>
        <w:fldChar w:fldCharType="end"/>
      </w:r>
      <w:r>
        <w:t>面向智能电网场景提出深度强化学习APT快速检测方法，将APT检测过程建模为动态决策问题，以学习面向检测时延和数据保护目标的检测策略；Saheed等</w:t>
      </w:r>
      <w:r>
        <w:rPr>
          <w:rFonts w:hint="eastAsia"/>
        </w:rPr>
        <w:t>人</w:t>
      </w:r>
      <w:r>
        <w:rPr>
          <w:vertAlign w:val="superscript"/>
        </w:rPr>
        <w:fldChar w:fldCharType="begin" w:fldLock="1"/>
      </w:r>
      <w:r>
        <w:rPr>
          <w:vertAlign w:val="superscript"/>
        </w:rPr>
        <w:instrText xml:space="preserve"> </w:instrText>
      </w:r>
      <w:r>
        <w:rPr>
          <w:rFonts w:hint="eastAsia"/>
          <w:vertAlign w:val="superscript"/>
        </w:rPr>
        <w:instrText xml:space="preserve">REF _Ref229839674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t>提出APT-DRL方法，通过智能体与环境交互学习动态检测策略，以提升模型对多阶段和演化型APT攻击的适应能力</w:t>
      </w:r>
      <w:r>
        <w:rPr>
          <w:rFonts w:hint="eastAsia"/>
        </w:rPr>
        <w:t>；</w:t>
      </w:r>
      <w:r>
        <w:t>Qiao等人</w:t>
      </w:r>
      <w:r>
        <w:rPr>
          <w:vertAlign w:val="superscript"/>
        </w:rPr>
        <w:fldChar w:fldCharType="begin" w:fldLock="1"/>
      </w:r>
      <w:r>
        <w:rPr>
          <w:vertAlign w:val="superscript"/>
        </w:rPr>
        <w:instrText xml:space="preserve"> REF _Ref226555851 \r \h  \* MERGEFORMAT </w:instrText>
      </w:r>
      <w:r>
        <w:rPr>
          <w:vertAlign w:val="superscript"/>
        </w:rPr>
        <w:fldChar w:fldCharType="separate"/>
      </w:r>
      <w:r>
        <w:rPr>
          <w:vertAlign w:val="superscript"/>
        </w:rPr>
        <w:t>[25]</w:t>
      </w:r>
      <w:r>
        <w:rPr>
          <w:vertAlign w:val="superscript"/>
        </w:rPr>
        <w:fldChar w:fldCharType="end"/>
      </w:r>
      <w:r>
        <w:t>提出Slot</w:t>
      </w:r>
      <w:r>
        <w:rPr>
          <w:rFonts w:hint="eastAsia"/>
        </w:rPr>
        <w:t>方法</w:t>
      </w:r>
      <w:r>
        <w:t>，基于溯源图</w:t>
      </w:r>
      <w:r>
        <w:rPr>
          <w:rFonts w:hint="eastAsia"/>
        </w:rPr>
        <w:t>及</w:t>
      </w:r>
      <w:r>
        <w:t>图强化学习</w:t>
      </w:r>
      <w:r>
        <w:rPr>
          <w:rFonts w:hint="eastAsia"/>
        </w:rPr>
        <w:t>实现</w:t>
      </w:r>
      <w:r>
        <w:t>APT检测与攻击链构建，</w:t>
      </w:r>
      <w:r>
        <w:rPr>
          <w:rFonts w:hint="eastAsia"/>
        </w:rPr>
        <w:t>提升了模型</w:t>
      </w:r>
      <w:r>
        <w:t>随</w:t>
      </w:r>
      <w:r>
        <w:rPr>
          <w:rFonts w:hint="eastAsia"/>
        </w:rPr>
        <w:t>APT</w:t>
      </w:r>
      <w:r>
        <w:t>活动</w:t>
      </w:r>
      <w:r>
        <w:rPr>
          <w:rFonts w:hint="eastAsia"/>
        </w:rPr>
        <w:t>及</w:t>
      </w:r>
      <w:r>
        <w:t>攻击策略演化的自适应能力；Xuan等人</w:t>
      </w:r>
      <w:r>
        <w:rPr>
          <w:vertAlign w:val="superscript"/>
        </w:rPr>
        <w:fldChar w:fldCharType="begin" w:fldLock="1"/>
      </w:r>
      <w:r>
        <w:rPr>
          <w:vertAlign w:val="superscript"/>
        </w:rPr>
        <w:instrText xml:space="preserve"> REF _Ref225361685 \r \h  \* MERGEFORMAT </w:instrText>
      </w:r>
      <w:r>
        <w:rPr>
          <w:vertAlign w:val="superscript"/>
        </w:rPr>
        <w:fldChar w:fldCharType="separate"/>
      </w:r>
      <w:r>
        <w:rPr>
          <w:vertAlign w:val="superscript"/>
        </w:rPr>
        <w:t>[26]</w:t>
      </w:r>
      <w:r>
        <w:rPr>
          <w:vertAlign w:val="superscript"/>
        </w:rPr>
        <w:fldChar w:fldCharType="end"/>
      </w:r>
      <w:r>
        <w:t>结合特征智能提取与对比学习</w:t>
      </w:r>
      <w:r>
        <w:rPr>
          <w:rFonts w:hint="eastAsia"/>
        </w:rPr>
        <w:t>，并通过强化学习方法</w:t>
      </w:r>
      <w:r>
        <w:t>优化APT IP与正常IP的分类，用于网络侧APT识别；在攻防图建模方面，</w:t>
      </w:r>
      <w:r>
        <w:rPr>
          <w:rFonts w:eastAsia="仿宋_GB2312"/>
          <w:bCs/>
          <w:szCs w:val="21"/>
        </w:rPr>
        <w:t>Le</w:t>
      </w:r>
      <w:r>
        <w:t>等人</w:t>
      </w:r>
      <w:r>
        <w:rPr>
          <w:vertAlign w:val="superscript"/>
        </w:rPr>
        <w:fldChar w:fldCharType="begin" w:fldLock="1"/>
      </w:r>
      <w:r>
        <w:rPr>
          <w:vertAlign w:val="superscript"/>
        </w:rPr>
        <w:instrText xml:space="preserve"> REF _Ref225361746 \r \h  \* MERGEFORMAT </w:instrText>
      </w:r>
      <w:r>
        <w:rPr>
          <w:vertAlign w:val="superscript"/>
        </w:rPr>
        <w:fldChar w:fldCharType="separate"/>
      </w:r>
      <w:r>
        <w:rPr>
          <w:vertAlign w:val="superscript"/>
        </w:rPr>
        <w:t>[27]</w:t>
      </w:r>
      <w:r>
        <w:rPr>
          <w:vertAlign w:val="superscript"/>
        </w:rPr>
        <w:fldChar w:fldCharType="end"/>
      </w:r>
      <w:r>
        <w:t>将攻击</w:t>
      </w:r>
      <w:r>
        <w:rPr>
          <w:rFonts w:hint="eastAsia"/>
        </w:rPr>
        <w:t>图及</w:t>
      </w:r>
      <w:r>
        <w:t>溯源图状态压缩为</w:t>
      </w:r>
      <w:r>
        <w:rPr>
          <w:rFonts w:hint="eastAsia"/>
        </w:rPr>
        <w:t>适用于</w:t>
      </w:r>
      <w:r>
        <w:t>RL</w:t>
      </w:r>
      <w:r>
        <w:rPr>
          <w:rFonts w:hint="eastAsia"/>
        </w:rPr>
        <w:t>的</w:t>
      </w:r>
      <w:r>
        <w:t>状态</w:t>
      </w:r>
      <w:r>
        <w:rPr>
          <w:rFonts w:hint="eastAsia"/>
        </w:rPr>
        <w:t>表示，</w:t>
      </w:r>
      <w:r>
        <w:t>以实现自动化APT防御策略学习，</w:t>
      </w:r>
      <w:r>
        <w:rPr>
          <w:rFonts w:hint="eastAsia"/>
        </w:rPr>
        <w:t>并使用</w:t>
      </w:r>
      <w:r>
        <w:t>图结构支撑序</w:t>
      </w:r>
      <w:r>
        <w:rPr>
          <w:rFonts w:hint="eastAsia"/>
        </w:rPr>
        <w:t>列</w:t>
      </w:r>
      <w:r>
        <w:t>决策；</w:t>
      </w:r>
      <w:r>
        <w:rPr>
          <w:rFonts w:eastAsia="仿宋_GB2312"/>
          <w:bCs/>
          <w:szCs w:val="21"/>
        </w:rPr>
        <w:t>Dehghan</w:t>
      </w:r>
      <w:r>
        <w:rPr>
          <w:rFonts w:hint="eastAsia" w:ascii="宋体" w:hAnsi="宋体"/>
          <w:bCs/>
          <w:szCs w:val="21"/>
        </w:rPr>
        <w:t>等人</w:t>
      </w:r>
      <w:r>
        <w:rPr>
          <w:rFonts w:hint="eastAsia"/>
          <w:vertAlign w:val="superscript"/>
        </w:rPr>
        <w:fldChar w:fldCharType="begin" w:fldLock="1"/>
      </w:r>
      <w:r>
        <w:rPr>
          <w:rFonts w:hint="eastAsia"/>
          <w:vertAlign w:val="superscript"/>
        </w:rPr>
        <w:instrText xml:space="preserve"> REF _Ref225361763 \r \h </w:instrText>
      </w:r>
      <w:r>
        <w:rPr>
          <w:vertAlign w:val="superscript"/>
        </w:rPr>
        <w:instrText xml:space="preserve"> \* MERGEFORMAT </w:instrText>
      </w:r>
      <w:r>
        <w:rPr>
          <w:rFonts w:hint="eastAsia"/>
          <w:vertAlign w:val="superscript"/>
        </w:rPr>
        <w:fldChar w:fldCharType="separate"/>
      </w:r>
      <w:r>
        <w:rPr>
          <w:vertAlign w:val="superscript"/>
        </w:rPr>
        <w:t>[28]</w:t>
      </w:r>
      <w:r>
        <w:rPr>
          <w:rFonts w:hint="eastAsia"/>
          <w:vertAlign w:val="superscript"/>
        </w:rPr>
        <w:fldChar w:fldCharType="end"/>
      </w:r>
      <w:r>
        <w:rPr>
          <w:rFonts w:hint="eastAsia"/>
        </w:rPr>
        <w:t>采用深度强化学习</w:t>
      </w:r>
      <w:r>
        <w:t>对APT渗透过程进行时序建模与投影，</w:t>
      </w:r>
      <w:r>
        <w:rPr>
          <w:rFonts w:hint="eastAsia"/>
        </w:rPr>
        <w:t>重点关注APT的长期</w:t>
      </w:r>
      <w:r>
        <w:t>潜伏与阶段</w:t>
      </w:r>
      <w:r>
        <w:rPr>
          <w:rFonts w:hint="eastAsia"/>
        </w:rPr>
        <w:t>演进</w:t>
      </w:r>
      <w:r>
        <w:t>的</w:t>
      </w:r>
      <w:r>
        <w:rPr>
          <w:rFonts w:hint="eastAsia"/>
        </w:rPr>
        <w:t>特性</w:t>
      </w:r>
      <w:r>
        <w:t>。</w:t>
      </w:r>
      <w:r>
        <w:rPr>
          <w:rFonts w:hint="eastAsia"/>
        </w:rPr>
        <w:t>上述</w:t>
      </w:r>
      <w:r>
        <w:t>研究表明，</w:t>
      </w:r>
      <w:r>
        <w:rPr>
          <w:rFonts w:hint="eastAsia"/>
        </w:rPr>
        <w:t>强化学习</w:t>
      </w:r>
      <w:r>
        <w:t>框架能够更自然地</w:t>
      </w:r>
      <w:r>
        <w:rPr>
          <w:rFonts w:hint="eastAsia"/>
        </w:rPr>
        <w:t>契合</w:t>
      </w:r>
      <w:r>
        <w:t>APT的阶段化推进与成本约束</w:t>
      </w:r>
      <w:r>
        <w:rPr>
          <w:rFonts w:hint="eastAsia"/>
        </w:rPr>
        <w:t>，因此其更适用于APT检测。</w:t>
      </w:r>
    </w:p>
    <w:p w14:paraId="4356EE7A">
      <w:pPr>
        <w:ind w:firstLine="480" w:firstLineChars="200"/>
      </w:pPr>
      <w:r>
        <w:t>综上所述，基于强化学习的</w:t>
      </w:r>
      <w:r>
        <w:rPr>
          <w:rFonts w:hint="eastAsia"/>
        </w:rPr>
        <w:t>APT检测</w:t>
      </w:r>
      <w:r>
        <w:t>方法在在线</w:t>
      </w:r>
      <w:r>
        <w:rPr>
          <w:rFonts w:hint="eastAsia"/>
        </w:rPr>
        <w:t>决策</w:t>
      </w:r>
      <w:r>
        <w:t>、成本敏感与序贯优化方面较</w:t>
      </w:r>
      <w:r>
        <w:rPr>
          <w:rFonts w:hint="eastAsia"/>
        </w:rPr>
        <w:t>机器学习、深度学习</w:t>
      </w:r>
      <w:r>
        <w:t>方法更契合APT检测</w:t>
      </w:r>
      <w:r>
        <w:rPr>
          <w:rFonts w:hint="eastAsia"/>
        </w:rPr>
        <w:t>需求。</w:t>
      </w:r>
      <w:r>
        <w:t>但现有研究仍存在</w:t>
      </w:r>
      <w:r>
        <w:rPr>
          <w:rFonts w:hint="eastAsia"/>
        </w:rPr>
        <w:t>以下</w:t>
      </w:r>
      <w:r>
        <w:t>不足：</w:t>
      </w:r>
      <w:r>
        <w:rPr>
          <w:rFonts w:hint="eastAsia"/>
        </w:rPr>
        <w:t>1）</w:t>
      </w:r>
      <w:r>
        <w:t>多以静态</w:t>
      </w:r>
      <w:r>
        <w:rPr>
          <w:rFonts w:hint="eastAsia"/>
        </w:rPr>
        <w:t>特征集</w:t>
      </w:r>
      <w:r>
        <w:t>与离线指标评测，</w:t>
      </w:r>
      <w:r>
        <w:rPr>
          <w:rFonts w:hint="eastAsia"/>
        </w:rPr>
        <w:t>提前预警</w:t>
      </w:r>
      <w:r>
        <w:t>与误报代价尚未系统内化为奖励</w:t>
      </w:r>
      <w:r>
        <w:rPr>
          <w:rFonts w:hint="eastAsia"/>
        </w:rPr>
        <w:t>或</w:t>
      </w:r>
      <w:r>
        <w:t>在线更新准则；</w:t>
      </w:r>
      <w:r>
        <w:rPr>
          <w:rFonts w:hint="eastAsia"/>
        </w:rPr>
        <w:t>2）其</w:t>
      </w:r>
      <w:r>
        <w:t>策略多</w:t>
      </w:r>
      <w:r>
        <w:rPr>
          <w:rFonts w:hint="eastAsia"/>
        </w:rPr>
        <w:t>为使用</w:t>
      </w:r>
      <w:r>
        <w:t>智能体</w:t>
      </w:r>
      <w:r>
        <w:rPr>
          <w:rFonts w:hint="eastAsia"/>
        </w:rPr>
        <w:t>进行</w:t>
      </w:r>
      <w:r>
        <w:t>后验判别，对前瞻评估机制的利用不足</w:t>
      </w:r>
      <w:r>
        <w:rPr>
          <w:rFonts w:hint="eastAsia"/>
        </w:rPr>
        <w:t>；</w:t>
      </w:r>
      <w:r>
        <w:t>同时也缺乏面向多主体、多区域场景的协同检测能力，因而仍有进一步改进空间。</w:t>
      </w:r>
    </w:p>
    <w:p w14:paraId="1C846188">
      <w:pPr>
        <w:pStyle w:val="4"/>
      </w:pPr>
      <w:bookmarkStart w:id="13" w:name="_Toc230086333"/>
      <w:r>
        <w:rPr>
          <w:rFonts w:hint="eastAsia"/>
        </w:rPr>
        <w:t>1.2.2 多区域网络攻击检测方法</w:t>
      </w:r>
      <w:bookmarkEnd w:id="13"/>
    </w:p>
    <w:p w14:paraId="3231B600">
      <w:pPr>
        <w:ind w:firstLine="480" w:firstLineChars="200"/>
      </w:pPr>
      <w:r>
        <w:t>多区域网络攻击检测方法主要面向跨区域场景下数据分布差异、攻击线索跨区域传播以及单一区域检测结果难以支撑</w:t>
      </w:r>
      <w:r>
        <w:rPr>
          <w:rFonts w:hint="eastAsia"/>
        </w:rPr>
        <w:t>全局</w:t>
      </w:r>
      <w:r>
        <w:t>判断等问题，是跨区域协同检测研究的</w:t>
      </w:r>
      <w:r>
        <w:rPr>
          <w:rFonts w:hint="eastAsia"/>
        </w:rPr>
        <w:t>重点</w:t>
      </w:r>
      <w:r>
        <w:t>。</w:t>
      </w:r>
      <w:r>
        <w:rPr>
          <w:rFonts w:hint="eastAsia"/>
        </w:rPr>
        <w:t>针对</w:t>
      </w:r>
      <w:r>
        <w:t>跨区域场景下的协同检测与联合分析，现有研究已形成一定的基础</w:t>
      </w:r>
      <w:r>
        <w:rPr>
          <w:rFonts w:hint="eastAsia"/>
        </w:rPr>
        <w:t>，</w:t>
      </w:r>
      <w:r>
        <w:t>相关研究主要集中在两个方面：一是在原始数据不直接</w:t>
      </w:r>
      <w:r>
        <w:rPr>
          <w:rFonts w:hint="eastAsia"/>
        </w:rPr>
        <w:t>汇总</w:t>
      </w:r>
      <w:r>
        <w:t>的条件下，通过联邦学习、协同学习等方式实现跨区域模型协同；二是通过告警关联分析、区域关系建模或分层检测架构，对来自不同区域的异构线索进行融合与联合判断。</w:t>
      </w:r>
      <w:r>
        <w:rPr>
          <w:rFonts w:hint="eastAsia"/>
        </w:rPr>
        <w:t>这两个方面的研究如下所述。</w:t>
      </w:r>
    </w:p>
    <w:p w14:paraId="086117D8">
      <w:pPr>
        <w:ind w:firstLine="482" w:firstLineChars="200"/>
      </w:pPr>
      <w:r>
        <w:rPr>
          <w:b/>
          <w:bCs/>
        </w:rPr>
        <w:t>（1）基于分布式协同学习的多区域网络攻击检测方法</w:t>
      </w:r>
    </w:p>
    <w:p w14:paraId="163C83BB">
      <w:pPr>
        <w:ind w:firstLine="480" w:firstLineChars="200"/>
      </w:pPr>
      <w:r>
        <w:t>在基于分布式协同学习的多区域网络攻击检测研究中，现有方法通常通过联邦学习或协同训练方式，在各区域原始数据不直接</w:t>
      </w:r>
      <w:r>
        <w:rPr>
          <w:rFonts w:hint="eastAsia"/>
        </w:rPr>
        <w:t>汇总</w:t>
      </w:r>
      <w:r>
        <w:t>的条件下完成联合建模，以提升跨区域场景中的攻击检测能力。Wu等人</w:t>
      </w:r>
      <w:r>
        <w:rPr>
          <w:vertAlign w:val="superscript"/>
        </w:rPr>
        <w:fldChar w:fldCharType="begin" w:fldLock="1"/>
      </w:r>
      <w:r>
        <w:rPr>
          <w:vertAlign w:val="superscript"/>
        </w:rPr>
        <w:instrText xml:space="preserve"> REF _Ref225535187 \r \h  \* MERGEFORMAT </w:instrText>
      </w:r>
      <w:r>
        <w:rPr>
          <w:vertAlign w:val="superscript"/>
        </w:rPr>
        <w:fldChar w:fldCharType="separate"/>
      </w:r>
      <w:r>
        <w:rPr>
          <w:vertAlign w:val="superscript"/>
        </w:rPr>
        <w:t>[29]</w:t>
      </w:r>
      <w:r>
        <w:rPr>
          <w:vertAlign w:val="superscript"/>
        </w:rPr>
        <w:fldChar w:fldCharType="end"/>
      </w:r>
      <w:r>
        <w:t>提出基于联邦图注意力网络的攻击检测方法，在分布式设备之间开展协同训练，用于检测跨层级、跨部门的网络攻击；Li等</w:t>
      </w:r>
      <w:r>
        <w:rPr>
          <w:rFonts w:hint="eastAsia"/>
        </w:rPr>
        <w:t>人</w:t>
      </w:r>
      <w:r>
        <w:rPr>
          <w:vertAlign w:val="superscript"/>
        </w:rPr>
        <w:fldChar w:fldCharType="begin" w:fldLock="1"/>
      </w:r>
      <w:r>
        <w:rPr>
          <w:vertAlign w:val="superscript"/>
        </w:rPr>
        <w:instrText xml:space="preserve"> </w:instrText>
      </w:r>
      <w:r>
        <w:rPr>
          <w:rFonts w:hint="eastAsia"/>
          <w:vertAlign w:val="superscript"/>
        </w:rPr>
        <w:instrText xml:space="preserve">REF _Ref229842429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t>提出DeepFed联邦深度学习方法，结合CNN与GRU构建工业信息物理系统入侵检测模型，并通过联邦学习支持多个工业系统在不共享原始数据的条件下进行协同训练；Sun等人</w:t>
      </w:r>
      <w:r>
        <w:rPr>
          <w:vertAlign w:val="superscript"/>
        </w:rPr>
        <w:fldChar w:fldCharType="begin" w:fldLock="1"/>
      </w:r>
      <w:r>
        <w:rPr>
          <w:vertAlign w:val="superscript"/>
        </w:rPr>
        <w:instrText xml:space="preserve"> REF _Ref225535200 \r \h  \* MERGEFORMAT </w:instrText>
      </w:r>
      <w:r>
        <w:rPr>
          <w:vertAlign w:val="superscript"/>
        </w:rPr>
        <w:fldChar w:fldCharType="separate"/>
      </w:r>
      <w:r>
        <w:rPr>
          <w:vertAlign w:val="superscript"/>
        </w:rPr>
        <w:t>[31]</w:t>
      </w:r>
      <w:r>
        <w:rPr>
          <w:vertAlign w:val="superscript"/>
        </w:rPr>
        <w:fldChar w:fldCharType="end"/>
      </w:r>
      <w:r>
        <w:t>进一步针对数据分布不一致</w:t>
      </w:r>
      <w:r>
        <w:rPr>
          <w:rFonts w:hint="eastAsia"/>
        </w:rPr>
        <w:t>的</w:t>
      </w:r>
      <w:r>
        <w:t>场景，提出个性化联邦入侵检测方法，以减弱区域异质性对模型性能的影响；Xenos等人</w:t>
      </w:r>
      <w:r>
        <w:rPr>
          <w:vertAlign w:val="superscript"/>
        </w:rPr>
        <w:fldChar w:fldCharType="begin" w:fldLock="1"/>
      </w:r>
      <w:r>
        <w:rPr>
          <w:vertAlign w:val="superscript"/>
        </w:rPr>
        <w:instrText xml:space="preserve"> REF _Ref225535211 \r \h  \* MERGEFORMAT </w:instrText>
      </w:r>
      <w:r>
        <w:rPr>
          <w:vertAlign w:val="superscript"/>
        </w:rPr>
        <w:fldChar w:fldCharType="separate"/>
      </w:r>
      <w:r>
        <w:rPr>
          <w:vertAlign w:val="superscript"/>
        </w:rPr>
        <w:t>[32]</w:t>
      </w:r>
      <w:r>
        <w:rPr>
          <w:vertAlign w:val="superscript"/>
        </w:rPr>
        <w:fldChar w:fldCharType="end"/>
      </w:r>
      <w:r>
        <w:t>面向安全运营中心场景，分别从横向联邦学习和纵向联邦学习两个层面</w:t>
      </w:r>
      <w:r>
        <w:rPr>
          <w:rFonts w:hint="eastAsia"/>
        </w:rPr>
        <w:t>进行</w:t>
      </w:r>
      <w:r>
        <w:t>跨机构恶意软件检测协作；Sarhan等人</w:t>
      </w:r>
      <w:r>
        <w:rPr>
          <w:vertAlign w:val="superscript"/>
        </w:rPr>
        <w:fldChar w:fldCharType="begin" w:fldLock="1"/>
      </w:r>
      <w:r>
        <w:rPr>
          <w:vertAlign w:val="superscript"/>
        </w:rPr>
        <w:instrText xml:space="preserve"> REF _Ref229842694 \r \h  \* MERGEFORMAT </w:instrText>
      </w:r>
      <w:r>
        <w:rPr>
          <w:vertAlign w:val="superscript"/>
        </w:rPr>
        <w:fldChar w:fldCharType="separate"/>
      </w:r>
      <w:r>
        <w:rPr>
          <w:vertAlign w:val="superscript"/>
        </w:rPr>
        <w:t>[33]</w:t>
      </w:r>
      <w:r>
        <w:rPr>
          <w:vertAlign w:val="superscript"/>
        </w:rPr>
        <w:fldChar w:fldCharType="end"/>
      </w:r>
      <w:r>
        <w:t>提出层级区块链联邦学习框架HBFL，通过层级联邦学习结构和区块链验证方式实现跨组织IoT入侵检测协作；Ali</w:t>
      </w:r>
      <w:r>
        <w:rPr>
          <w:vertAlign w:val="superscript"/>
        </w:rPr>
        <w:fldChar w:fldCharType="begin" w:fldLock="1"/>
      </w:r>
      <w:r>
        <w:rPr>
          <w:vertAlign w:val="superscript"/>
        </w:rPr>
        <w:instrText xml:space="preserve"> REF _Ref225535226 \r \h  \* MERGEFORMAT </w:instrText>
      </w:r>
      <w:r>
        <w:rPr>
          <w:vertAlign w:val="superscript"/>
        </w:rPr>
        <w:fldChar w:fldCharType="separate"/>
      </w:r>
      <w:r>
        <w:rPr>
          <w:vertAlign w:val="superscript"/>
        </w:rPr>
        <w:t>[34]</w:t>
      </w:r>
      <w:r>
        <w:rPr>
          <w:vertAlign w:val="superscript"/>
        </w:rPr>
        <w:fldChar w:fldCharType="end"/>
      </w:r>
      <w:r>
        <w:t>则面向工业网络环境，构建联邦机器学习检测框架，通过分布式节点本地训练与参数聚合实现威胁检测。</w:t>
      </w:r>
    </w:p>
    <w:p w14:paraId="2A9664A5">
      <w:pPr>
        <w:ind w:firstLine="480" w:firstLineChars="200"/>
      </w:pPr>
      <w:r>
        <w:t>此类方法能够在一定程度上缓解原始数据难以集中共享的问题，并提升多区域场景下的联合检测能力，对于跨节点</w:t>
      </w:r>
      <w:r>
        <w:rPr>
          <w:rFonts w:hint="eastAsia"/>
        </w:rPr>
        <w:t>及</w:t>
      </w:r>
      <w:r>
        <w:t>跨域环境中的协同检测具有</w:t>
      </w:r>
      <w:r>
        <w:rPr>
          <w:rFonts w:hint="eastAsia"/>
        </w:rPr>
        <w:t>一定</w:t>
      </w:r>
      <w:r>
        <w:t>的适用性。然而，现有方法的协作过程</w:t>
      </w:r>
      <w:r>
        <w:rPr>
          <w:rFonts w:hint="eastAsia"/>
        </w:rPr>
        <w:t>侧重于考虑</w:t>
      </w:r>
      <w:r>
        <w:t>模型参数、局部特征或检测结果，研究重点多</w:t>
      </w:r>
      <w:r>
        <w:rPr>
          <w:rFonts w:hint="eastAsia"/>
        </w:rPr>
        <w:t>为</w:t>
      </w:r>
      <w:r>
        <w:t>隐私保护、异质数据适应和整体检测精度提升等方面，对于攻击在不同区域之间的传播过程、线索之间的时序关联以及跨区域证据的持续演化</w:t>
      </w:r>
      <w:r>
        <w:rPr>
          <w:rFonts w:hint="eastAsia"/>
        </w:rPr>
        <w:t>的</w:t>
      </w:r>
      <w:r>
        <w:t>考虑仍然不够充分。同时，这类方法通常依赖较为稳定的模型聚合过程，协作主要停留在模型训练或检测结果融合层面，难以直接体现跨区域检测过程中的阶段判断、协作动作和动态联动关系。</w:t>
      </w:r>
    </w:p>
    <w:p w14:paraId="07593424">
      <w:pPr>
        <w:ind w:firstLine="482" w:firstLineChars="200"/>
      </w:pPr>
      <w:r>
        <w:rPr>
          <w:b/>
          <w:bCs/>
        </w:rPr>
        <w:t>（2）基于区域关联分析与分层协同的多区域网络攻击检测方法</w:t>
      </w:r>
    </w:p>
    <w:p w14:paraId="04320D7E">
      <w:pPr>
        <w:ind w:firstLine="480" w:firstLineChars="200"/>
      </w:pPr>
      <w:r>
        <w:t>除分布式协同学习方法</w:t>
      </w:r>
      <w:r>
        <w:rPr>
          <w:rFonts w:hint="eastAsia"/>
        </w:rPr>
        <w:t>以</w:t>
      </w:r>
      <w:r>
        <w:t>外，现有研究还常通过区域关联分析、告警场景重构或分层检测架构</w:t>
      </w:r>
      <w:r>
        <w:rPr>
          <w:rFonts w:hint="eastAsia"/>
        </w:rPr>
        <w:t>等方式提升针对</w:t>
      </w:r>
      <w:r>
        <w:t>多区域攻击</w:t>
      </w:r>
      <w:r>
        <w:rPr>
          <w:rFonts w:hint="eastAsia"/>
        </w:rPr>
        <w:t>的</w:t>
      </w:r>
      <w:r>
        <w:t>检测能力。Alkhpor等人</w:t>
      </w:r>
      <w:r>
        <w:rPr>
          <w:vertAlign w:val="superscript"/>
        </w:rPr>
        <w:fldChar w:fldCharType="begin" w:fldLock="1"/>
      </w:r>
      <w:r>
        <w:rPr>
          <w:vertAlign w:val="superscript"/>
        </w:rPr>
        <w:instrText xml:space="preserve"> REF _Ref225535254 \r \h  \* MERGEFORMAT </w:instrText>
      </w:r>
      <w:r>
        <w:rPr>
          <w:vertAlign w:val="superscript"/>
        </w:rPr>
        <w:fldChar w:fldCharType="separate"/>
      </w:r>
      <w:r>
        <w:rPr>
          <w:vertAlign w:val="superscript"/>
        </w:rPr>
        <w:t>[35]</w:t>
      </w:r>
      <w:r>
        <w:rPr>
          <w:vertAlign w:val="superscript"/>
        </w:rPr>
        <w:fldChar w:fldCharType="end"/>
      </w:r>
      <w:r>
        <w:t>提出</w:t>
      </w:r>
      <w:r>
        <w:rPr>
          <w:rFonts w:hint="eastAsia"/>
        </w:rPr>
        <w:t>基于</w:t>
      </w:r>
      <w:r>
        <w:t>协同联邦学习的告警关联与攻击场景识别方法，通过分析不同来源、不同格式告警之间的关联关系，重构多阶段攻击场景；Anthi等人</w:t>
      </w:r>
      <w:r>
        <w:rPr>
          <w:vertAlign w:val="superscript"/>
        </w:rPr>
        <w:fldChar w:fldCharType="begin" w:fldLock="1"/>
      </w:r>
      <w:r>
        <w:rPr>
          <w:vertAlign w:val="superscript"/>
        </w:rPr>
        <w:instrText xml:space="preserve"> REF _Ref225535266 \r \h  \* MERGEFORMAT </w:instrText>
      </w:r>
      <w:r>
        <w:rPr>
          <w:vertAlign w:val="superscript"/>
        </w:rPr>
        <w:fldChar w:fldCharType="separate"/>
      </w:r>
      <w:r>
        <w:rPr>
          <w:vertAlign w:val="superscript"/>
        </w:rPr>
        <w:t>[36]</w:t>
      </w:r>
      <w:r>
        <w:rPr>
          <w:vertAlign w:val="superscript"/>
        </w:rPr>
        <w:fldChar w:fldCharType="end"/>
      </w:r>
      <w:r>
        <w:t>提出面向工业控制系统的三层检测框架，分别完成恶意流量识别、攻击</w:t>
      </w:r>
      <w:r>
        <w:rPr>
          <w:rFonts w:hint="eastAsia"/>
        </w:rPr>
        <w:t>类别</w:t>
      </w:r>
      <w:r>
        <w:t>判别和细粒度攻击类型识别，以增强复杂场景下的分层检测能力；Wang等人</w:t>
      </w:r>
      <w:r>
        <w:rPr>
          <w:vertAlign w:val="superscript"/>
        </w:rPr>
        <w:fldChar w:fldCharType="begin" w:fldLock="1"/>
      </w:r>
      <w:r>
        <w:rPr>
          <w:vertAlign w:val="superscript"/>
        </w:rPr>
        <w:instrText xml:space="preserve"> REF _Ref229842892 \r \h  \* MERGEFORMAT </w:instrText>
      </w:r>
      <w:r>
        <w:rPr>
          <w:vertAlign w:val="superscript"/>
        </w:rPr>
        <w:fldChar w:fldCharType="separate"/>
      </w:r>
      <w:r>
        <w:rPr>
          <w:vertAlign w:val="superscript"/>
        </w:rPr>
        <w:t>[37]</w:t>
      </w:r>
      <w:r>
        <w:rPr>
          <w:vertAlign w:val="superscript"/>
        </w:rPr>
        <w:fldChar w:fldCharType="end"/>
      </w:r>
      <w:r>
        <w:t>面向智能电网提出基于多智能体的攻击弹性系统完整性保护方法，通过分散式多智能体结构增强广域保护系统的态势感知和自适应防护能力；在电力系统多区域场景下，Li等人</w:t>
      </w:r>
      <w:r>
        <w:rPr>
          <w:vertAlign w:val="superscript"/>
        </w:rPr>
        <w:fldChar w:fldCharType="begin" w:fldLock="1"/>
      </w:r>
      <w:r>
        <w:rPr>
          <w:vertAlign w:val="superscript"/>
        </w:rPr>
        <w:instrText xml:space="preserve"> REF _Ref225535277 \r \h  \* MERGEFORMAT </w:instrText>
      </w:r>
      <w:r>
        <w:rPr>
          <w:vertAlign w:val="superscript"/>
        </w:rPr>
        <w:fldChar w:fldCharType="separate"/>
      </w:r>
      <w:r>
        <w:rPr>
          <w:vertAlign w:val="superscript"/>
        </w:rPr>
        <w:t>[38]</w:t>
      </w:r>
      <w:r>
        <w:rPr>
          <w:vertAlign w:val="superscript"/>
        </w:rPr>
        <w:fldChar w:fldCharType="end"/>
      </w:r>
      <w:r>
        <w:t>提出面向多区域电力系统的分布式攻击检测框架，实现对多个区域的同步监测与分析；Xiahou等人</w:t>
      </w:r>
      <w:r>
        <w:rPr>
          <w:vertAlign w:val="superscript"/>
        </w:rPr>
        <w:fldChar w:fldCharType="begin" w:fldLock="1"/>
      </w:r>
      <w:r>
        <w:rPr>
          <w:vertAlign w:val="superscript"/>
        </w:rPr>
        <w:instrText xml:space="preserve"> REF _Ref225535287 \r \h  \* MERGEFORMAT </w:instrText>
      </w:r>
      <w:r>
        <w:rPr>
          <w:vertAlign w:val="superscript"/>
        </w:rPr>
        <w:fldChar w:fldCharType="separate"/>
      </w:r>
      <w:r>
        <w:rPr>
          <w:vertAlign w:val="superscript"/>
        </w:rPr>
        <w:t>[39]</w:t>
      </w:r>
      <w:r>
        <w:rPr>
          <w:vertAlign w:val="superscript"/>
        </w:rPr>
        <w:fldChar w:fldCharType="end"/>
      </w:r>
      <w:r>
        <w:t>进一步提出针对多区域、多通道虚假数据注入攻击的分散检测与缓解方法，通过观测器实现攻击检测与补偿控制。Obata等</w:t>
      </w:r>
      <w:r>
        <w:rPr>
          <w:rFonts w:hint="eastAsia"/>
        </w:rPr>
        <w:t>人</w:t>
      </w:r>
      <w:r>
        <w:rPr>
          <w:vertAlign w:val="superscript"/>
        </w:rPr>
        <w:fldChar w:fldCharType="begin" w:fldLock="1"/>
      </w:r>
      <w:r>
        <w:rPr>
          <w:vertAlign w:val="superscript"/>
        </w:rPr>
        <w:instrText xml:space="preserve"> </w:instrText>
      </w:r>
      <w:r>
        <w:rPr>
          <w:rFonts w:hint="eastAsia"/>
          <w:vertAlign w:val="superscript"/>
        </w:rPr>
        <w:instrText xml:space="preserve">REF _Ref229843062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t>针对电力网络分布式状态估计中的虚假数据注入攻击检测问题，基于观测值与估计值之间的残差构建分布式检测方法，以增强分布式运行条件下的攻击识别能力。</w:t>
      </w:r>
    </w:p>
    <w:p w14:paraId="0F3C4809">
      <w:pPr>
        <w:ind w:firstLine="480" w:firstLineChars="200"/>
      </w:pPr>
      <w:r>
        <w:t>此类方法</w:t>
      </w:r>
      <w:r>
        <w:rPr>
          <w:rFonts w:hint="eastAsia"/>
        </w:rPr>
        <w:t>能够</w:t>
      </w:r>
      <w:r>
        <w:t>增强跨区域线索的关联融合能力，并在一定程度上提升</w:t>
      </w:r>
      <w:r>
        <w:rPr>
          <w:rFonts w:hint="eastAsia"/>
        </w:rPr>
        <w:t>对</w:t>
      </w:r>
      <w:r>
        <w:t>全局攻击分析与区域化部署</w:t>
      </w:r>
      <w:r>
        <w:rPr>
          <w:rFonts w:hint="eastAsia"/>
        </w:rPr>
        <w:t>的</w:t>
      </w:r>
      <w:r>
        <w:t>能力，尤其适用于需要结合告警上下文、区域关系或系统层级结构开展联合判断的场景。然而，</w:t>
      </w:r>
      <w:r>
        <w:rPr>
          <w:rFonts w:hint="eastAsia"/>
        </w:rPr>
        <w:t>现有</w:t>
      </w:r>
      <w:r>
        <w:t>方法</w:t>
      </w:r>
      <w:r>
        <w:rPr>
          <w:rFonts w:hint="eastAsia"/>
        </w:rPr>
        <w:t>通常</w:t>
      </w:r>
      <w:r>
        <w:t>依赖预设的分层结构、告警关联规则或特定攻击模型，对异构日志环境下更复杂的跨区域攻击传播过程缺乏统一</w:t>
      </w:r>
      <w:r>
        <w:rPr>
          <w:rFonts w:hint="eastAsia"/>
        </w:rPr>
        <w:t>分析</w:t>
      </w:r>
      <w:r>
        <w:t>；当攻击路径持续扩展、区域间交互关系动态变化时，其方法的适应性与泛化能力仍然</w:t>
      </w:r>
      <w:r>
        <w:rPr>
          <w:rFonts w:hint="eastAsia"/>
        </w:rPr>
        <w:t>会</w:t>
      </w:r>
      <w:r>
        <w:t>受到限制。此外，部分电力系统相关方法主要面向虚假数据注入、故障隔离或局部防护任务，对APT这类长期潜伏、阶段演进和跨区域渗透攻击的持续</w:t>
      </w:r>
      <w:r>
        <w:rPr>
          <w:rFonts w:hint="eastAsia"/>
        </w:rPr>
        <w:t>监测</w:t>
      </w:r>
      <w:r>
        <w:t>能力仍然不足。</w:t>
      </w:r>
    </w:p>
    <w:p w14:paraId="50479934">
      <w:pPr>
        <w:ind w:firstLine="480" w:firstLineChars="200"/>
      </w:pPr>
      <w:r>
        <w:t>综上所述，现有多区域网络攻击检测方法在分布式协同学习、区域关联分析与分层协同等方面已取得一定进展，但仍存在以下不足：</w:t>
      </w:r>
      <w:r>
        <w:rPr>
          <w:rFonts w:hint="eastAsia"/>
        </w:rPr>
        <w:t>1）</w:t>
      </w:r>
      <w:r>
        <w:t>现有方法多侧重于模型协同训练、告警关联或特定攻击形式检测，尚未对跨区域攻击传播、阶段持续</w:t>
      </w:r>
      <w:r>
        <w:rPr>
          <w:rFonts w:hint="eastAsia"/>
        </w:rPr>
        <w:t>演进</w:t>
      </w:r>
      <w:r>
        <w:t>以及异构证据关联进行统一分析；</w:t>
      </w:r>
      <w:r>
        <w:rPr>
          <w:rFonts w:hint="eastAsia"/>
        </w:rPr>
        <w:t>2）</w:t>
      </w:r>
      <w:r>
        <w:t>现有方法通常依赖较为稳定的联邦聚合过程、预设的层级结构或特定攻击模型，当区域间信息共享受限、场景动态变化或攻击路径持续扩展时，其适应能力</w:t>
      </w:r>
      <w:r>
        <w:rPr>
          <w:rFonts w:hint="eastAsia"/>
        </w:rPr>
        <w:t>不足</w:t>
      </w:r>
      <w:r>
        <w:t>；</w:t>
      </w:r>
      <w:r>
        <w:rPr>
          <w:rFonts w:hint="eastAsia"/>
        </w:rPr>
        <w:t>3）</w:t>
      </w:r>
      <w:r>
        <w:t>现有研究的优化目标多</w:t>
      </w:r>
      <w:r>
        <w:rPr>
          <w:rFonts w:hint="eastAsia"/>
        </w:rPr>
        <w:t>为</w:t>
      </w:r>
      <w:r>
        <w:t>检测精度、告警识别率或局部缓解效果，</w:t>
      </w:r>
      <w:r>
        <w:rPr>
          <w:rFonts w:hint="eastAsia"/>
        </w:rPr>
        <w:t>缺乏</w:t>
      </w:r>
      <w:r>
        <w:t>对提前预警、</w:t>
      </w:r>
      <w:r>
        <w:rPr>
          <w:rFonts w:hint="eastAsia"/>
        </w:rPr>
        <w:t>协作</w:t>
      </w:r>
      <w:r>
        <w:t>代价及跨区域影响控制等因素</w:t>
      </w:r>
      <w:r>
        <w:rPr>
          <w:rFonts w:hint="eastAsia"/>
        </w:rPr>
        <w:t>的考虑</w:t>
      </w:r>
      <w:r>
        <w:t>，仍难以满足APT跨区域检测对及时性、全局性和持续性的综合</w:t>
      </w:r>
      <w:r>
        <w:rPr>
          <w:rFonts w:hint="eastAsia"/>
        </w:rPr>
        <w:t>需求</w:t>
      </w:r>
      <w:r>
        <w:t>。因此，面向新型电力系统APT跨区域渗透场景，仍需要进一步研究能够统一表示多区域检测证据、形成明确协作依据并支持动态协同决策的跨域检测方法。</w:t>
      </w:r>
    </w:p>
    <w:p w14:paraId="14FDED4F">
      <w:pPr>
        <w:pStyle w:val="4"/>
      </w:pPr>
      <w:bookmarkStart w:id="14" w:name="_Toc230086334"/>
      <w:bookmarkStart w:id="15" w:name="OLE_LINK10"/>
      <w:bookmarkStart w:id="16" w:name="OLE_LINK9"/>
      <w:r>
        <w:rPr>
          <w:rFonts w:hint="eastAsia"/>
        </w:rPr>
        <w:t>1.2.3 特征选择方法</w:t>
      </w:r>
      <w:bookmarkEnd w:id="14"/>
    </w:p>
    <w:p w14:paraId="4A67072A">
      <w:pPr>
        <w:ind w:firstLine="480" w:firstLineChars="200"/>
      </w:pPr>
      <w:r>
        <w:t>特征选择方法在网络攻击检测中具有重要作用</w:t>
      </w:r>
      <w:r>
        <w:rPr>
          <w:rFonts w:hint="eastAsia"/>
        </w:rPr>
        <w:t>，其能够</w:t>
      </w:r>
      <w:r>
        <w:t>从高维复杂数据中提取对攻击识别更有价值的关键信息，并提升后续检测模型的效率与性能</w:t>
      </w:r>
      <w:r>
        <w:rPr>
          <w:vertAlign w:val="superscript"/>
        </w:rPr>
        <w:fldChar w:fldCharType="begin" w:fldLock="1"/>
      </w:r>
      <w:r>
        <w:rPr>
          <w:vertAlign w:val="superscript"/>
        </w:rPr>
        <w:instrText xml:space="preserve"> REF _Ref226408433 \r \h  \* MERGEFORMAT </w:instrText>
      </w:r>
      <w:r>
        <w:rPr>
          <w:vertAlign w:val="superscript"/>
        </w:rPr>
        <w:fldChar w:fldCharType="separate"/>
      </w:r>
      <w:r>
        <w:rPr>
          <w:vertAlign w:val="superscript"/>
        </w:rPr>
        <w:t>[41]</w:t>
      </w:r>
      <w:r>
        <w:rPr>
          <w:vertAlign w:val="superscript"/>
        </w:rPr>
        <w:fldChar w:fldCharType="end"/>
      </w:r>
      <w:r>
        <w:t>。根据特征选择时机及特征集合是否随数据变化</w:t>
      </w:r>
      <w:r>
        <w:rPr>
          <w:rFonts w:hint="eastAsia"/>
        </w:rPr>
        <w:t>而</w:t>
      </w:r>
      <w:r>
        <w:t>动态更新，现有研究主要可分为离线特征选择方法和在线自适应特征选择方法。</w:t>
      </w:r>
    </w:p>
    <w:p w14:paraId="4E53B387">
      <w:pPr>
        <w:ind w:firstLine="482" w:firstLineChars="200"/>
        <w:rPr>
          <w:b/>
          <w:bCs/>
        </w:rPr>
      </w:pPr>
      <w:r>
        <w:rPr>
          <w:rFonts w:hint="eastAsia"/>
          <w:b/>
          <w:bCs/>
        </w:rPr>
        <w:t>（1）离线特征选择方法</w:t>
      </w:r>
    </w:p>
    <w:p w14:paraId="7C1B2A6A">
      <w:pPr>
        <w:ind w:firstLine="420"/>
      </w:pPr>
      <w:r>
        <w:t>在APT入侵检测研究中，</w:t>
      </w:r>
      <w:r>
        <w:rPr>
          <w:rFonts w:hint="eastAsia"/>
        </w:rPr>
        <w:t>现有研究通常</w:t>
      </w:r>
      <w:r>
        <w:t>先在固定数据集上完成特征筛选，再据此训练与评测检测模型；</w:t>
      </w:r>
      <w:r>
        <w:rPr>
          <w:rFonts w:hint="eastAsia"/>
        </w:rPr>
        <w:t>其主要目的是</w:t>
      </w:r>
      <w:r>
        <w:t>降维、</w:t>
      </w:r>
      <w:r>
        <w:rPr>
          <w:rFonts w:hint="eastAsia"/>
        </w:rPr>
        <w:t>减少</w:t>
      </w:r>
      <w:r>
        <w:t>冗余</w:t>
      </w:r>
      <w:r>
        <w:rPr>
          <w:rFonts w:hint="eastAsia"/>
        </w:rPr>
        <w:t>干扰，并</w:t>
      </w:r>
      <w:r>
        <w:t>提升</w:t>
      </w:r>
      <w:r>
        <w:rPr>
          <w:rFonts w:hint="eastAsia"/>
        </w:rPr>
        <w:t>模型的检测性能与</w:t>
      </w:r>
      <w:r>
        <w:t>可解释性。</w:t>
      </w:r>
      <w:r>
        <w:rPr>
          <w:rFonts w:hint="eastAsia"/>
        </w:rPr>
        <w:t>现有</w:t>
      </w:r>
      <w:r>
        <w:t>离线特征选择</w:t>
      </w:r>
      <w:r>
        <w:rPr>
          <w:rFonts w:hint="eastAsia"/>
        </w:rPr>
        <w:t>方法通常可</w:t>
      </w:r>
      <w:r>
        <w:t>分为三类：基于统计与信息度量的过滤</w:t>
      </w:r>
      <w:r>
        <w:rPr>
          <w:rFonts w:hint="eastAsia"/>
        </w:rPr>
        <w:t>法</w:t>
      </w:r>
      <w:r>
        <w:t>、</w:t>
      </w:r>
      <w:r>
        <w:rPr>
          <w:rFonts w:hint="eastAsia"/>
        </w:rPr>
        <w:t>结合</w:t>
      </w:r>
      <w:r>
        <w:t>学习器</w:t>
      </w:r>
      <w:r>
        <w:rPr>
          <w:rFonts w:hint="eastAsia"/>
        </w:rPr>
        <w:t>对特征子集</w:t>
      </w:r>
      <w:r>
        <w:t>进行搜索的包</w:t>
      </w:r>
      <w:r>
        <w:rPr>
          <w:rFonts w:hint="eastAsia"/>
        </w:rPr>
        <w:t>装法</w:t>
      </w:r>
      <w:r>
        <w:t>，以及</w:t>
      </w:r>
      <w:r>
        <w:rPr>
          <w:rFonts w:hint="eastAsia"/>
        </w:rPr>
        <w:t>基于</w:t>
      </w:r>
      <w:r>
        <w:t>模型内生重要度</w:t>
      </w:r>
      <w:r>
        <w:rPr>
          <w:rFonts w:hint="eastAsia"/>
        </w:rPr>
        <w:t>或</w:t>
      </w:r>
      <w:r>
        <w:t>稀疏约束</w:t>
      </w:r>
      <w:r>
        <w:rPr>
          <w:rFonts w:hint="eastAsia"/>
        </w:rPr>
        <w:t>实现特征筛选</w:t>
      </w:r>
      <w:r>
        <w:t>的嵌入法</w:t>
      </w:r>
      <w:r>
        <w:rPr>
          <w:rFonts w:hint="eastAsia"/>
        </w:rPr>
        <w:t>。</w:t>
      </w:r>
      <w:r>
        <w:t>此外，部分研究还会将过滤法、包装法、嵌入法或启发式优化方法相结合，形成混合式特征选择方法，以进一步平衡特征压缩效果和检测性能。</w:t>
      </w:r>
    </w:p>
    <w:p w14:paraId="393725AF">
      <w:pPr>
        <w:ind w:firstLine="480" w:firstLineChars="200"/>
      </w:pPr>
      <w:r>
        <w:t>相比之下，过滤法计算开销较低，但对关键特征的辨别能力相对有限</w:t>
      </w:r>
      <w:r>
        <w:rPr>
          <w:vertAlign w:val="superscript"/>
        </w:rPr>
        <w:fldChar w:fldCharType="begin" w:fldLock="1"/>
      </w:r>
      <w:r>
        <w:rPr>
          <w:vertAlign w:val="superscript"/>
        </w:rPr>
        <w:instrText xml:space="preserve"> REF _Ref225361799 \r \h  \* MERGEFORMAT </w:instrText>
      </w:r>
      <w:r>
        <w:rPr>
          <w:vertAlign w:val="superscript"/>
        </w:rPr>
        <w:fldChar w:fldCharType="separate"/>
      </w:r>
      <w:r>
        <w:rPr>
          <w:vertAlign w:val="superscript"/>
        </w:rPr>
        <w:t>[42]</w:t>
      </w:r>
      <w:r>
        <w:rPr>
          <w:vertAlign w:val="superscript"/>
        </w:rPr>
        <w:fldChar w:fldCharType="end"/>
      </w:r>
      <w:r>
        <w:t>；包装法与嵌入法能够结合模型性能对特征重要性进行评估，通常具有更优的性能</w:t>
      </w:r>
      <w:r>
        <w:rPr>
          <w:vertAlign w:val="superscript"/>
        </w:rPr>
        <w:fldChar w:fldCharType="begin" w:fldLock="1"/>
      </w:r>
      <w:r>
        <w:rPr>
          <w:vertAlign w:val="superscript"/>
        </w:rPr>
        <w:instrText xml:space="preserve"> REF _Ref225361822 \r \h  \* MERGEFORMAT </w:instrText>
      </w:r>
      <w:r>
        <w:rPr>
          <w:vertAlign w:val="superscript"/>
        </w:rPr>
        <w:fldChar w:fldCharType="separate"/>
      </w:r>
      <w:r>
        <w:rPr>
          <w:vertAlign w:val="superscript"/>
        </w:rPr>
        <w:t>[43]</w:t>
      </w:r>
      <w:r>
        <w:rPr>
          <w:vertAlign w:val="superscript"/>
        </w:rPr>
        <w:fldChar w:fldCharType="end"/>
      </w:r>
      <w:r>
        <w:rPr>
          <w:rFonts w:hint="eastAsia"/>
        </w:rPr>
        <w:t>，</w:t>
      </w:r>
      <w:r>
        <w:t>因此</w:t>
      </w:r>
      <w:r>
        <w:rPr>
          <w:rFonts w:hint="eastAsia"/>
        </w:rPr>
        <w:t>在现有</w:t>
      </w:r>
      <w:r>
        <w:t>研究中应用更为广泛。Kasongo等</w:t>
      </w:r>
      <w:r>
        <w:rPr>
          <w:rFonts w:hint="eastAsia"/>
        </w:rPr>
        <w:t>人</w:t>
      </w:r>
      <w:r>
        <w:rPr>
          <w:vertAlign w:val="superscript"/>
        </w:rPr>
        <w:fldChar w:fldCharType="begin" w:fldLock="1"/>
      </w:r>
      <w:r>
        <w:rPr>
          <w:vertAlign w:val="superscript"/>
        </w:rPr>
        <w:instrText xml:space="preserve"> </w:instrText>
      </w:r>
      <w:r>
        <w:rPr>
          <w:rFonts w:hint="eastAsia"/>
          <w:vertAlign w:val="superscript"/>
        </w:rPr>
        <w:instrText xml:space="preserve">REF _Ref229849687 \r \h</w:instrText>
      </w:r>
      <w:r>
        <w:rPr>
          <w:vertAlign w:val="superscript"/>
        </w:rPr>
        <w:instrText xml:space="preserve">  \* MERGEFORMAT </w:instrText>
      </w:r>
      <w:r>
        <w:rPr>
          <w:vertAlign w:val="superscript"/>
        </w:rPr>
        <w:fldChar w:fldCharType="separate"/>
      </w:r>
      <w:r>
        <w:rPr>
          <w:vertAlign w:val="superscript"/>
        </w:rPr>
        <w:t>[44]</w:t>
      </w:r>
      <w:r>
        <w:rPr>
          <w:vertAlign w:val="superscript"/>
        </w:rPr>
        <w:fldChar w:fldCharType="end"/>
      </w:r>
      <w:r>
        <w:rPr>
          <w:rFonts w:hint="eastAsia"/>
        </w:rPr>
        <w:t>使</w:t>
      </w:r>
      <w:r>
        <w:t>用XGBoost进行特征重要度评估，并结合多种机器学习分类器验证筛选特征对入侵检测性能的影响</w:t>
      </w:r>
      <w:r>
        <w:rPr>
          <w:rFonts w:hint="eastAsia"/>
        </w:rPr>
        <w:t>；</w:t>
      </w:r>
      <w:r>
        <w:t>Ren等人</w:t>
      </w:r>
      <w:r>
        <w:rPr>
          <w:vertAlign w:val="superscript"/>
        </w:rPr>
        <w:fldChar w:fldCharType="begin" w:fldLock="1"/>
      </w:r>
      <w:r>
        <w:rPr>
          <w:vertAlign w:val="superscript"/>
        </w:rPr>
        <w:instrText xml:space="preserve"> REF _Ref225361840 \r \h  \* MERGEFORMAT </w:instrText>
      </w:r>
      <w:r>
        <w:rPr>
          <w:vertAlign w:val="superscript"/>
        </w:rPr>
        <w:fldChar w:fldCharType="separate"/>
      </w:r>
      <w:r>
        <w:rPr>
          <w:vertAlign w:val="superscript"/>
        </w:rPr>
        <w:t>[45]</w:t>
      </w:r>
      <w:r>
        <w:rPr>
          <w:vertAlign w:val="superscript"/>
        </w:rPr>
        <w:fldChar w:fldCharType="end"/>
      </w:r>
      <w:r>
        <w:t>采用RFE</w:t>
      </w:r>
      <w:r>
        <w:rPr>
          <w:rFonts w:hint="eastAsia"/>
        </w:rPr>
        <w:t>与</w:t>
      </w:r>
      <w:r>
        <w:t>决策树</w:t>
      </w:r>
      <w:r>
        <w:rPr>
          <w:rFonts w:hint="eastAsia"/>
        </w:rPr>
        <w:t>相结合</w:t>
      </w:r>
      <w:r>
        <w:t>的</w:t>
      </w:r>
      <w:r>
        <w:rPr>
          <w:rFonts w:hint="eastAsia"/>
        </w:rPr>
        <w:t>包装式方法</w:t>
      </w:r>
      <w:r>
        <w:t>，剔除</w:t>
      </w:r>
      <w:r>
        <w:rPr>
          <w:rFonts w:hint="eastAsia"/>
        </w:rPr>
        <w:t>了大量</w:t>
      </w:r>
      <w:r>
        <w:t>冗余特征；A</w:t>
      </w:r>
      <w:r>
        <w:rPr>
          <w:rFonts w:hint="eastAsia"/>
        </w:rPr>
        <w:t>l-</w:t>
      </w:r>
      <w:r>
        <w:t>Yaseen等人</w:t>
      </w:r>
      <w:r>
        <w:rPr>
          <w:vertAlign w:val="superscript"/>
        </w:rPr>
        <w:fldChar w:fldCharType="begin" w:fldLock="1"/>
      </w:r>
      <w:r>
        <w:rPr>
          <w:vertAlign w:val="superscript"/>
        </w:rPr>
        <w:instrText xml:space="preserve"> REF _Ref229850087 \r \h  \* MERGEFORMAT </w:instrText>
      </w:r>
      <w:r>
        <w:rPr>
          <w:vertAlign w:val="superscript"/>
        </w:rPr>
        <w:fldChar w:fldCharType="separate"/>
      </w:r>
      <w:r>
        <w:rPr>
          <w:vertAlign w:val="superscript"/>
        </w:rPr>
        <w:t>[46]</w:t>
      </w:r>
      <w:r>
        <w:rPr>
          <w:vertAlign w:val="superscript"/>
        </w:rPr>
        <w:fldChar w:fldCharType="end"/>
      </w:r>
      <w:r>
        <w:t>提出基于差分进化和极限学习机的包装式特征选择方法，通过差分进化搜索特征子集，并利用极限学习机评估特征组合的检测效果；Zhang等人</w:t>
      </w:r>
      <w:r>
        <w:rPr>
          <w:vertAlign w:val="superscript"/>
        </w:rPr>
        <w:fldChar w:fldCharType="begin" w:fldLock="1"/>
      </w:r>
      <w:r>
        <w:rPr>
          <w:vertAlign w:val="superscript"/>
        </w:rPr>
        <w:instrText xml:space="preserve"> REF _Ref225361873 \r \h  \* MERGEFORMAT </w:instrText>
      </w:r>
      <w:r>
        <w:rPr>
          <w:vertAlign w:val="superscript"/>
        </w:rPr>
        <w:fldChar w:fldCharType="separate"/>
      </w:r>
      <w:r>
        <w:rPr>
          <w:vertAlign w:val="superscript"/>
        </w:rPr>
        <w:t>[47]</w:t>
      </w:r>
      <w:r>
        <w:rPr>
          <w:vertAlign w:val="superscript"/>
        </w:rPr>
        <w:fldChar w:fldCharType="end"/>
      </w:r>
      <w:r>
        <w:t>提出</w:t>
      </w:r>
      <w:r>
        <w:rPr>
          <w:rFonts w:hint="eastAsia"/>
        </w:rPr>
        <w:t>一种</w:t>
      </w:r>
      <w:r>
        <w:t>集成自动特征选择</w:t>
      </w:r>
      <w:r>
        <w:rPr>
          <w:rFonts w:hint="eastAsia"/>
        </w:rPr>
        <w:t>方法</w:t>
      </w:r>
      <w:r>
        <w:t>，将信息增益、排序融合与学习器评估结合以获得稳健子集。Saheed等人</w:t>
      </w:r>
      <w:r>
        <w:rPr>
          <w:vertAlign w:val="superscript"/>
        </w:rPr>
        <w:fldChar w:fldCharType="begin" w:fldLock="1"/>
      </w:r>
      <w:r>
        <w:rPr>
          <w:vertAlign w:val="superscript"/>
        </w:rPr>
        <w:instrText xml:space="preserve"> REF _Ref229850231 \r \h  \* MERGEFORMAT </w:instrText>
      </w:r>
      <w:r>
        <w:rPr>
          <w:vertAlign w:val="superscript"/>
        </w:rPr>
        <w:fldChar w:fldCharType="separate"/>
      </w:r>
      <w:r>
        <w:rPr>
          <w:vertAlign w:val="superscript"/>
        </w:rPr>
        <w:t>[48]</w:t>
      </w:r>
      <w:r>
        <w:rPr>
          <w:vertAlign w:val="superscript"/>
        </w:rPr>
        <w:fldChar w:fldCharType="end"/>
      </w:r>
      <w:r>
        <w:t>进一步将蝙蝠算法与剩余数系统相结合，构建混合特征选择方法，用于减少入侵检测中的冗余特征并提升特征筛选效率。</w:t>
      </w:r>
    </w:p>
    <w:p w14:paraId="13AD8A1C">
      <w:pPr>
        <w:ind w:firstLine="480" w:firstLineChars="200"/>
      </w:pPr>
      <w:r>
        <w:t>综上所述，现有离线特征选择为APT检测提供了可复现、可解释且低复杂度的</w:t>
      </w:r>
      <w:r>
        <w:rPr>
          <w:rFonts w:hint="eastAsia"/>
        </w:rPr>
        <w:t>方法</w:t>
      </w:r>
      <w:r>
        <w:t>。然而，现有研究存在</w:t>
      </w:r>
      <w:r>
        <w:rPr>
          <w:rFonts w:hint="eastAsia"/>
        </w:rPr>
        <w:t>以下不足</w:t>
      </w:r>
      <w:r>
        <w:t>：</w:t>
      </w:r>
      <w:r>
        <w:rPr>
          <w:rFonts w:hint="eastAsia"/>
        </w:rPr>
        <w:t>1）</w:t>
      </w:r>
      <w:r>
        <w:t>特征集合多在离线阶段一次性</w:t>
      </w:r>
      <w:r>
        <w:rPr>
          <w:rFonts w:hint="eastAsia"/>
        </w:rPr>
        <w:t>固定</w:t>
      </w:r>
      <w:r>
        <w:t>，部署后难以随场景</w:t>
      </w:r>
      <w:r>
        <w:rPr>
          <w:rFonts w:hint="eastAsia"/>
        </w:rPr>
        <w:t>变化进行</w:t>
      </w:r>
      <w:r>
        <w:t>自适应</w:t>
      </w:r>
      <w:r>
        <w:rPr>
          <w:rFonts w:hint="eastAsia"/>
        </w:rPr>
        <w:t>调整</w:t>
      </w:r>
      <w:r>
        <w:t>；</w:t>
      </w:r>
      <w:r>
        <w:rPr>
          <w:rFonts w:hint="eastAsia"/>
        </w:rPr>
        <w:t>2）提前预警能力与误报惩罚等与在线检测密切相关的运行期目标，未被有效纳入特征选择与更新机制之中，因此其对APT检测的支撑能力仍需提升。</w:t>
      </w:r>
    </w:p>
    <w:p w14:paraId="03981E5B">
      <w:pPr>
        <w:ind w:firstLine="482" w:firstLineChars="200"/>
        <w:rPr>
          <w:b/>
          <w:bCs/>
        </w:rPr>
      </w:pPr>
      <w:r>
        <w:rPr>
          <w:rFonts w:hint="eastAsia"/>
          <w:b/>
          <w:bCs/>
        </w:rPr>
        <w:t>（2）在线自适应特征选择方法</w:t>
      </w:r>
    </w:p>
    <w:p w14:paraId="539C1196">
      <w:pPr>
        <w:ind w:firstLine="480" w:firstLineChars="200"/>
      </w:pPr>
      <w:r>
        <w:t>在线自适应特征选择</w:t>
      </w:r>
      <w:r>
        <w:rPr>
          <w:rFonts w:hint="eastAsia"/>
        </w:rPr>
        <w:t>方法侧重于</w:t>
      </w:r>
      <w:r>
        <w:t>运行</w:t>
      </w:r>
      <w:r>
        <w:rPr>
          <w:rFonts w:hint="eastAsia"/>
        </w:rPr>
        <w:t>过程中</w:t>
      </w:r>
      <w:r>
        <w:t>数据分布</w:t>
      </w:r>
      <w:r>
        <w:rPr>
          <w:rFonts w:hint="eastAsia"/>
        </w:rPr>
        <w:t>、特征空间</w:t>
      </w:r>
      <w:r>
        <w:t>与</w:t>
      </w:r>
      <w:r>
        <w:rPr>
          <w:rFonts w:hint="eastAsia"/>
        </w:rPr>
        <w:t>攻击状态</w:t>
      </w:r>
      <w:r>
        <w:t>的变化，</w:t>
      </w:r>
      <w:r>
        <w:rPr>
          <w:rFonts w:hint="eastAsia"/>
        </w:rPr>
        <w:t>动态</w:t>
      </w:r>
      <w:r>
        <w:t>更新用于检测的特征子集，以提升对</w:t>
      </w:r>
      <w:r>
        <w:rPr>
          <w:rFonts w:hint="eastAsia"/>
        </w:rPr>
        <w:t>环境变化</w:t>
      </w:r>
      <w:r>
        <w:t>与</w:t>
      </w:r>
      <w:r>
        <w:rPr>
          <w:rFonts w:hint="eastAsia"/>
        </w:rPr>
        <w:t>特征漂移</w:t>
      </w:r>
      <w:r>
        <w:t>的</w:t>
      </w:r>
      <w:r>
        <w:rPr>
          <w:rFonts w:hint="eastAsia"/>
        </w:rPr>
        <w:t>适应能力。</w:t>
      </w:r>
      <w:r>
        <w:t>Zhou等人</w:t>
      </w:r>
      <w:r>
        <w:rPr>
          <w:vertAlign w:val="superscript"/>
        </w:rPr>
        <w:fldChar w:fldCharType="begin" w:fldLock="1"/>
      </w:r>
      <w:r>
        <w:rPr>
          <w:vertAlign w:val="superscript"/>
        </w:rPr>
        <w:instrText xml:space="preserve"> REF _Ref229851981 \r \h  \* MERGEFORMAT </w:instrText>
      </w:r>
      <w:r>
        <w:rPr>
          <w:vertAlign w:val="superscript"/>
        </w:rPr>
        <w:fldChar w:fldCharType="separate"/>
      </w:r>
      <w:r>
        <w:rPr>
          <w:vertAlign w:val="superscript"/>
        </w:rPr>
        <w:t>[49]</w:t>
      </w:r>
      <w:r>
        <w:rPr>
          <w:vertAlign w:val="superscript"/>
        </w:rPr>
        <w:fldChar w:fldCharType="end"/>
      </w:r>
      <w:r>
        <w:t>针对流式特征场景下特征空间随时间动态扩展的问题，提出考虑特征交互关系的流式特征选择方法，以避免仅依据单一特征相关性进行筛选；Zhou等人</w:t>
      </w:r>
      <w:r>
        <w:rPr>
          <w:vertAlign w:val="superscript"/>
        </w:rPr>
        <w:fldChar w:fldCharType="begin" w:fldLock="1"/>
      </w:r>
      <w:r>
        <w:rPr>
          <w:vertAlign w:val="superscript"/>
        </w:rPr>
        <w:instrText xml:space="preserve"> REF _Ref229852121 \r \h  \* MERGEFORMAT </w:instrText>
      </w:r>
      <w:r>
        <w:rPr>
          <w:vertAlign w:val="superscript"/>
        </w:rPr>
        <w:fldChar w:fldCharType="separate"/>
      </w:r>
      <w:r>
        <w:rPr>
          <w:vertAlign w:val="superscript"/>
        </w:rPr>
        <w:t>[50]</w:t>
      </w:r>
      <w:r>
        <w:rPr>
          <w:vertAlign w:val="superscript"/>
        </w:rPr>
        <w:fldChar w:fldCharType="end"/>
      </w:r>
      <w:r>
        <w:t>进一步从动态决策角度提出可扩展的在线流式特征选择方法，通过动态调整筛选策略以适应特征空间持续变化的场景；Zhuo等人</w:t>
      </w:r>
      <w:r>
        <w:rPr>
          <w:vertAlign w:val="superscript"/>
        </w:rPr>
        <w:fldChar w:fldCharType="begin" w:fldLock="1"/>
      </w:r>
      <w:r>
        <w:rPr>
          <w:vertAlign w:val="superscript"/>
        </w:rPr>
        <w:instrText xml:space="preserve"> REF _Ref225361897 \r \h  \* MERGEFORMAT </w:instrText>
      </w:r>
      <w:r>
        <w:rPr>
          <w:vertAlign w:val="superscript"/>
        </w:rPr>
        <w:fldChar w:fldCharType="separate"/>
      </w:r>
      <w:r>
        <w:rPr>
          <w:vertAlign w:val="superscript"/>
        </w:rPr>
        <w:t>[51]</w:t>
      </w:r>
      <w:r>
        <w:rPr>
          <w:vertAlign w:val="superscript"/>
        </w:rPr>
        <w:fldChar w:fldCharType="end"/>
      </w:r>
      <w:r>
        <w:t>提出</w:t>
      </w:r>
      <w:r>
        <w:rPr>
          <w:rFonts w:hint="eastAsia"/>
        </w:rPr>
        <w:t>一种</w:t>
      </w:r>
      <w:r>
        <w:t>可变特征空间</w:t>
      </w:r>
      <w:r>
        <w:rPr>
          <w:rFonts w:hint="eastAsia"/>
        </w:rPr>
        <w:t>下</w:t>
      </w:r>
      <w:r>
        <w:t>的在线特征选择</w:t>
      </w:r>
      <w:r>
        <w:rPr>
          <w:rFonts w:hint="eastAsia"/>
        </w:rPr>
        <w:t>方法（</w:t>
      </w:r>
      <w:r>
        <w:t>OFSVF），通过潜在空间映射与树集成稀疏化实现</w:t>
      </w:r>
      <w:r>
        <w:rPr>
          <w:rFonts w:hint="eastAsia"/>
        </w:rPr>
        <w:t>在线</w:t>
      </w:r>
      <w:r>
        <w:t>特征</w:t>
      </w:r>
      <w:r>
        <w:rPr>
          <w:rFonts w:hint="eastAsia"/>
        </w:rPr>
        <w:t>选择</w:t>
      </w:r>
      <w:r>
        <w:t>；Vivek等人</w:t>
      </w:r>
      <w:r>
        <w:rPr>
          <w:vertAlign w:val="superscript"/>
        </w:rPr>
        <w:fldChar w:fldCharType="begin" w:fldLock="1"/>
      </w:r>
      <w:r>
        <w:rPr>
          <w:vertAlign w:val="superscript"/>
        </w:rPr>
        <w:instrText xml:space="preserve"> REF _Ref225430916 \r \h  \* MERGEFORMAT </w:instrText>
      </w:r>
      <w:r>
        <w:rPr>
          <w:vertAlign w:val="superscript"/>
        </w:rPr>
        <w:fldChar w:fldCharType="separate"/>
      </w:r>
      <w:r>
        <w:rPr>
          <w:vertAlign w:val="superscript"/>
        </w:rPr>
        <w:t>[52]</w:t>
      </w:r>
      <w:r>
        <w:rPr>
          <w:vertAlign w:val="superscript"/>
        </w:rPr>
        <w:fldChar w:fldCharType="end"/>
      </w:r>
      <w:r>
        <w:t>提出了一种结合相关性与冗余性判别、增量式筛选与容差反馈机制的在线特征子集选择方法（OSFSS-W），以实现特征的持续更新；Hochma等人</w:t>
      </w:r>
      <w:r>
        <w:rPr>
          <w:vertAlign w:val="superscript"/>
        </w:rPr>
        <w:fldChar w:fldCharType="begin" w:fldLock="1"/>
      </w:r>
      <w:r>
        <w:rPr>
          <w:vertAlign w:val="superscript"/>
        </w:rPr>
        <w:instrText xml:space="preserve"> REF _Ref225430932 \r \h  \* MERGEFORMAT </w:instrText>
      </w:r>
      <w:r>
        <w:rPr>
          <w:vertAlign w:val="superscript"/>
        </w:rPr>
        <w:fldChar w:fldCharType="separate"/>
      </w:r>
      <w:r>
        <w:rPr>
          <w:vertAlign w:val="superscript"/>
        </w:rPr>
        <w:t>[53]</w:t>
      </w:r>
      <w:r>
        <w:rPr>
          <w:vertAlign w:val="superscript"/>
        </w:rPr>
        <w:fldChar w:fldCharType="end"/>
      </w:r>
      <w:r>
        <w:t>针对固定特征空间下的数据流场景，提出了快速在线特征选择方法（OFFESEL），通过滑动统计估计实现特征快速排序。这些方法能够在一定程度上缓解静态特征集合适应性不足的问题</w:t>
      </w:r>
      <w:r>
        <w:rPr>
          <w:rFonts w:hint="eastAsia"/>
        </w:rPr>
        <w:t>，</w:t>
      </w:r>
      <w:r>
        <w:t>并能够针对特征流、可变特征空间或非平稳数据流进行持续筛选与更新。但是其研究对象大多是通用数据流任务，优化目标主要围绕准确率、AUC或时间开销等通用指标展开，未结合APT</w:t>
      </w:r>
      <w:r>
        <w:rPr>
          <w:rFonts w:hint="eastAsia"/>
        </w:rPr>
        <w:t>及早检测</w:t>
      </w:r>
      <w:r>
        <w:t>中的提前</w:t>
      </w:r>
      <w:r>
        <w:rPr>
          <w:rFonts w:hint="eastAsia"/>
        </w:rPr>
        <w:t>预警能力</w:t>
      </w:r>
      <w:r>
        <w:t>、误报</w:t>
      </w:r>
      <w:r>
        <w:rPr>
          <w:rFonts w:hint="eastAsia"/>
        </w:rPr>
        <w:t>惩罚</w:t>
      </w:r>
      <w:r>
        <w:t>及后续检测收益等关键因素进行统一建模。</w:t>
      </w:r>
    </w:p>
    <w:p w14:paraId="01A613CE">
      <w:pPr>
        <w:ind w:firstLine="480" w:firstLineChars="200"/>
      </w:pPr>
      <w:r>
        <w:t>综上所述，在线自适应特征选择</w:t>
      </w:r>
      <w:r>
        <w:rPr>
          <w:rFonts w:hint="eastAsia"/>
        </w:rPr>
        <w:t>相较于离线方法更适用于</w:t>
      </w:r>
      <w:r>
        <w:t>动态场景下的APT检测，</w:t>
      </w:r>
      <w:r>
        <w:rPr>
          <w:rFonts w:hint="eastAsia"/>
        </w:rPr>
        <w:t>其</w:t>
      </w:r>
      <w:r>
        <w:t>能够根据运行过程中的变化持续更新特征集合。然而，现有研究仍存在以下</w:t>
      </w:r>
      <w:r>
        <w:rPr>
          <w:rFonts w:hint="eastAsia"/>
        </w:rPr>
        <w:t>不足</w:t>
      </w:r>
      <w:r>
        <w:t>：</w:t>
      </w:r>
      <w:r>
        <w:rPr>
          <w:rFonts w:hint="eastAsia"/>
        </w:rPr>
        <w:t>1）</w:t>
      </w:r>
      <w:r>
        <w:t>特征更新主要</w:t>
      </w:r>
      <w:r>
        <w:rPr>
          <w:rFonts w:hint="eastAsia"/>
        </w:rPr>
        <w:t>目的是进行</w:t>
      </w:r>
      <w:r>
        <w:t>准确率、AUC等通用分类性能优化，对APT</w:t>
      </w:r>
      <w:r>
        <w:rPr>
          <w:rFonts w:hint="eastAsia"/>
        </w:rPr>
        <w:t>及早</w:t>
      </w:r>
      <w:r>
        <w:t>检测</w:t>
      </w:r>
      <w:r>
        <w:rPr>
          <w:rFonts w:hint="eastAsia"/>
        </w:rPr>
        <w:t>需重点考虑</w:t>
      </w:r>
      <w:r>
        <w:t>的提前预警与误报控制</w:t>
      </w:r>
      <w:r>
        <w:rPr>
          <w:rFonts w:hint="eastAsia"/>
        </w:rPr>
        <w:t>等因素</w:t>
      </w:r>
      <w:r>
        <w:t>缺乏针对性</w:t>
      </w:r>
      <w:r>
        <w:rPr>
          <w:rFonts w:hint="eastAsia"/>
        </w:rPr>
        <w:t>设计</w:t>
      </w:r>
      <w:r>
        <w:t>；</w:t>
      </w:r>
      <w:r>
        <w:rPr>
          <w:rFonts w:hint="eastAsia"/>
        </w:rPr>
        <w:t>2）未考虑APT攻击弱标注、异常线索微弱等特点，难以有效选择对检测有价值的关键特征；3）</w:t>
      </w:r>
      <w:r>
        <w:t>特征选择过程与后续检测决策之间联系较弱，尚未建立面向检测目标的反馈式更新关系，因此难以</w:t>
      </w:r>
      <w:r>
        <w:rPr>
          <w:rFonts w:hint="eastAsia"/>
        </w:rPr>
        <w:t>同时兼顾</w:t>
      </w:r>
      <w:r>
        <w:t>APT隐蔽行为检测</w:t>
      </w:r>
      <w:r>
        <w:rPr>
          <w:rFonts w:hint="eastAsia"/>
        </w:rPr>
        <w:t>对</w:t>
      </w:r>
      <w:r>
        <w:t>时效性、适应性与</w:t>
      </w:r>
      <w:r>
        <w:rPr>
          <w:rFonts w:hint="eastAsia"/>
        </w:rPr>
        <w:t>检测</w:t>
      </w:r>
      <w:r>
        <w:t>收益的综合</w:t>
      </w:r>
      <w:r>
        <w:rPr>
          <w:rFonts w:hint="eastAsia"/>
        </w:rPr>
        <w:t>考虑需求</w:t>
      </w:r>
      <w:r>
        <w:t>。</w:t>
      </w:r>
    </w:p>
    <w:bookmarkEnd w:id="15"/>
    <w:bookmarkEnd w:id="16"/>
    <w:p w14:paraId="5CE29294">
      <w:pPr>
        <w:pStyle w:val="4"/>
      </w:pPr>
      <w:bookmarkStart w:id="17" w:name="_Toc230086335"/>
      <w:r>
        <w:rPr>
          <w:rFonts w:hint="eastAsia"/>
        </w:rPr>
        <w:t>1.2.4 大模型与强化学习结合方法</w:t>
      </w:r>
      <w:bookmarkEnd w:id="17"/>
    </w:p>
    <w:p w14:paraId="1A87DD89">
      <w:pPr>
        <w:ind w:firstLine="480" w:firstLineChars="200"/>
      </w:pPr>
      <w:r>
        <w:t>近年来，大模型与强化学习结合方法逐渐成为复杂动态决策任务研究中的重要方向。相关研究通常利用大模型在语义理解、知识表达和推理分析等方面的优势，为强化学习提供任务信息、决策提示或策略引导，以缓解传统强化学习在复杂场景中存在的状态理解不足、搜索空间较大以及训练效率受限等问题。在此基础上，强化学习不仅能够利用环境交互反馈持续优化策略，还能够借助大模型提供的语义信息与外部知识，对决策过程进行更有针对性的引导。Cao等人</w:t>
      </w:r>
      <w:r>
        <w:rPr>
          <w:vertAlign w:val="superscript"/>
        </w:rPr>
        <w:fldChar w:fldCharType="begin" w:fldLock="1"/>
      </w:r>
      <w:r>
        <w:rPr>
          <w:vertAlign w:val="superscript"/>
        </w:rPr>
        <w:instrText xml:space="preserve"> REF _Ref225446324 \r \h  \* MERGEFORMAT </w:instrText>
      </w:r>
      <w:r>
        <w:rPr>
          <w:vertAlign w:val="superscript"/>
        </w:rPr>
        <w:fldChar w:fldCharType="separate"/>
      </w:r>
      <w:r>
        <w:rPr>
          <w:vertAlign w:val="superscript"/>
        </w:rPr>
        <w:t>[54]</w:t>
      </w:r>
      <w:r>
        <w:rPr>
          <w:vertAlign w:val="superscript"/>
        </w:rPr>
        <w:fldChar w:fldCharType="end"/>
      </w:r>
      <w:r>
        <w:t>对使用大模型增强强化学习的相关研究进行了总结，指出现有方法主要围绕决策生成、高层规划引导和奖励设计等方面展开</w:t>
      </w:r>
      <w:r>
        <w:rPr>
          <w:rFonts w:hint="eastAsia"/>
        </w:rPr>
        <w:t>。现有研究分类及其不足如表1.1所示。</w:t>
      </w:r>
    </w:p>
    <w:p w14:paraId="1EF9CD0A">
      <w:pPr>
        <w:spacing w:line="400" w:lineRule="exact"/>
        <w:jc w:val="center"/>
        <w:rPr>
          <w:rFonts w:eastAsia="宋体" w:cs="Times New Roman"/>
          <w:sz w:val="21"/>
          <w:szCs w:val="21"/>
        </w:rPr>
      </w:pPr>
      <w:r>
        <w:rPr>
          <w:rFonts w:hint="eastAsia" w:eastAsia="宋体" w:cs="Times New Roman"/>
          <w:sz w:val="21"/>
          <w:szCs w:val="21"/>
        </w:rPr>
        <w:t>表1</w:t>
      </w:r>
      <w:r>
        <w:rPr>
          <w:rFonts w:eastAsia="宋体" w:cs="Times New Roman"/>
          <w:sz w:val="21"/>
          <w:szCs w:val="21"/>
        </w:rPr>
        <w:t>.</w:t>
      </w:r>
      <w:r>
        <w:rPr>
          <w:rFonts w:hint="eastAsia" w:eastAsia="宋体" w:cs="Times New Roman"/>
          <w:sz w:val="21"/>
          <w:szCs w:val="21"/>
        </w:rPr>
        <w:t>1</w:t>
      </w:r>
      <w:r>
        <w:rPr>
          <w:rFonts w:eastAsia="宋体" w:cs="Times New Roman"/>
          <w:sz w:val="21"/>
          <w:szCs w:val="21"/>
        </w:rPr>
        <w:t xml:space="preserve"> 大模型与强化学习结合方法对比</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1275"/>
        <w:gridCol w:w="3119"/>
        <w:gridCol w:w="3027"/>
      </w:tblGrid>
      <w:tr w14:paraId="60694A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dxa"/>
            <w:tcBorders>
              <w:top w:val="single" w:color="auto" w:sz="12" w:space="0"/>
              <w:bottom w:val="single" w:color="auto" w:sz="4" w:space="0"/>
            </w:tcBorders>
            <w:vAlign w:val="center"/>
          </w:tcPr>
          <w:p w14:paraId="4C76D155">
            <w:pPr>
              <w:jc w:val="center"/>
              <w:rPr>
                <w:rFonts w:eastAsia="Times New Roman"/>
                <w:sz w:val="21"/>
                <w:szCs w:val="21"/>
              </w:rPr>
            </w:pPr>
            <w:r>
              <w:rPr>
                <w:rFonts w:eastAsia="Times New Roman"/>
                <w:sz w:val="21"/>
                <w:szCs w:val="21"/>
              </w:rPr>
              <w:t>方法类别</w:t>
            </w:r>
          </w:p>
        </w:tc>
        <w:tc>
          <w:tcPr>
            <w:tcW w:w="1275" w:type="dxa"/>
            <w:tcBorders>
              <w:top w:val="single" w:color="auto" w:sz="12" w:space="0"/>
              <w:bottom w:val="single" w:color="auto" w:sz="4" w:space="0"/>
            </w:tcBorders>
            <w:vAlign w:val="center"/>
          </w:tcPr>
          <w:p w14:paraId="054999E7">
            <w:pPr>
              <w:jc w:val="center"/>
              <w:rPr>
                <w:rFonts w:eastAsia="Times New Roman"/>
                <w:sz w:val="21"/>
                <w:szCs w:val="21"/>
              </w:rPr>
            </w:pPr>
            <w:r>
              <w:rPr>
                <w:rFonts w:hint="eastAsia" w:ascii="宋体" w:hAnsi="宋体" w:eastAsia="宋体" w:cs="宋体"/>
                <w:sz w:val="21"/>
                <w:szCs w:val="21"/>
              </w:rPr>
              <w:t>代表文献</w:t>
            </w:r>
          </w:p>
        </w:tc>
        <w:tc>
          <w:tcPr>
            <w:tcW w:w="3119" w:type="dxa"/>
            <w:tcBorders>
              <w:top w:val="single" w:color="auto" w:sz="12" w:space="0"/>
              <w:bottom w:val="single" w:color="auto" w:sz="4" w:space="0"/>
            </w:tcBorders>
            <w:vAlign w:val="center"/>
          </w:tcPr>
          <w:p w14:paraId="73A1D53B">
            <w:pPr>
              <w:jc w:val="center"/>
              <w:rPr>
                <w:rFonts w:eastAsia="Times New Roman"/>
                <w:sz w:val="21"/>
                <w:szCs w:val="21"/>
              </w:rPr>
            </w:pPr>
            <w:r>
              <w:rPr>
                <w:rFonts w:hint="eastAsia" w:ascii="宋体" w:hAnsi="宋体" w:eastAsia="宋体" w:cs="宋体"/>
                <w:sz w:val="21"/>
                <w:szCs w:val="21"/>
              </w:rPr>
              <w:t>方法思路</w:t>
            </w:r>
          </w:p>
        </w:tc>
        <w:tc>
          <w:tcPr>
            <w:tcW w:w="3027" w:type="dxa"/>
            <w:tcBorders>
              <w:top w:val="single" w:color="auto" w:sz="12" w:space="0"/>
              <w:bottom w:val="single" w:color="auto" w:sz="4" w:space="0"/>
            </w:tcBorders>
            <w:vAlign w:val="center"/>
          </w:tcPr>
          <w:p w14:paraId="227E3FFB">
            <w:pPr>
              <w:jc w:val="center"/>
              <w:rPr>
                <w:rFonts w:eastAsia="Times New Roman"/>
                <w:sz w:val="21"/>
                <w:szCs w:val="21"/>
              </w:rPr>
            </w:pPr>
            <w:r>
              <w:rPr>
                <w:rFonts w:hint="eastAsia" w:ascii="宋体" w:hAnsi="宋体" w:eastAsia="宋体" w:cs="宋体"/>
                <w:sz w:val="21"/>
                <w:szCs w:val="21"/>
              </w:rPr>
              <w:t>主要不足</w:t>
            </w:r>
          </w:p>
        </w:tc>
      </w:tr>
      <w:tr w14:paraId="4F31D2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dxa"/>
            <w:tcBorders>
              <w:top w:val="single" w:color="auto" w:sz="4" w:space="0"/>
              <w:bottom w:val="nil"/>
            </w:tcBorders>
            <w:vAlign w:val="center"/>
          </w:tcPr>
          <w:p w14:paraId="4253C503">
            <w:pPr>
              <w:jc w:val="center"/>
              <w:rPr>
                <w:rFonts w:eastAsia="Times New Roman"/>
                <w:sz w:val="21"/>
                <w:szCs w:val="21"/>
              </w:rPr>
            </w:pPr>
            <w:r>
              <w:rPr>
                <w:rFonts w:hint="eastAsia" w:ascii="宋体" w:hAnsi="宋体" w:eastAsia="宋体" w:cs="宋体"/>
                <w:sz w:val="21"/>
                <w:szCs w:val="21"/>
              </w:rPr>
              <w:t>决策生成类方法</w:t>
            </w:r>
          </w:p>
        </w:tc>
        <w:tc>
          <w:tcPr>
            <w:tcW w:w="1275" w:type="dxa"/>
            <w:tcBorders>
              <w:top w:val="single" w:color="auto" w:sz="4" w:space="0"/>
              <w:bottom w:val="nil"/>
            </w:tcBorders>
            <w:vAlign w:val="center"/>
          </w:tcPr>
          <w:p w14:paraId="22B9CC8C">
            <w:pPr>
              <w:jc w:val="center"/>
              <w:rPr>
                <w:rFonts w:eastAsiaTheme="minorEastAsia"/>
                <w:sz w:val="21"/>
                <w:szCs w:val="21"/>
              </w:rPr>
            </w:pPr>
            <w:r>
              <w:rPr>
                <w:rFonts w:eastAsia="Times New Roman"/>
                <w:sz w:val="21"/>
                <w:szCs w:val="21"/>
              </w:rPr>
              <w:fldChar w:fldCharType="begin" w:fldLock="1"/>
            </w:r>
            <w:r>
              <w:rPr>
                <w:rFonts w:eastAsiaTheme="minorEastAsia"/>
                <w:sz w:val="21"/>
                <w:szCs w:val="21"/>
              </w:rPr>
              <w:instrText xml:space="preserve"> REF _Ref225450607 \r \h  \* MERGEFORMAT </w:instrText>
            </w:r>
            <w:r>
              <w:rPr>
                <w:rFonts w:eastAsia="Times New Roman"/>
                <w:sz w:val="21"/>
                <w:szCs w:val="21"/>
              </w:rPr>
              <w:fldChar w:fldCharType="separate"/>
            </w:r>
            <w:r>
              <w:rPr>
                <w:rFonts w:eastAsiaTheme="minorEastAsia"/>
                <w:sz w:val="21"/>
                <w:szCs w:val="21"/>
              </w:rPr>
              <w:t>[55</w:t>
            </w:r>
            <w:r>
              <w:rPr>
                <w:rFonts w:hint="eastAsia" w:eastAsiaTheme="minorEastAsia"/>
                <w:sz w:val="21"/>
                <w:szCs w:val="21"/>
              </w:rPr>
              <w:t>-</w:t>
            </w:r>
            <w:r>
              <w:rPr>
                <w:rFonts w:eastAsia="Times New Roman"/>
                <w:sz w:val="21"/>
                <w:szCs w:val="21"/>
              </w:rPr>
              <w:fldChar w:fldCharType="end"/>
            </w:r>
            <w:r>
              <w:rPr>
                <w:rFonts w:eastAsia="Times New Roman"/>
                <w:sz w:val="21"/>
                <w:szCs w:val="21"/>
              </w:rPr>
              <w:fldChar w:fldCharType="begin" w:fldLock="1"/>
            </w:r>
            <w:r>
              <w:rPr>
                <w:rFonts w:eastAsiaTheme="minorEastAsia"/>
                <w:sz w:val="21"/>
                <w:szCs w:val="21"/>
              </w:rPr>
              <w:instrText xml:space="preserve"> REF _Ref225450620 \r \h  \* MERGEFORMAT </w:instrText>
            </w:r>
            <w:r>
              <w:rPr>
                <w:rFonts w:eastAsia="Times New Roman"/>
                <w:sz w:val="21"/>
                <w:szCs w:val="21"/>
              </w:rPr>
              <w:fldChar w:fldCharType="separate"/>
            </w:r>
            <w:r>
              <w:rPr>
                <w:rFonts w:eastAsiaTheme="minorEastAsia"/>
                <w:sz w:val="21"/>
                <w:szCs w:val="21"/>
              </w:rPr>
              <w:t>56]</w:t>
            </w:r>
            <w:r>
              <w:rPr>
                <w:rFonts w:eastAsia="Times New Roman"/>
                <w:sz w:val="21"/>
                <w:szCs w:val="21"/>
              </w:rPr>
              <w:fldChar w:fldCharType="end"/>
            </w:r>
          </w:p>
        </w:tc>
        <w:tc>
          <w:tcPr>
            <w:tcW w:w="3119" w:type="dxa"/>
            <w:tcBorders>
              <w:top w:val="single" w:color="auto" w:sz="4" w:space="0"/>
              <w:bottom w:val="nil"/>
            </w:tcBorders>
            <w:vAlign w:val="center"/>
          </w:tcPr>
          <w:p w14:paraId="4CE8E323">
            <w:pPr>
              <w:jc w:val="center"/>
              <w:rPr>
                <w:rFonts w:eastAsiaTheme="minorEastAsia"/>
                <w:sz w:val="21"/>
                <w:szCs w:val="21"/>
              </w:rPr>
            </w:pPr>
            <w:r>
              <w:rPr>
                <w:rFonts w:eastAsiaTheme="minorEastAsia"/>
                <w:sz w:val="21"/>
                <w:szCs w:val="21"/>
              </w:rPr>
              <w:t>将</w:t>
            </w:r>
            <w:r>
              <w:rPr>
                <w:rFonts w:hint="eastAsia" w:eastAsiaTheme="minorEastAsia"/>
                <w:sz w:val="21"/>
                <w:szCs w:val="21"/>
              </w:rPr>
              <w:t>LLM</w:t>
            </w:r>
            <w:r>
              <w:rPr>
                <w:rFonts w:eastAsiaTheme="minorEastAsia"/>
                <w:sz w:val="21"/>
                <w:szCs w:val="21"/>
              </w:rPr>
              <w:t>输出形式化为动作先验或策略指引，在强化学习过程中约束探索空间并提高学习效率。</w:t>
            </w:r>
          </w:p>
        </w:tc>
        <w:tc>
          <w:tcPr>
            <w:tcW w:w="3027" w:type="dxa"/>
            <w:tcBorders>
              <w:top w:val="single" w:color="auto" w:sz="4" w:space="0"/>
              <w:bottom w:val="nil"/>
            </w:tcBorders>
            <w:vAlign w:val="center"/>
          </w:tcPr>
          <w:p w14:paraId="1D5E8C1C">
            <w:pPr>
              <w:jc w:val="center"/>
              <w:rPr>
                <w:rFonts w:eastAsiaTheme="minorEastAsia"/>
                <w:sz w:val="21"/>
                <w:szCs w:val="21"/>
              </w:rPr>
            </w:pPr>
            <w:r>
              <w:rPr>
                <w:rFonts w:eastAsia="Times New Roman"/>
                <w:sz w:val="21"/>
                <w:szCs w:val="21"/>
              </w:rPr>
              <w:t>决策过程依赖大模型先验质量，当先验存在偏差时，策略优化空间容易受到限制。</w:t>
            </w:r>
          </w:p>
        </w:tc>
      </w:tr>
      <w:tr w14:paraId="039F2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dxa"/>
            <w:tcBorders>
              <w:top w:val="nil"/>
              <w:bottom w:val="nil"/>
            </w:tcBorders>
            <w:vAlign w:val="center"/>
          </w:tcPr>
          <w:p w14:paraId="28CE4529">
            <w:pPr>
              <w:jc w:val="center"/>
              <w:rPr>
                <w:rFonts w:eastAsiaTheme="minorEastAsia"/>
                <w:sz w:val="21"/>
                <w:szCs w:val="21"/>
              </w:rPr>
            </w:pPr>
            <w:r>
              <w:rPr>
                <w:rFonts w:eastAsia="Times New Roman"/>
                <w:sz w:val="21"/>
                <w:szCs w:val="21"/>
              </w:rPr>
              <w:t>高层规划引导类</w:t>
            </w:r>
          </w:p>
          <w:p w14:paraId="792DB397">
            <w:pPr>
              <w:jc w:val="center"/>
              <w:rPr>
                <w:rFonts w:eastAsiaTheme="minorEastAsia"/>
                <w:sz w:val="21"/>
                <w:szCs w:val="21"/>
              </w:rPr>
            </w:pPr>
            <w:r>
              <w:rPr>
                <w:rFonts w:hint="eastAsia" w:ascii="宋体" w:hAnsi="宋体" w:eastAsia="宋体" w:cs="宋体"/>
                <w:sz w:val="21"/>
                <w:szCs w:val="21"/>
              </w:rPr>
              <w:t>方法</w:t>
            </w:r>
          </w:p>
        </w:tc>
        <w:tc>
          <w:tcPr>
            <w:tcW w:w="1275" w:type="dxa"/>
            <w:tcBorders>
              <w:top w:val="nil"/>
              <w:bottom w:val="nil"/>
            </w:tcBorders>
            <w:vAlign w:val="center"/>
          </w:tcPr>
          <w:p w14:paraId="694F922D">
            <w:pPr>
              <w:jc w:val="center"/>
              <w:rPr>
                <w:rFonts w:eastAsiaTheme="minorEastAsia"/>
                <w:sz w:val="21"/>
                <w:szCs w:val="21"/>
              </w:rPr>
            </w:pPr>
            <w:r>
              <w:rPr>
                <w:rFonts w:eastAsia="Times New Roman"/>
                <w:sz w:val="21"/>
                <w:szCs w:val="21"/>
              </w:rPr>
              <w:fldChar w:fldCharType="begin" w:fldLock="1"/>
            </w:r>
            <w:r>
              <w:rPr>
                <w:rFonts w:eastAsiaTheme="minorEastAsia"/>
                <w:sz w:val="21"/>
                <w:szCs w:val="21"/>
              </w:rPr>
              <w:instrText xml:space="preserve"> REF _Ref226555911 \r \h </w:instrText>
            </w:r>
            <w:r>
              <w:rPr>
                <w:rFonts w:eastAsia="Times New Roman"/>
                <w:sz w:val="21"/>
                <w:szCs w:val="21"/>
              </w:rPr>
              <w:fldChar w:fldCharType="separate"/>
            </w:r>
            <w:r>
              <w:rPr>
                <w:rFonts w:eastAsiaTheme="minorEastAsia"/>
                <w:sz w:val="21"/>
                <w:szCs w:val="21"/>
              </w:rPr>
              <w:t>[57</w:t>
            </w:r>
            <w:r>
              <w:rPr>
                <w:rFonts w:eastAsia="Times New Roman"/>
                <w:sz w:val="21"/>
                <w:szCs w:val="21"/>
              </w:rPr>
              <w:fldChar w:fldCharType="end"/>
            </w:r>
            <w:r>
              <w:rPr>
                <w:rFonts w:hint="eastAsia" w:eastAsiaTheme="minorEastAsia"/>
                <w:sz w:val="21"/>
                <w:szCs w:val="21"/>
              </w:rPr>
              <w:t>-</w:t>
            </w:r>
            <w:r>
              <w:rPr>
                <w:rFonts w:eastAsia="Times New Roman"/>
                <w:sz w:val="21"/>
                <w:szCs w:val="21"/>
              </w:rPr>
              <w:fldChar w:fldCharType="begin" w:fldLock="1"/>
            </w:r>
            <w:r>
              <w:rPr>
                <w:rFonts w:eastAsiaTheme="minorEastAsia"/>
                <w:sz w:val="21"/>
                <w:szCs w:val="21"/>
              </w:rPr>
              <w:instrText xml:space="preserve"> REF _Ref225450652 \r \h </w:instrText>
            </w:r>
            <w:r>
              <w:rPr>
                <w:rFonts w:eastAsia="Times New Roman"/>
                <w:sz w:val="21"/>
                <w:szCs w:val="21"/>
              </w:rPr>
              <w:fldChar w:fldCharType="separate"/>
            </w:r>
            <w:r>
              <w:rPr>
                <w:rFonts w:eastAsiaTheme="minorEastAsia"/>
                <w:sz w:val="21"/>
                <w:szCs w:val="21"/>
              </w:rPr>
              <w:t>58]</w:t>
            </w:r>
            <w:r>
              <w:rPr>
                <w:rFonts w:eastAsia="Times New Roman"/>
                <w:sz w:val="21"/>
                <w:szCs w:val="21"/>
              </w:rPr>
              <w:fldChar w:fldCharType="end"/>
            </w:r>
          </w:p>
        </w:tc>
        <w:tc>
          <w:tcPr>
            <w:tcW w:w="3119" w:type="dxa"/>
            <w:tcBorders>
              <w:top w:val="nil"/>
              <w:bottom w:val="nil"/>
            </w:tcBorders>
            <w:vAlign w:val="center"/>
          </w:tcPr>
          <w:p w14:paraId="2CA7BEF6">
            <w:pPr>
              <w:jc w:val="center"/>
              <w:rPr>
                <w:rFonts w:eastAsia="Times New Roman"/>
                <w:sz w:val="21"/>
                <w:szCs w:val="21"/>
              </w:rPr>
            </w:pPr>
            <w:r>
              <w:rPr>
                <w:rFonts w:eastAsia="Times New Roman"/>
                <w:sz w:val="21"/>
                <w:szCs w:val="21"/>
              </w:rPr>
              <w:t>利用大模型生成高层动作、阶段目标或技能调用方案，再由策略模块完成具体执行。</w:t>
            </w:r>
          </w:p>
        </w:tc>
        <w:tc>
          <w:tcPr>
            <w:tcW w:w="3027" w:type="dxa"/>
            <w:tcBorders>
              <w:top w:val="nil"/>
              <w:bottom w:val="nil"/>
            </w:tcBorders>
            <w:vAlign w:val="center"/>
          </w:tcPr>
          <w:p w14:paraId="3A55AB73">
            <w:pPr>
              <w:jc w:val="center"/>
              <w:rPr>
                <w:rFonts w:eastAsiaTheme="minorEastAsia"/>
                <w:sz w:val="21"/>
                <w:szCs w:val="21"/>
              </w:rPr>
            </w:pPr>
            <w:r>
              <w:rPr>
                <w:rFonts w:eastAsia="Times New Roman"/>
                <w:sz w:val="21"/>
                <w:szCs w:val="21"/>
              </w:rPr>
              <w:t>侧重任务分解和技能选择，难以满足APT检测中持续判断、动态选择和代价约束的需求。</w:t>
            </w:r>
          </w:p>
        </w:tc>
      </w:tr>
      <w:tr w14:paraId="1E40AD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dxa"/>
            <w:tcBorders>
              <w:top w:val="nil"/>
              <w:bottom w:val="single" w:color="auto" w:sz="12" w:space="0"/>
            </w:tcBorders>
            <w:vAlign w:val="center"/>
          </w:tcPr>
          <w:p w14:paraId="0C313467">
            <w:pPr>
              <w:jc w:val="center"/>
              <w:rPr>
                <w:rFonts w:eastAsia="Times New Roman"/>
                <w:sz w:val="21"/>
                <w:szCs w:val="21"/>
              </w:rPr>
            </w:pPr>
            <w:r>
              <w:rPr>
                <w:rFonts w:eastAsia="Times New Roman"/>
                <w:sz w:val="21"/>
                <w:szCs w:val="21"/>
              </w:rPr>
              <w:t>奖励设计类方法</w:t>
            </w:r>
          </w:p>
        </w:tc>
        <w:tc>
          <w:tcPr>
            <w:tcW w:w="1275" w:type="dxa"/>
            <w:tcBorders>
              <w:top w:val="nil"/>
              <w:bottom w:val="single" w:color="auto" w:sz="12" w:space="0"/>
            </w:tcBorders>
            <w:vAlign w:val="center"/>
          </w:tcPr>
          <w:p w14:paraId="56B41594">
            <w:pPr>
              <w:jc w:val="center"/>
              <w:rPr>
                <w:rFonts w:eastAsiaTheme="minorEastAsia"/>
                <w:sz w:val="21"/>
                <w:szCs w:val="21"/>
              </w:rPr>
            </w:pPr>
            <w:r>
              <w:rPr>
                <w:rFonts w:eastAsia="Times New Roman"/>
                <w:sz w:val="21"/>
                <w:szCs w:val="21"/>
              </w:rPr>
              <w:fldChar w:fldCharType="begin" w:fldLock="1"/>
            </w:r>
            <w:r>
              <w:rPr>
                <w:rFonts w:eastAsiaTheme="minorEastAsia"/>
                <w:sz w:val="21"/>
                <w:szCs w:val="21"/>
              </w:rPr>
              <w:instrText xml:space="preserve"> REF _Ref226555927 \r \h </w:instrText>
            </w:r>
            <w:r>
              <w:rPr>
                <w:rFonts w:eastAsia="Times New Roman"/>
                <w:sz w:val="21"/>
                <w:szCs w:val="21"/>
              </w:rPr>
              <w:fldChar w:fldCharType="separate"/>
            </w:r>
            <w:r>
              <w:rPr>
                <w:rFonts w:eastAsiaTheme="minorEastAsia"/>
                <w:sz w:val="21"/>
                <w:szCs w:val="21"/>
              </w:rPr>
              <w:t>[59</w:t>
            </w:r>
            <w:r>
              <w:rPr>
                <w:rFonts w:eastAsia="Times New Roman"/>
                <w:sz w:val="21"/>
                <w:szCs w:val="21"/>
              </w:rPr>
              <w:fldChar w:fldCharType="end"/>
            </w:r>
            <w:r>
              <w:rPr>
                <w:rFonts w:eastAsia="Times New Roman"/>
                <w:sz w:val="21"/>
                <w:szCs w:val="21"/>
              </w:rPr>
              <w:fldChar w:fldCharType="begin" w:fldLock="1"/>
            </w:r>
            <w:r>
              <w:rPr>
                <w:rFonts w:eastAsiaTheme="minorEastAsia"/>
                <w:sz w:val="21"/>
                <w:szCs w:val="21"/>
              </w:rPr>
              <w:instrText xml:space="preserve"> REF _Ref226555743 \r \h </w:instrText>
            </w:r>
            <w:r>
              <w:rPr>
                <w:rFonts w:eastAsia="Times New Roman"/>
                <w:sz w:val="21"/>
                <w:szCs w:val="21"/>
              </w:rPr>
              <w:fldChar w:fldCharType="separate"/>
            </w:r>
            <w:r>
              <w:rPr>
                <w:rFonts w:hint="eastAsia" w:eastAsiaTheme="minorEastAsia"/>
                <w:sz w:val="21"/>
                <w:szCs w:val="21"/>
              </w:rPr>
              <w:t>-</w:t>
            </w:r>
            <w:r>
              <w:rPr>
                <w:rFonts w:eastAsiaTheme="minorEastAsia"/>
                <w:sz w:val="21"/>
                <w:szCs w:val="21"/>
              </w:rPr>
              <w:t>60]</w:t>
            </w:r>
            <w:r>
              <w:rPr>
                <w:rFonts w:eastAsia="Times New Roman"/>
                <w:sz w:val="21"/>
                <w:szCs w:val="21"/>
              </w:rPr>
              <w:fldChar w:fldCharType="end"/>
            </w:r>
          </w:p>
        </w:tc>
        <w:tc>
          <w:tcPr>
            <w:tcW w:w="3119" w:type="dxa"/>
            <w:tcBorders>
              <w:top w:val="nil"/>
              <w:bottom w:val="single" w:color="auto" w:sz="12" w:space="0"/>
            </w:tcBorders>
            <w:vAlign w:val="center"/>
          </w:tcPr>
          <w:p w14:paraId="55ACB784">
            <w:pPr>
              <w:jc w:val="center"/>
              <w:rPr>
                <w:rFonts w:eastAsia="Times New Roman"/>
                <w:sz w:val="21"/>
                <w:szCs w:val="21"/>
              </w:rPr>
            </w:pPr>
            <w:r>
              <w:rPr>
                <w:rFonts w:eastAsia="Times New Roman"/>
                <w:sz w:val="21"/>
                <w:szCs w:val="21"/>
              </w:rPr>
              <w:t>利用大模型生成或优化奖励函数，为强化学习策略训练提供反馈信号。</w:t>
            </w:r>
          </w:p>
        </w:tc>
        <w:tc>
          <w:tcPr>
            <w:tcW w:w="3027" w:type="dxa"/>
            <w:tcBorders>
              <w:top w:val="nil"/>
              <w:bottom w:val="single" w:color="auto" w:sz="12" w:space="0"/>
            </w:tcBorders>
            <w:vAlign w:val="center"/>
          </w:tcPr>
          <w:p w14:paraId="5E091A3E">
            <w:pPr>
              <w:jc w:val="center"/>
              <w:rPr>
                <w:rFonts w:eastAsiaTheme="minorEastAsia"/>
                <w:sz w:val="21"/>
                <w:szCs w:val="21"/>
              </w:rPr>
            </w:pPr>
            <w:r>
              <w:rPr>
                <w:rFonts w:eastAsia="Times New Roman"/>
                <w:sz w:val="21"/>
                <w:szCs w:val="21"/>
              </w:rPr>
              <w:t>主要改进奖励构造过程，未直接解决候选检测方案的前瞻评估与后验选择问题。</w:t>
            </w:r>
          </w:p>
        </w:tc>
      </w:tr>
    </w:tbl>
    <w:p w14:paraId="0D085810">
      <w:pPr>
        <w:spacing w:before="156" w:beforeLines="50"/>
        <w:ind w:firstLine="480" w:firstLineChars="200"/>
      </w:pPr>
      <w:r>
        <w:t>在决策生成方面，现有研究主要</w:t>
      </w:r>
      <w:r>
        <w:rPr>
          <w:rFonts w:hint="eastAsia"/>
        </w:rPr>
        <w:t>使用</w:t>
      </w:r>
      <w:r>
        <w:t>大模型为强化学习提供动作先验或决策指导，从而缩小搜索范围并提高策略学习</w:t>
      </w:r>
      <w:r>
        <w:rPr>
          <w:rFonts w:hint="eastAsia"/>
        </w:rPr>
        <w:t>的</w:t>
      </w:r>
      <w:r>
        <w:t>效率。Yan等人</w:t>
      </w:r>
      <w:r>
        <w:rPr>
          <w:vertAlign w:val="superscript"/>
        </w:rPr>
        <w:fldChar w:fldCharType="begin" w:fldLock="1"/>
      </w:r>
      <w:r>
        <w:rPr>
          <w:vertAlign w:val="superscript"/>
        </w:rPr>
        <w:instrText xml:space="preserve"> REF _Ref225450607 \r \h  \* MERGEFORMAT </w:instrText>
      </w:r>
      <w:r>
        <w:rPr>
          <w:vertAlign w:val="superscript"/>
        </w:rPr>
        <w:fldChar w:fldCharType="separate"/>
      </w:r>
      <w:r>
        <w:rPr>
          <w:vertAlign w:val="superscript"/>
        </w:rPr>
        <w:t>[55]</w:t>
      </w:r>
      <w:r>
        <w:rPr>
          <w:vertAlign w:val="superscript"/>
        </w:rPr>
        <w:fldChar w:fldCharType="end"/>
      </w:r>
      <w:r>
        <w:t>将大模型的输出形式化为动作先验分布，并在强化学习优化过程中引入先验约束，以缩小搜索空间并提升学习效率；Zhou等人</w:t>
      </w:r>
      <w:r>
        <w:rPr>
          <w:vertAlign w:val="superscript"/>
        </w:rPr>
        <w:fldChar w:fldCharType="begin" w:fldLock="1"/>
      </w:r>
      <w:r>
        <w:rPr>
          <w:vertAlign w:val="superscript"/>
        </w:rPr>
        <w:instrText xml:space="preserve"> REF _Ref225450620 \r \h  \* MERGEFORMAT </w:instrText>
      </w:r>
      <w:r>
        <w:rPr>
          <w:vertAlign w:val="superscript"/>
        </w:rPr>
        <w:fldChar w:fldCharType="separate"/>
      </w:r>
      <w:r>
        <w:rPr>
          <w:vertAlign w:val="superscript"/>
        </w:rPr>
        <w:t>[56]</w:t>
      </w:r>
      <w:r>
        <w:rPr>
          <w:vertAlign w:val="superscript"/>
        </w:rPr>
        <w:fldChar w:fldCharType="end"/>
      </w:r>
      <w:r>
        <w:t>将大模型作为策略教师，为强化学习智能体提供与当前任务相关的决策生成指导，并结合环境反馈逐步减弱对教师信号的依赖。相较于完全依赖环境交互进行搜索的强化学习方法，这类研究能够在策略学习早期引入更具针对性的先验信息，从而在一定程度上缓解</w:t>
      </w:r>
      <w:r>
        <w:rPr>
          <w:rFonts w:hint="eastAsia"/>
        </w:rPr>
        <w:t>盲目搜索的</w:t>
      </w:r>
      <w:r>
        <w:t>问题，并提高复杂任务中的决策效率。但现有方法主要侧重于利用大模型提供即时决策指引，</w:t>
      </w:r>
      <w:r>
        <w:rPr>
          <w:rFonts w:hint="eastAsia"/>
        </w:rPr>
        <w:t>未考虑</w:t>
      </w:r>
      <w:r>
        <w:t>候选方案及对后续状态</w:t>
      </w:r>
      <w:r>
        <w:rPr>
          <w:rFonts w:hint="eastAsia"/>
        </w:rPr>
        <w:t>演进的</w:t>
      </w:r>
      <w:r>
        <w:t>潜在影响。</w:t>
      </w:r>
    </w:p>
    <w:p w14:paraId="5933B63C">
      <w:pPr>
        <w:ind w:firstLine="480" w:firstLineChars="200"/>
      </w:pPr>
      <w:r>
        <w:t>除直接参与决策生成外，现有研究</w:t>
      </w:r>
      <w:r>
        <w:rPr>
          <w:rFonts w:hint="eastAsia"/>
        </w:rPr>
        <w:t>还使用</w:t>
      </w:r>
      <w:r>
        <w:t>大模型生成高层规划信息，即先由大模型</w:t>
      </w:r>
      <w:r>
        <w:rPr>
          <w:rFonts w:hint="eastAsia"/>
        </w:rPr>
        <w:t>生成</w:t>
      </w:r>
      <w:r>
        <w:t>候选动作或阶段目标，再由强化学习或价值函数模块完成执行与筛选。Zhang等人</w:t>
      </w:r>
      <w:r>
        <w:rPr>
          <w:vertAlign w:val="superscript"/>
        </w:rPr>
        <w:fldChar w:fldCharType="begin" w:fldLock="1"/>
      </w:r>
      <w:r>
        <w:rPr>
          <w:vertAlign w:val="superscript"/>
        </w:rPr>
        <w:instrText xml:space="preserve"> REF _Ref226555911 \r \h  \* MERGEFORMAT </w:instrText>
      </w:r>
      <w:r>
        <w:rPr>
          <w:vertAlign w:val="superscript"/>
        </w:rPr>
        <w:fldChar w:fldCharType="separate"/>
      </w:r>
      <w:r>
        <w:rPr>
          <w:vertAlign w:val="superscript"/>
        </w:rPr>
        <w:t>[57]</w:t>
      </w:r>
      <w:r>
        <w:rPr>
          <w:vertAlign w:val="superscript"/>
        </w:rPr>
        <w:fldChar w:fldCharType="end"/>
      </w:r>
      <w:r>
        <w:t>将大模型引入任务求解过程，通过大模型指导技能衔接与扩展，使智能体能够逐步形成对复杂任务的分解与执行能力；Brohan等人</w:t>
      </w:r>
      <w:r>
        <w:rPr>
          <w:vertAlign w:val="superscript"/>
        </w:rPr>
        <w:fldChar w:fldCharType="begin" w:fldLock="1"/>
      </w:r>
      <w:r>
        <w:rPr>
          <w:vertAlign w:val="superscript"/>
        </w:rPr>
        <w:instrText xml:space="preserve"> REF _Ref225450652 \r \h  \* MERGEFORMAT </w:instrText>
      </w:r>
      <w:r>
        <w:rPr>
          <w:vertAlign w:val="superscript"/>
        </w:rPr>
        <w:fldChar w:fldCharType="separate"/>
      </w:r>
      <w:r>
        <w:rPr>
          <w:vertAlign w:val="superscript"/>
        </w:rPr>
        <w:t>[58]</w:t>
      </w:r>
      <w:r>
        <w:rPr>
          <w:vertAlign w:val="superscript"/>
        </w:rPr>
        <w:fldChar w:fldCharType="end"/>
      </w:r>
      <w:r>
        <w:rPr>
          <w:rFonts w:hint="eastAsia"/>
        </w:rPr>
        <w:t>使用</w:t>
      </w:r>
      <w:r>
        <w:t>大模型生成候选高层动作，并结合技能价值函数对候选动作的可执行性进行约束，从而提高复杂任务中的规划有效性。</w:t>
      </w:r>
      <w:r>
        <w:rPr>
          <w:rFonts w:hint="eastAsia"/>
        </w:rPr>
        <w:t>这些</w:t>
      </w:r>
      <w:r>
        <w:t>方法</w:t>
      </w:r>
      <w:r>
        <w:rPr>
          <w:rFonts w:hint="eastAsia"/>
        </w:rPr>
        <w:t>表明</w:t>
      </w:r>
      <w:r>
        <w:t>，大模型生成高层规划信息有助于提升复杂任务中的决策能力，并</w:t>
      </w:r>
      <w:r>
        <w:rPr>
          <w:rFonts w:hint="eastAsia"/>
        </w:rPr>
        <w:t>能够</w:t>
      </w:r>
      <w:r>
        <w:t>为后续策略执行提供更明确的引导。但现有高层规划方法多侧重于任务分解、技能选择或动作可执行性约束，更适用于目标明确、子任务边界清晰的任务执行场景，难以满足APT检测中持续判断与动态选择的需求。</w:t>
      </w:r>
    </w:p>
    <w:p w14:paraId="2FE307FF">
      <w:pPr>
        <w:ind w:firstLine="480" w:firstLineChars="200"/>
      </w:pPr>
      <w:r>
        <w:rPr>
          <w:rFonts w:hint="eastAsia"/>
        </w:rPr>
        <w:t>此外</w:t>
      </w:r>
      <w:r>
        <w:t>，部分研究</w:t>
      </w:r>
      <w:r>
        <w:rPr>
          <w:rFonts w:hint="eastAsia"/>
        </w:rPr>
        <w:t>还使用</w:t>
      </w:r>
      <w:r>
        <w:t>大模型参与强化学习中的奖励设计与反馈优化过程。Xie等人</w:t>
      </w:r>
      <w:r>
        <w:rPr>
          <w:vertAlign w:val="superscript"/>
        </w:rPr>
        <w:fldChar w:fldCharType="begin" w:fldLock="1"/>
      </w:r>
      <w:r>
        <w:rPr>
          <w:vertAlign w:val="superscript"/>
        </w:rPr>
        <w:instrText xml:space="preserve"> REF _Ref226555927 \r \h  \* MERGEFORMAT </w:instrText>
      </w:r>
      <w:r>
        <w:rPr>
          <w:vertAlign w:val="superscript"/>
        </w:rPr>
        <w:fldChar w:fldCharType="separate"/>
      </w:r>
      <w:r>
        <w:rPr>
          <w:vertAlign w:val="superscript"/>
        </w:rPr>
        <w:t>[59]</w:t>
      </w:r>
      <w:r>
        <w:rPr>
          <w:vertAlign w:val="superscript"/>
        </w:rPr>
        <w:fldChar w:fldCharType="end"/>
      </w:r>
      <w:r>
        <w:t>提出利用大模型自动生成并调整密集奖励函数，以降低奖励设计对人工经验的依赖；Ma等人</w:t>
      </w:r>
      <w:r>
        <w:rPr>
          <w:vertAlign w:val="superscript"/>
        </w:rPr>
        <w:fldChar w:fldCharType="begin" w:fldLock="1"/>
      </w:r>
      <w:r>
        <w:rPr>
          <w:vertAlign w:val="superscript"/>
        </w:rPr>
        <w:instrText xml:space="preserve"> REF _Ref226555743 \r \h  \* MERGEFORMAT </w:instrText>
      </w:r>
      <w:r>
        <w:rPr>
          <w:vertAlign w:val="superscript"/>
        </w:rPr>
        <w:fldChar w:fldCharType="separate"/>
      </w:r>
      <w:r>
        <w:rPr>
          <w:vertAlign w:val="superscript"/>
        </w:rPr>
        <w:t>[60]</w:t>
      </w:r>
      <w:r>
        <w:rPr>
          <w:vertAlign w:val="superscript"/>
        </w:rPr>
        <w:fldChar w:fldCharType="end"/>
      </w:r>
      <w:r>
        <w:t>进一步结合代码生成与迭代优化机制，对奖励函数进行自动搜索与修正。然而，这类方法主要关注奖励函数本身的构造与优化，更多是从任务完成效果或训练性能提升的角度改进强化学习过程，未进一步结合语义先验引导、候选方案前瞻评估以及不确定性约束等对决策过程更为关键的因素进行统一考虑，因此对APT检测这类持续演化且代价敏感任务的适用性仍然有限。</w:t>
      </w:r>
    </w:p>
    <w:p w14:paraId="17311444">
      <w:pPr>
        <w:ind w:firstLine="480" w:firstLineChars="200"/>
      </w:pPr>
      <w:r>
        <w:t>综上所述，现有大模型与强化学习结合方法在决策生成、高层规划引导以及奖励设计等方面已取得一定进展，但仍存在以下不足：1）现有方法多将大模型输出的先验、指引</w:t>
      </w:r>
      <w:r>
        <w:rPr>
          <w:rFonts w:hint="eastAsia"/>
        </w:rPr>
        <w:t>、规划</w:t>
      </w:r>
      <w:r>
        <w:t>或奖励直接用于后续决策，缺少对候选方案未来影响的前瞻</w:t>
      </w:r>
      <w:r>
        <w:rPr>
          <w:rFonts w:hint="eastAsia"/>
        </w:rPr>
        <w:t>评估</w:t>
      </w:r>
      <w:r>
        <w:t>，因而难以判断其在当前状态下的有效性与潜在风险；</w:t>
      </w:r>
      <w:r>
        <w:rPr>
          <w:rFonts w:hint="eastAsia"/>
        </w:rPr>
        <w:t>2）</w:t>
      </w:r>
      <w:r>
        <w:t>现有方法未将语义先验、状态演化评估、不确定性约束与策略选择</w:t>
      </w:r>
      <w:r>
        <w:rPr>
          <w:rFonts w:hint="eastAsia"/>
        </w:rPr>
        <w:t>综合考虑</w:t>
      </w:r>
      <w:r>
        <w:t>，因此难以适用于APT检测中隐蔽性强、持续</w:t>
      </w:r>
      <w:r>
        <w:rPr>
          <w:rFonts w:hint="eastAsia"/>
        </w:rPr>
        <w:t>演进</w:t>
      </w:r>
      <w:r>
        <w:t>且对时效性和代价较为敏感的任务场景。</w:t>
      </w:r>
    </w:p>
    <w:p w14:paraId="56A9903C">
      <w:pPr>
        <w:pStyle w:val="4"/>
      </w:pPr>
      <w:bookmarkStart w:id="18" w:name="_Toc230086336"/>
      <w:r>
        <w:rPr>
          <w:rFonts w:hint="eastAsia"/>
        </w:rPr>
        <w:t>1.2.5 多智能体强化学习协作方法</w:t>
      </w:r>
      <w:bookmarkEnd w:id="18"/>
    </w:p>
    <w:p w14:paraId="68561C1E">
      <w:pPr>
        <w:ind w:firstLine="480" w:firstLineChars="200"/>
      </w:pPr>
      <w:r>
        <w:t>多智能体强化学习协作方法主要研究多个智能体在共享环境中的联合学习与协同决策问题，是跨区域协同检测方法的重要基础。</w:t>
      </w:r>
      <w:r>
        <w:rPr>
          <w:rFonts w:hint="eastAsia"/>
        </w:rPr>
        <w:t>针对</w:t>
      </w:r>
      <w:r>
        <w:t>联合优化、信息交互与任务组织等</w:t>
      </w:r>
      <w:r>
        <w:rPr>
          <w:rFonts w:hint="eastAsia"/>
        </w:rPr>
        <w:t>协作中的</w:t>
      </w:r>
      <w:r>
        <w:t>关键环节，现有研究已形成较为丰富的方法体系，相关</w:t>
      </w:r>
      <w:r>
        <w:rPr>
          <w:rFonts w:hint="eastAsia"/>
        </w:rPr>
        <w:t>研究</w:t>
      </w:r>
      <w:r>
        <w:t>主要包括集中训练、分散执行框架下的联合优化方法，基于通信机制或层级任务分解的协作增强方法，以及引入大模型的高层协作引导方法</w:t>
      </w:r>
      <w:r>
        <w:rPr>
          <w:rFonts w:hint="eastAsia"/>
        </w:rPr>
        <w:t>这三个类别，如表1.2所示</w:t>
      </w:r>
      <w:r>
        <w:t>。这些研究为多主体环境下的协同决策提供了重要基础，但其协作目标、信息条件和任务形式与APT跨区域协同检测仍存在一定差异。</w:t>
      </w:r>
    </w:p>
    <w:p w14:paraId="5E2D39E9">
      <w:pPr>
        <w:spacing w:line="400" w:lineRule="exact"/>
        <w:jc w:val="center"/>
        <w:rPr>
          <w:rFonts w:eastAsia="宋体" w:cs="Times New Roman"/>
          <w:sz w:val="21"/>
          <w:szCs w:val="21"/>
        </w:rPr>
      </w:pPr>
      <w:r>
        <w:rPr>
          <w:rFonts w:hint="eastAsia" w:eastAsia="宋体" w:cs="Times New Roman"/>
          <w:sz w:val="21"/>
          <w:szCs w:val="21"/>
        </w:rPr>
        <w:t>表1</w:t>
      </w:r>
      <w:r>
        <w:rPr>
          <w:rFonts w:eastAsia="宋体" w:cs="Times New Roman"/>
          <w:sz w:val="21"/>
          <w:szCs w:val="21"/>
        </w:rPr>
        <w:t>.</w:t>
      </w:r>
      <w:r>
        <w:rPr>
          <w:rFonts w:hint="eastAsia" w:eastAsia="宋体" w:cs="Times New Roman"/>
          <w:sz w:val="21"/>
          <w:szCs w:val="21"/>
        </w:rPr>
        <w:t>2</w:t>
      </w:r>
      <w:r>
        <w:rPr>
          <w:rFonts w:eastAsia="宋体" w:cs="Times New Roman"/>
          <w:sz w:val="21"/>
          <w:szCs w:val="21"/>
        </w:rPr>
        <w:t xml:space="preserve"> 多智能体强化学习协作方法对比</w:t>
      </w:r>
    </w:p>
    <w:tbl>
      <w:tblPr>
        <w:tblStyle w:val="19"/>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1134"/>
        <w:gridCol w:w="2977"/>
        <w:gridCol w:w="3027"/>
      </w:tblGrid>
      <w:tr w14:paraId="21CB6C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12" w:space="0"/>
              <w:bottom w:val="single" w:color="auto" w:sz="4" w:space="0"/>
            </w:tcBorders>
            <w:vAlign w:val="center"/>
          </w:tcPr>
          <w:p w14:paraId="08137537">
            <w:pPr>
              <w:jc w:val="center"/>
              <w:rPr>
                <w:rFonts w:eastAsia="Times New Roman"/>
                <w:sz w:val="21"/>
                <w:szCs w:val="21"/>
              </w:rPr>
            </w:pPr>
            <w:r>
              <w:rPr>
                <w:rFonts w:hint="eastAsia" w:ascii="宋体" w:hAnsi="宋体" w:eastAsia="宋体" w:cs="宋体"/>
                <w:sz w:val="21"/>
                <w:szCs w:val="21"/>
              </w:rPr>
              <w:t>方法类别</w:t>
            </w:r>
          </w:p>
        </w:tc>
        <w:tc>
          <w:tcPr>
            <w:tcW w:w="1134" w:type="dxa"/>
            <w:tcBorders>
              <w:top w:val="single" w:color="auto" w:sz="12" w:space="0"/>
              <w:bottom w:val="single" w:color="auto" w:sz="4" w:space="0"/>
            </w:tcBorders>
            <w:vAlign w:val="center"/>
          </w:tcPr>
          <w:p w14:paraId="6D848316">
            <w:pPr>
              <w:jc w:val="center"/>
              <w:rPr>
                <w:rFonts w:eastAsia="Times New Roman"/>
                <w:sz w:val="21"/>
                <w:szCs w:val="21"/>
              </w:rPr>
            </w:pPr>
            <w:r>
              <w:rPr>
                <w:rFonts w:hint="eastAsia" w:ascii="宋体" w:hAnsi="宋体" w:eastAsia="宋体" w:cs="宋体"/>
                <w:sz w:val="21"/>
                <w:szCs w:val="21"/>
              </w:rPr>
              <w:t>代表文献</w:t>
            </w:r>
          </w:p>
        </w:tc>
        <w:tc>
          <w:tcPr>
            <w:tcW w:w="2977" w:type="dxa"/>
            <w:tcBorders>
              <w:top w:val="single" w:color="auto" w:sz="12" w:space="0"/>
              <w:bottom w:val="single" w:color="auto" w:sz="4" w:space="0"/>
            </w:tcBorders>
            <w:vAlign w:val="center"/>
          </w:tcPr>
          <w:p w14:paraId="0FA5E778">
            <w:pPr>
              <w:jc w:val="center"/>
              <w:rPr>
                <w:rFonts w:eastAsia="Times New Roman"/>
                <w:sz w:val="21"/>
                <w:szCs w:val="21"/>
              </w:rPr>
            </w:pPr>
            <w:r>
              <w:rPr>
                <w:rFonts w:hint="eastAsia" w:ascii="宋体" w:hAnsi="宋体" w:eastAsia="宋体" w:cs="宋体"/>
                <w:sz w:val="21"/>
                <w:szCs w:val="21"/>
              </w:rPr>
              <w:t>方法思路</w:t>
            </w:r>
          </w:p>
        </w:tc>
        <w:tc>
          <w:tcPr>
            <w:tcW w:w="3027" w:type="dxa"/>
            <w:tcBorders>
              <w:top w:val="single" w:color="auto" w:sz="12" w:space="0"/>
              <w:bottom w:val="single" w:color="auto" w:sz="4" w:space="0"/>
            </w:tcBorders>
            <w:vAlign w:val="center"/>
          </w:tcPr>
          <w:p w14:paraId="6AAD9F76">
            <w:pPr>
              <w:jc w:val="center"/>
              <w:rPr>
                <w:rFonts w:eastAsia="Times New Roman"/>
                <w:sz w:val="21"/>
                <w:szCs w:val="21"/>
              </w:rPr>
            </w:pPr>
            <w:r>
              <w:rPr>
                <w:rFonts w:hint="eastAsia" w:ascii="宋体" w:hAnsi="宋体" w:eastAsia="宋体" w:cs="宋体"/>
                <w:sz w:val="21"/>
                <w:szCs w:val="21"/>
              </w:rPr>
              <w:t>主要不足</w:t>
            </w:r>
          </w:p>
        </w:tc>
      </w:tr>
      <w:tr w14:paraId="2525BF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single" w:color="auto" w:sz="4" w:space="0"/>
              <w:bottom w:val="nil"/>
            </w:tcBorders>
            <w:vAlign w:val="center"/>
          </w:tcPr>
          <w:p w14:paraId="0A019CF2">
            <w:pPr>
              <w:jc w:val="center"/>
              <w:rPr>
                <w:rFonts w:hint="eastAsia" w:ascii="宋体" w:hAnsi="宋体" w:eastAsia="宋体" w:cs="宋体"/>
                <w:sz w:val="21"/>
                <w:szCs w:val="21"/>
              </w:rPr>
            </w:pPr>
            <w:r>
              <w:rPr>
                <w:rFonts w:ascii="宋体" w:hAnsi="宋体" w:eastAsia="宋体" w:cs="宋体"/>
                <w:sz w:val="21"/>
                <w:szCs w:val="21"/>
              </w:rPr>
              <w:t>集中训练、</w:t>
            </w:r>
          </w:p>
          <w:p w14:paraId="141D9723">
            <w:pPr>
              <w:jc w:val="center"/>
              <w:rPr>
                <w:rFonts w:eastAsia="Times New Roman"/>
                <w:sz w:val="21"/>
                <w:szCs w:val="21"/>
              </w:rPr>
            </w:pPr>
            <w:r>
              <w:rPr>
                <w:rFonts w:ascii="宋体" w:hAnsi="宋体" w:eastAsia="宋体" w:cs="宋体"/>
                <w:sz w:val="21"/>
                <w:szCs w:val="21"/>
              </w:rPr>
              <w:t>分散执行联合优化方法</w:t>
            </w:r>
          </w:p>
        </w:tc>
        <w:tc>
          <w:tcPr>
            <w:tcW w:w="1134" w:type="dxa"/>
            <w:tcBorders>
              <w:top w:val="single" w:color="auto" w:sz="4" w:space="0"/>
              <w:bottom w:val="nil"/>
            </w:tcBorders>
            <w:vAlign w:val="center"/>
          </w:tcPr>
          <w:p w14:paraId="4E3BDC8D">
            <w:pPr>
              <w:jc w:val="center"/>
              <w:rPr>
                <w:rFonts w:eastAsiaTheme="minorEastAsia"/>
                <w:sz w:val="21"/>
                <w:szCs w:val="21"/>
              </w:rPr>
            </w:pPr>
            <w:r>
              <w:rPr>
                <w:rFonts w:eastAsia="Times New Roman"/>
                <w:sz w:val="21"/>
                <w:szCs w:val="21"/>
              </w:rPr>
              <w:fldChar w:fldCharType="begin" w:fldLock="1"/>
            </w:r>
            <w:r>
              <w:rPr>
                <w:rFonts w:eastAsiaTheme="minorEastAsia"/>
                <w:sz w:val="21"/>
                <w:szCs w:val="21"/>
              </w:rPr>
              <w:instrText xml:space="preserve"> REF _Ref225458907 \r \h </w:instrText>
            </w:r>
            <w:r>
              <w:rPr>
                <w:rFonts w:eastAsia="Times New Roman"/>
                <w:sz w:val="21"/>
                <w:szCs w:val="21"/>
              </w:rPr>
              <w:fldChar w:fldCharType="separate"/>
            </w:r>
            <w:r>
              <w:rPr>
                <w:rFonts w:eastAsiaTheme="minorEastAsia"/>
                <w:sz w:val="21"/>
                <w:szCs w:val="21"/>
              </w:rPr>
              <w:t>[61</w:t>
            </w:r>
            <w:r>
              <w:rPr>
                <w:rFonts w:hint="eastAsia" w:eastAsiaTheme="minorEastAsia"/>
                <w:sz w:val="21"/>
                <w:szCs w:val="21"/>
              </w:rPr>
              <w:t>-</w:t>
            </w:r>
            <w:r>
              <w:rPr>
                <w:rFonts w:eastAsia="Times New Roman"/>
                <w:sz w:val="21"/>
                <w:szCs w:val="21"/>
              </w:rPr>
              <w:fldChar w:fldCharType="end"/>
            </w:r>
            <w:r>
              <w:rPr>
                <w:rFonts w:eastAsia="Times New Roman"/>
                <w:sz w:val="21"/>
                <w:szCs w:val="21"/>
              </w:rPr>
              <w:fldChar w:fldCharType="begin" w:fldLock="1"/>
            </w:r>
            <w:r>
              <w:rPr>
                <w:rFonts w:eastAsiaTheme="minorEastAsia"/>
                <w:sz w:val="21"/>
                <w:szCs w:val="21"/>
              </w:rPr>
              <w:instrText xml:space="preserve"> REF _Ref229858100 \r \h </w:instrText>
            </w:r>
            <w:r>
              <w:rPr>
                <w:rFonts w:eastAsia="Times New Roman"/>
                <w:sz w:val="21"/>
                <w:szCs w:val="21"/>
              </w:rPr>
              <w:fldChar w:fldCharType="separate"/>
            </w:r>
            <w:r>
              <w:rPr>
                <w:rFonts w:eastAsiaTheme="minorEastAsia"/>
                <w:sz w:val="21"/>
                <w:szCs w:val="21"/>
              </w:rPr>
              <w:t>64]</w:t>
            </w:r>
            <w:r>
              <w:rPr>
                <w:rFonts w:eastAsia="Times New Roman"/>
                <w:sz w:val="21"/>
                <w:szCs w:val="21"/>
              </w:rPr>
              <w:fldChar w:fldCharType="end"/>
            </w:r>
          </w:p>
        </w:tc>
        <w:tc>
          <w:tcPr>
            <w:tcW w:w="2977" w:type="dxa"/>
            <w:tcBorders>
              <w:top w:val="single" w:color="auto" w:sz="4" w:space="0"/>
              <w:bottom w:val="nil"/>
            </w:tcBorders>
            <w:vAlign w:val="center"/>
          </w:tcPr>
          <w:p w14:paraId="6988E7F5">
            <w:pPr>
              <w:jc w:val="center"/>
              <w:rPr>
                <w:rFonts w:eastAsiaTheme="minorEastAsia"/>
                <w:sz w:val="21"/>
                <w:szCs w:val="21"/>
              </w:rPr>
            </w:pPr>
            <w:r>
              <w:rPr>
                <w:rFonts w:eastAsiaTheme="minorEastAsia"/>
                <w:sz w:val="21"/>
                <w:szCs w:val="21"/>
              </w:rPr>
              <w:t>在训练阶段利用全局状态或联合观测学习协作策略，在执行阶段由各智能体基于局部观测独立决策。</w:t>
            </w:r>
          </w:p>
        </w:tc>
        <w:tc>
          <w:tcPr>
            <w:tcW w:w="3027" w:type="dxa"/>
            <w:tcBorders>
              <w:top w:val="single" w:color="auto" w:sz="4" w:space="0"/>
              <w:bottom w:val="nil"/>
            </w:tcBorders>
            <w:vAlign w:val="center"/>
          </w:tcPr>
          <w:p w14:paraId="4437A0EF">
            <w:pPr>
              <w:jc w:val="center"/>
              <w:rPr>
                <w:rFonts w:eastAsiaTheme="minorEastAsia"/>
                <w:sz w:val="21"/>
                <w:szCs w:val="21"/>
              </w:rPr>
            </w:pPr>
            <w:r>
              <w:rPr>
                <w:rFonts w:ascii="宋体" w:hAnsi="宋体" w:eastAsia="宋体" w:cs="宋体"/>
                <w:sz w:val="21"/>
                <w:szCs w:val="21"/>
              </w:rPr>
              <w:t>依赖训练阶段的全局信息，协作关系多由共享回报或价值分解隐式形成，难以明确区域协作职责。</w:t>
            </w:r>
          </w:p>
        </w:tc>
      </w:tr>
      <w:tr w14:paraId="5E352C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bottom w:val="nil"/>
            </w:tcBorders>
            <w:vAlign w:val="center"/>
          </w:tcPr>
          <w:p w14:paraId="16983261">
            <w:pPr>
              <w:jc w:val="center"/>
              <w:rPr>
                <w:rFonts w:hint="eastAsia" w:ascii="宋体" w:hAnsi="宋体" w:eastAsia="宋体" w:cs="宋体"/>
                <w:sz w:val="21"/>
                <w:szCs w:val="21"/>
              </w:rPr>
            </w:pPr>
            <w:r>
              <w:rPr>
                <w:rFonts w:ascii="宋体" w:hAnsi="宋体" w:eastAsia="宋体" w:cs="宋体"/>
                <w:sz w:val="21"/>
                <w:szCs w:val="21"/>
              </w:rPr>
              <w:t>通信机制</w:t>
            </w:r>
          </w:p>
          <w:p w14:paraId="34220159">
            <w:pPr>
              <w:jc w:val="center"/>
              <w:rPr>
                <w:rFonts w:eastAsiaTheme="minorEastAsia"/>
                <w:sz w:val="21"/>
                <w:szCs w:val="21"/>
              </w:rPr>
            </w:pPr>
            <w:r>
              <w:rPr>
                <w:rFonts w:ascii="宋体" w:hAnsi="宋体" w:eastAsia="宋体" w:cs="宋体"/>
                <w:sz w:val="21"/>
                <w:szCs w:val="21"/>
              </w:rPr>
              <w:t>增强方法</w:t>
            </w:r>
          </w:p>
        </w:tc>
        <w:tc>
          <w:tcPr>
            <w:tcW w:w="1134" w:type="dxa"/>
            <w:tcBorders>
              <w:top w:val="nil"/>
              <w:bottom w:val="nil"/>
            </w:tcBorders>
            <w:vAlign w:val="center"/>
          </w:tcPr>
          <w:p w14:paraId="179A7B31">
            <w:pPr>
              <w:jc w:val="center"/>
              <w:rPr>
                <w:rFonts w:eastAsiaTheme="minorEastAsia"/>
                <w:sz w:val="21"/>
                <w:szCs w:val="21"/>
              </w:rPr>
            </w:pPr>
            <w:r>
              <w:rPr>
                <w:rFonts w:eastAsia="Times New Roman"/>
                <w:sz w:val="21"/>
                <w:szCs w:val="21"/>
              </w:rPr>
              <w:fldChar w:fldCharType="begin" w:fldLock="1"/>
            </w:r>
            <w:r>
              <w:rPr>
                <w:rFonts w:eastAsiaTheme="minorEastAsia"/>
                <w:sz w:val="21"/>
                <w:szCs w:val="21"/>
              </w:rPr>
              <w:instrText xml:space="preserve"> REF _Ref226556031 \r \h </w:instrText>
            </w:r>
            <w:r>
              <w:rPr>
                <w:rFonts w:eastAsia="Times New Roman"/>
                <w:sz w:val="21"/>
                <w:szCs w:val="21"/>
              </w:rPr>
              <w:fldChar w:fldCharType="separate"/>
            </w:r>
            <w:r>
              <w:rPr>
                <w:rFonts w:eastAsiaTheme="minorEastAsia"/>
                <w:sz w:val="21"/>
                <w:szCs w:val="21"/>
              </w:rPr>
              <w:t>[65]</w:t>
            </w:r>
            <w:r>
              <w:rPr>
                <w:rFonts w:eastAsia="Times New Roman"/>
                <w:sz w:val="21"/>
                <w:szCs w:val="21"/>
              </w:rPr>
              <w:fldChar w:fldCharType="end"/>
            </w:r>
          </w:p>
        </w:tc>
        <w:tc>
          <w:tcPr>
            <w:tcW w:w="2977" w:type="dxa"/>
            <w:tcBorders>
              <w:top w:val="nil"/>
              <w:bottom w:val="nil"/>
            </w:tcBorders>
            <w:vAlign w:val="center"/>
          </w:tcPr>
          <w:p w14:paraId="1C74C1B2">
            <w:pPr>
              <w:jc w:val="center"/>
              <w:rPr>
                <w:rFonts w:eastAsia="Times New Roman"/>
                <w:sz w:val="21"/>
                <w:szCs w:val="21"/>
              </w:rPr>
            </w:pPr>
            <w:r>
              <w:rPr>
                <w:rFonts w:ascii="宋体" w:hAnsi="宋体" w:eastAsia="宋体" w:cs="宋体"/>
                <w:sz w:val="21"/>
                <w:szCs w:val="21"/>
              </w:rPr>
              <w:t>通过学习通信对象、通信时机和消息融合方式，增强多智能体之间的信息交互能力。</w:t>
            </w:r>
          </w:p>
        </w:tc>
        <w:tc>
          <w:tcPr>
            <w:tcW w:w="3027" w:type="dxa"/>
            <w:tcBorders>
              <w:top w:val="nil"/>
              <w:bottom w:val="nil"/>
            </w:tcBorders>
            <w:vAlign w:val="center"/>
          </w:tcPr>
          <w:p w14:paraId="46379AA9">
            <w:pPr>
              <w:jc w:val="center"/>
              <w:rPr>
                <w:rFonts w:eastAsiaTheme="minorEastAsia"/>
                <w:sz w:val="21"/>
                <w:szCs w:val="21"/>
              </w:rPr>
            </w:pPr>
            <w:r>
              <w:rPr>
                <w:rFonts w:ascii="宋体" w:hAnsi="宋体" w:eastAsia="宋体" w:cs="宋体"/>
                <w:sz w:val="21"/>
                <w:szCs w:val="21"/>
              </w:rPr>
              <w:t>依赖在线通信与同步机制，难以在跨域链路受限或信息共享受约束的场景下稳定应用。</w:t>
            </w:r>
          </w:p>
        </w:tc>
      </w:tr>
      <w:tr w14:paraId="3E921D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bottom w:val="nil"/>
            </w:tcBorders>
            <w:vAlign w:val="center"/>
          </w:tcPr>
          <w:p w14:paraId="66A3748E">
            <w:pPr>
              <w:jc w:val="center"/>
              <w:rPr>
                <w:rFonts w:hint="eastAsia" w:ascii="宋体" w:hAnsi="宋体" w:eastAsia="宋体" w:cs="宋体"/>
                <w:sz w:val="21"/>
                <w:szCs w:val="21"/>
              </w:rPr>
            </w:pPr>
            <w:r>
              <w:rPr>
                <w:rFonts w:ascii="宋体" w:hAnsi="宋体" w:eastAsia="宋体" w:cs="宋体"/>
                <w:sz w:val="21"/>
                <w:szCs w:val="21"/>
              </w:rPr>
              <w:t>层级任务</w:t>
            </w:r>
          </w:p>
          <w:p w14:paraId="39045B10">
            <w:pPr>
              <w:jc w:val="center"/>
              <w:rPr>
                <w:rFonts w:eastAsia="Times New Roman"/>
                <w:sz w:val="21"/>
                <w:szCs w:val="21"/>
              </w:rPr>
            </w:pPr>
            <w:r>
              <w:rPr>
                <w:rFonts w:ascii="宋体" w:hAnsi="宋体" w:eastAsia="宋体" w:cs="宋体"/>
                <w:sz w:val="21"/>
                <w:szCs w:val="21"/>
              </w:rPr>
              <w:t>分解方法</w:t>
            </w:r>
          </w:p>
        </w:tc>
        <w:tc>
          <w:tcPr>
            <w:tcW w:w="1134" w:type="dxa"/>
            <w:tcBorders>
              <w:top w:val="nil"/>
              <w:bottom w:val="nil"/>
            </w:tcBorders>
            <w:vAlign w:val="center"/>
          </w:tcPr>
          <w:p w14:paraId="77263D31">
            <w:pPr>
              <w:jc w:val="center"/>
              <w:rPr>
                <w:rFonts w:eastAsiaTheme="minorEastAsia"/>
                <w:sz w:val="21"/>
                <w:szCs w:val="21"/>
              </w:rPr>
            </w:pPr>
            <w:r>
              <w:rPr>
                <w:rFonts w:eastAsia="Times New Roman"/>
                <w:sz w:val="21"/>
                <w:szCs w:val="21"/>
              </w:rPr>
              <w:fldChar w:fldCharType="begin" w:fldLock="1"/>
            </w:r>
            <w:r>
              <w:rPr>
                <w:rFonts w:eastAsiaTheme="minorEastAsia"/>
                <w:sz w:val="21"/>
                <w:szCs w:val="21"/>
              </w:rPr>
              <w:instrText xml:space="preserve"> REF _Ref225459363 \r \h </w:instrText>
            </w:r>
            <w:r>
              <w:rPr>
                <w:rFonts w:eastAsia="Times New Roman"/>
                <w:sz w:val="21"/>
                <w:szCs w:val="21"/>
              </w:rPr>
              <w:fldChar w:fldCharType="separate"/>
            </w:r>
            <w:r>
              <w:rPr>
                <w:rFonts w:eastAsiaTheme="minorEastAsia"/>
                <w:sz w:val="21"/>
                <w:szCs w:val="21"/>
              </w:rPr>
              <w:t>[66]</w:t>
            </w:r>
            <w:r>
              <w:rPr>
                <w:rFonts w:eastAsia="Times New Roman"/>
                <w:sz w:val="21"/>
                <w:szCs w:val="21"/>
              </w:rPr>
              <w:fldChar w:fldCharType="end"/>
            </w:r>
          </w:p>
        </w:tc>
        <w:tc>
          <w:tcPr>
            <w:tcW w:w="2977" w:type="dxa"/>
            <w:tcBorders>
              <w:top w:val="nil"/>
              <w:bottom w:val="nil"/>
            </w:tcBorders>
            <w:vAlign w:val="center"/>
          </w:tcPr>
          <w:p w14:paraId="11066C7A">
            <w:pPr>
              <w:jc w:val="center"/>
              <w:rPr>
                <w:rFonts w:eastAsia="Times New Roman"/>
                <w:sz w:val="21"/>
                <w:szCs w:val="21"/>
              </w:rPr>
            </w:pPr>
            <w:r>
              <w:rPr>
                <w:rFonts w:ascii="宋体" w:hAnsi="宋体" w:eastAsia="宋体" w:cs="宋体"/>
                <w:sz w:val="21"/>
                <w:szCs w:val="21"/>
              </w:rPr>
              <w:t>将复杂防御任务划分为若干子任务，通过上层调度和下层策略实现分层协作。</w:t>
            </w:r>
          </w:p>
        </w:tc>
        <w:tc>
          <w:tcPr>
            <w:tcW w:w="3027" w:type="dxa"/>
            <w:tcBorders>
              <w:top w:val="nil"/>
              <w:bottom w:val="nil"/>
            </w:tcBorders>
            <w:vAlign w:val="center"/>
          </w:tcPr>
          <w:p w14:paraId="3E7C388C">
            <w:pPr>
              <w:jc w:val="center"/>
              <w:rPr>
                <w:rFonts w:eastAsiaTheme="minorEastAsia"/>
                <w:sz w:val="21"/>
                <w:szCs w:val="21"/>
              </w:rPr>
            </w:pPr>
            <w:r>
              <w:rPr>
                <w:rFonts w:ascii="宋体" w:hAnsi="宋体" w:eastAsia="宋体" w:cs="宋体"/>
                <w:sz w:val="21"/>
                <w:szCs w:val="21"/>
              </w:rPr>
              <w:t>依赖预设任务结构和分流规则，当攻击阶段变化或线索稀疏时，协作调度偏差难以及时纠正。</w:t>
            </w:r>
          </w:p>
        </w:tc>
      </w:tr>
      <w:tr w14:paraId="36BFDB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4" w:type="dxa"/>
            <w:tcBorders>
              <w:top w:val="nil"/>
              <w:bottom w:val="single" w:color="auto" w:sz="12" w:space="0"/>
            </w:tcBorders>
            <w:vAlign w:val="center"/>
          </w:tcPr>
          <w:p w14:paraId="5BF7D7FE">
            <w:pPr>
              <w:jc w:val="center"/>
              <w:rPr>
                <w:rFonts w:hint="eastAsia" w:ascii="宋体" w:hAnsi="宋体" w:eastAsia="宋体" w:cs="宋体"/>
                <w:sz w:val="21"/>
                <w:szCs w:val="21"/>
              </w:rPr>
            </w:pPr>
            <w:r>
              <w:rPr>
                <w:rFonts w:ascii="宋体" w:hAnsi="宋体" w:eastAsia="宋体" w:cs="宋体"/>
                <w:sz w:val="21"/>
                <w:szCs w:val="21"/>
              </w:rPr>
              <w:t>大模型辅助高层协作</w:t>
            </w:r>
          </w:p>
          <w:p w14:paraId="45A71F5F">
            <w:pPr>
              <w:jc w:val="center"/>
              <w:rPr>
                <w:rFonts w:hint="eastAsia" w:ascii="宋体" w:hAnsi="宋体" w:eastAsia="宋体" w:cs="宋体"/>
                <w:sz w:val="21"/>
                <w:szCs w:val="21"/>
              </w:rPr>
            </w:pPr>
            <w:r>
              <w:rPr>
                <w:rFonts w:ascii="宋体" w:hAnsi="宋体" w:eastAsia="宋体" w:cs="宋体"/>
                <w:sz w:val="21"/>
                <w:szCs w:val="21"/>
              </w:rPr>
              <w:t>引导方法</w:t>
            </w:r>
          </w:p>
        </w:tc>
        <w:tc>
          <w:tcPr>
            <w:tcW w:w="1134" w:type="dxa"/>
            <w:tcBorders>
              <w:top w:val="nil"/>
              <w:bottom w:val="single" w:color="auto" w:sz="12" w:space="0"/>
            </w:tcBorders>
            <w:vAlign w:val="center"/>
          </w:tcPr>
          <w:p w14:paraId="376B59BA">
            <w:pPr>
              <w:jc w:val="center"/>
              <w:rPr>
                <w:rFonts w:eastAsia="Times New Roman"/>
                <w:sz w:val="21"/>
                <w:szCs w:val="21"/>
              </w:rPr>
            </w:pPr>
            <w:r>
              <w:rPr>
                <w:rFonts w:eastAsia="Times New Roman"/>
                <w:sz w:val="21"/>
                <w:szCs w:val="21"/>
              </w:rPr>
              <w:fldChar w:fldCharType="begin" w:fldLock="1"/>
            </w:r>
            <w:r>
              <w:rPr>
                <w:rFonts w:eastAsia="Times New Roman"/>
                <w:sz w:val="21"/>
                <w:szCs w:val="21"/>
              </w:rPr>
              <w:instrText xml:space="preserve"> REF _Ref226556052 \r \h </w:instrText>
            </w:r>
            <w:r>
              <w:rPr>
                <w:rFonts w:eastAsia="Times New Roman"/>
                <w:sz w:val="21"/>
                <w:szCs w:val="21"/>
              </w:rPr>
              <w:fldChar w:fldCharType="separate"/>
            </w:r>
            <w:r>
              <w:rPr>
                <w:rFonts w:eastAsia="Times New Roman"/>
                <w:sz w:val="21"/>
                <w:szCs w:val="21"/>
              </w:rPr>
              <w:t>[67</w:t>
            </w:r>
            <w:r>
              <w:rPr>
                <w:rFonts w:hint="eastAsia" w:eastAsiaTheme="minorEastAsia"/>
                <w:sz w:val="21"/>
                <w:szCs w:val="21"/>
              </w:rPr>
              <w:t>-</w:t>
            </w:r>
            <w:r>
              <w:rPr>
                <w:rFonts w:eastAsia="Times New Roman"/>
                <w:sz w:val="21"/>
                <w:szCs w:val="21"/>
              </w:rPr>
              <w:fldChar w:fldCharType="end"/>
            </w:r>
            <w:r>
              <w:rPr>
                <w:rFonts w:eastAsia="Times New Roman"/>
                <w:sz w:val="21"/>
                <w:szCs w:val="21"/>
              </w:rPr>
              <w:fldChar w:fldCharType="begin" w:fldLock="1"/>
            </w:r>
            <w:r>
              <w:rPr>
                <w:rFonts w:eastAsiaTheme="minorEastAsia"/>
                <w:sz w:val="21"/>
                <w:szCs w:val="21"/>
              </w:rPr>
              <w:instrText xml:space="preserve"> REF _Ref225459410 \r \h </w:instrText>
            </w:r>
            <w:r>
              <w:rPr>
                <w:rFonts w:eastAsia="Times New Roman"/>
                <w:sz w:val="21"/>
                <w:szCs w:val="21"/>
              </w:rPr>
              <w:fldChar w:fldCharType="separate"/>
            </w:r>
            <w:r>
              <w:rPr>
                <w:rFonts w:eastAsiaTheme="minorEastAsia"/>
                <w:sz w:val="21"/>
                <w:szCs w:val="21"/>
              </w:rPr>
              <w:t>68]</w:t>
            </w:r>
            <w:r>
              <w:rPr>
                <w:rFonts w:eastAsia="Times New Roman"/>
                <w:sz w:val="21"/>
                <w:szCs w:val="21"/>
              </w:rPr>
              <w:fldChar w:fldCharType="end"/>
            </w:r>
          </w:p>
        </w:tc>
        <w:tc>
          <w:tcPr>
            <w:tcW w:w="2977" w:type="dxa"/>
            <w:tcBorders>
              <w:top w:val="nil"/>
              <w:bottom w:val="single" w:color="auto" w:sz="12" w:space="0"/>
            </w:tcBorders>
            <w:vAlign w:val="center"/>
          </w:tcPr>
          <w:p w14:paraId="2C5E02B9">
            <w:pPr>
              <w:jc w:val="center"/>
              <w:rPr>
                <w:rFonts w:hint="eastAsia" w:ascii="宋体" w:hAnsi="宋体" w:eastAsia="宋体" w:cs="宋体"/>
                <w:sz w:val="21"/>
                <w:szCs w:val="21"/>
              </w:rPr>
            </w:pPr>
            <w:r>
              <w:rPr>
                <w:rFonts w:ascii="宋体" w:hAnsi="宋体" w:eastAsia="宋体" w:cs="宋体"/>
                <w:sz w:val="21"/>
                <w:szCs w:val="21"/>
              </w:rPr>
              <w:t>利用大模型生成阶段性子目标、任务分配或协作引导信息，再由多智能体策略完成执行。</w:t>
            </w:r>
          </w:p>
        </w:tc>
        <w:tc>
          <w:tcPr>
            <w:tcW w:w="3027" w:type="dxa"/>
            <w:tcBorders>
              <w:top w:val="nil"/>
              <w:bottom w:val="single" w:color="auto" w:sz="12" w:space="0"/>
            </w:tcBorders>
            <w:vAlign w:val="center"/>
          </w:tcPr>
          <w:p w14:paraId="2D9B37FE">
            <w:pPr>
              <w:jc w:val="center"/>
              <w:rPr>
                <w:rFonts w:hint="eastAsia" w:ascii="宋体" w:hAnsi="宋体" w:eastAsia="宋体" w:cs="宋体"/>
                <w:sz w:val="21"/>
                <w:szCs w:val="21"/>
              </w:rPr>
            </w:pPr>
            <w:r>
              <w:rPr>
                <w:rFonts w:ascii="宋体" w:hAnsi="宋体" w:eastAsia="宋体" w:cs="宋体"/>
                <w:sz w:val="21"/>
                <w:szCs w:val="21"/>
              </w:rPr>
              <w:t>侧重任务分解与分配，难以支撑</w:t>
            </w:r>
            <w:r>
              <w:rPr>
                <w:rFonts w:eastAsia="宋体" w:cs="Times New Roman"/>
                <w:sz w:val="21"/>
                <w:szCs w:val="21"/>
              </w:rPr>
              <w:t>APT</w:t>
            </w:r>
            <w:r>
              <w:rPr>
                <w:rFonts w:ascii="宋体" w:hAnsi="宋体" w:eastAsia="宋体" w:cs="宋体"/>
                <w:sz w:val="21"/>
                <w:szCs w:val="21"/>
              </w:rPr>
              <w:t>跨区域检测中基于证据变化的持续判断与</w:t>
            </w:r>
            <w:r>
              <w:rPr>
                <w:rFonts w:hint="eastAsia" w:ascii="宋体" w:hAnsi="宋体" w:eastAsia="宋体" w:cs="宋体"/>
                <w:sz w:val="21"/>
                <w:szCs w:val="21"/>
              </w:rPr>
              <w:t>区域协作</w:t>
            </w:r>
            <w:r>
              <w:rPr>
                <w:rFonts w:ascii="宋体" w:hAnsi="宋体" w:eastAsia="宋体" w:cs="宋体"/>
                <w:sz w:val="21"/>
                <w:szCs w:val="21"/>
              </w:rPr>
              <w:t>。</w:t>
            </w:r>
          </w:p>
        </w:tc>
      </w:tr>
    </w:tbl>
    <w:p w14:paraId="06C860F3">
      <w:pPr>
        <w:spacing w:before="156" w:beforeLines="50"/>
        <w:ind w:firstLine="480" w:firstLineChars="200"/>
      </w:pPr>
      <w:r>
        <w:t>在集中训练、分散执行框架下，现有研究通常利用训练阶段可获得的全局状态、联合观测或共享信息完成策略学习，并在执行阶段由各智能体</w:t>
      </w:r>
      <w:r>
        <w:rPr>
          <w:rFonts w:hint="eastAsia"/>
        </w:rPr>
        <w:t>根据</w:t>
      </w:r>
      <w:r>
        <w:t>本地观测独立完成动作选择。Yu等人</w:t>
      </w:r>
      <w:r>
        <w:rPr>
          <w:vertAlign w:val="superscript"/>
        </w:rPr>
        <w:fldChar w:fldCharType="begin" w:fldLock="1"/>
      </w:r>
      <w:r>
        <w:rPr>
          <w:vertAlign w:val="superscript"/>
        </w:rPr>
        <w:instrText xml:space="preserve"> REF _Ref225458907 \r \h  \* MERGEFORMAT </w:instrText>
      </w:r>
      <w:r>
        <w:rPr>
          <w:vertAlign w:val="superscript"/>
        </w:rPr>
        <w:fldChar w:fldCharType="separate"/>
      </w:r>
      <w:r>
        <w:rPr>
          <w:vertAlign w:val="superscript"/>
        </w:rPr>
        <w:t>[61]</w:t>
      </w:r>
      <w:r>
        <w:rPr>
          <w:vertAlign w:val="superscript"/>
        </w:rPr>
        <w:fldChar w:fldCharType="end"/>
      </w:r>
      <w:r>
        <w:t>系统分析了PPO在协作多智能体场景中的应用效果，并</w:t>
      </w:r>
      <w:r>
        <w:rPr>
          <w:rFonts w:hint="eastAsia"/>
        </w:rPr>
        <w:t>总结</w:t>
      </w:r>
      <w:r>
        <w:t>了MAPPO与IPPO等典型实现形式，表明基于PPO的协作优化方法在多种多智能体任务中具有较好的稳定性与实用性；Kuba等人</w:t>
      </w:r>
      <w:r>
        <w:rPr>
          <w:vertAlign w:val="superscript"/>
        </w:rPr>
        <w:fldChar w:fldCharType="begin" w:fldLock="1"/>
      </w:r>
      <w:r>
        <w:rPr>
          <w:vertAlign w:val="superscript"/>
        </w:rPr>
        <w:instrText xml:space="preserve"> REF _Ref226555969 \r \h  \* MERGEFORMAT </w:instrText>
      </w:r>
      <w:r>
        <w:rPr>
          <w:vertAlign w:val="superscript"/>
        </w:rPr>
        <w:fldChar w:fldCharType="separate"/>
      </w:r>
      <w:r>
        <w:rPr>
          <w:vertAlign w:val="superscript"/>
        </w:rPr>
        <w:t>[62]</w:t>
      </w:r>
      <w:r>
        <w:rPr>
          <w:vertAlign w:val="superscript"/>
        </w:rPr>
        <w:fldChar w:fldCharType="end"/>
      </w:r>
      <w:r>
        <w:t>进一步提出HATRPO和HAPPO，通过多智能体优势分解与顺序策略更新实现信赖域约束下的联合优化；Wang等人</w:t>
      </w:r>
      <w:r>
        <w:rPr>
          <w:vertAlign w:val="superscript"/>
        </w:rPr>
        <w:fldChar w:fldCharType="begin" w:fldLock="1"/>
      </w:r>
      <w:r>
        <w:rPr>
          <w:vertAlign w:val="superscript"/>
        </w:rPr>
        <w:instrText xml:space="preserve"> REF _Ref226556015 \r \h  \* MERGEFORMAT </w:instrText>
      </w:r>
      <w:r>
        <w:rPr>
          <w:vertAlign w:val="superscript"/>
        </w:rPr>
        <w:fldChar w:fldCharType="separate"/>
      </w:r>
      <w:r>
        <w:rPr>
          <w:vertAlign w:val="superscript"/>
        </w:rPr>
        <w:t>[63]</w:t>
      </w:r>
      <w:r>
        <w:rPr>
          <w:vertAlign w:val="superscript"/>
        </w:rPr>
        <w:fldChar w:fldCharType="end"/>
      </w:r>
      <w:r>
        <w:t>则提出QPLEX方法，在价值分解框架下增强了联合价值函数的表达能力。此外，Zhang等</w:t>
      </w:r>
      <w:r>
        <w:rPr>
          <w:rFonts w:hint="eastAsia"/>
        </w:rPr>
        <w:t>人</w:t>
      </w:r>
      <w:r>
        <w:rPr>
          <w:vertAlign w:val="superscript"/>
        </w:rPr>
        <w:fldChar w:fldCharType="begin" w:fldLock="1"/>
      </w:r>
      <w:r>
        <w:rPr>
          <w:vertAlign w:val="superscript"/>
        </w:rPr>
        <w:instrText xml:space="preserve"> </w:instrText>
      </w:r>
      <w:r>
        <w:rPr>
          <w:rFonts w:hint="eastAsia"/>
          <w:vertAlign w:val="superscript"/>
        </w:rPr>
        <w:instrText xml:space="preserve">REF _Ref229858100 \r \h</w:instrText>
      </w:r>
      <w:r>
        <w:rPr>
          <w:vertAlign w:val="superscript"/>
        </w:rPr>
        <w:instrText xml:space="preserve">  \* MERGEFORMAT </w:instrText>
      </w:r>
      <w:r>
        <w:rPr>
          <w:vertAlign w:val="superscript"/>
        </w:rPr>
        <w:fldChar w:fldCharType="separate"/>
      </w:r>
      <w:r>
        <w:rPr>
          <w:vertAlign w:val="superscript"/>
        </w:rPr>
        <w:t>[64]</w:t>
      </w:r>
      <w:r>
        <w:rPr>
          <w:vertAlign w:val="superscript"/>
        </w:rPr>
        <w:fldChar w:fldCharType="end"/>
      </w:r>
      <w:r>
        <w:t>提出FedMarl方法，将联邦学习中的客户端选择建模为多智能体强化学习问题，并在客户端选择过程中综合考虑模型效果、处理时延和通信成本。</w:t>
      </w:r>
      <w:r>
        <w:rPr>
          <w:rFonts w:hint="eastAsia"/>
        </w:rPr>
        <w:t>这</w:t>
      </w:r>
      <w:r>
        <w:t>类方法能够在共享回报驱动下实现较为稳定的联合优化，是现有多智能体协作学习的重要基础，但其协作关系大多通过共享回报、价值分解或参数耦合隐式形成，因而难以直接</w:t>
      </w:r>
      <w:r>
        <w:rPr>
          <w:rFonts w:hint="eastAsia"/>
        </w:rPr>
        <w:t>表现角色</w:t>
      </w:r>
      <w:r>
        <w:t>分工、任务优先级及职责边界等更明确的协作信息。同时，</w:t>
      </w:r>
      <w:r>
        <w:rPr>
          <w:rFonts w:hint="eastAsia"/>
        </w:rPr>
        <w:t>现有</w:t>
      </w:r>
      <w:r>
        <w:t>方法需要在训练阶段获得较充分的全局信息，或主要面向模型训练、资源选择等协同优化任务，难以直接</w:t>
      </w:r>
      <w:r>
        <w:rPr>
          <w:rFonts w:hint="eastAsia"/>
        </w:rPr>
        <w:t>满足</w:t>
      </w:r>
      <w:r>
        <w:t>APT跨区域检测中的阶段判断、证据核验和联动处置</w:t>
      </w:r>
      <w:r>
        <w:rPr>
          <w:rFonts w:hint="eastAsia"/>
        </w:rPr>
        <w:t>的</w:t>
      </w:r>
      <w:r>
        <w:t>需求。</w:t>
      </w:r>
    </w:p>
    <w:p w14:paraId="503C0F5C">
      <w:pPr>
        <w:ind w:firstLine="480" w:firstLineChars="200"/>
      </w:pPr>
      <w:r>
        <w:t>除联合优化方式外，现有研究还常通过通信机制或层级任务分解增强多智能体之间的协作能力。Niu等人</w:t>
      </w:r>
      <w:r>
        <w:rPr>
          <w:vertAlign w:val="superscript"/>
        </w:rPr>
        <w:fldChar w:fldCharType="begin" w:fldLock="1"/>
      </w:r>
      <w:r>
        <w:rPr>
          <w:vertAlign w:val="superscript"/>
        </w:rPr>
        <w:instrText xml:space="preserve"> REF _Ref226556031 \r \h  \* MERGEFORMAT </w:instrText>
      </w:r>
      <w:r>
        <w:rPr>
          <w:vertAlign w:val="superscript"/>
        </w:rPr>
        <w:fldChar w:fldCharType="separate"/>
      </w:r>
      <w:r>
        <w:rPr>
          <w:vertAlign w:val="superscript"/>
        </w:rPr>
        <w:t>[65]</w:t>
      </w:r>
      <w:r>
        <w:rPr>
          <w:vertAlign w:val="superscript"/>
        </w:rPr>
        <w:fldChar w:fldCharType="end"/>
      </w:r>
      <w:r>
        <w:t>提出基于图注意力的多智能体通信与协作框架，通过对“通信</w:t>
      </w:r>
      <w:r>
        <w:rPr>
          <w:rFonts w:hint="eastAsia"/>
        </w:rPr>
        <w:t>时机</w:t>
      </w:r>
      <w:r>
        <w:t>、</w:t>
      </w:r>
      <w:r>
        <w:rPr>
          <w:rFonts w:hint="eastAsia"/>
        </w:rPr>
        <w:t>目标</w:t>
      </w:r>
      <w:r>
        <w:t>通信</w:t>
      </w:r>
      <w:r>
        <w:rPr>
          <w:rFonts w:hint="eastAsia"/>
        </w:rPr>
        <w:t>对象</w:t>
      </w:r>
      <w:r>
        <w:t>以及如何融合消息”进行联合建模，提高了协作过程中的信息交互能力；Singh等人</w:t>
      </w:r>
      <w:r>
        <w:rPr>
          <w:vertAlign w:val="superscript"/>
        </w:rPr>
        <w:fldChar w:fldCharType="begin" w:fldLock="1"/>
      </w:r>
      <w:r>
        <w:rPr>
          <w:vertAlign w:val="superscript"/>
        </w:rPr>
        <w:instrText xml:space="preserve"> REF _Ref225459363 \r \h  \* MERGEFORMAT </w:instrText>
      </w:r>
      <w:r>
        <w:rPr>
          <w:vertAlign w:val="superscript"/>
        </w:rPr>
        <w:fldChar w:fldCharType="separate"/>
      </w:r>
      <w:r>
        <w:rPr>
          <w:vertAlign w:val="superscript"/>
        </w:rPr>
        <w:t>[66]</w:t>
      </w:r>
      <w:r>
        <w:rPr>
          <w:vertAlign w:val="superscript"/>
        </w:rPr>
        <w:fldChar w:fldCharType="end"/>
      </w:r>
      <w:r>
        <w:t>针对网络安全防御任务，提出层级多智能体强化学习方法，将复杂防御过程划分为若干子任务，并通过上层调度与下层执行相结合的方式完成联合防御。相较于仅依赖共享回报进行端到端优化的方法，这类研究能够在一定程度上增强协作过程中的信息交互与任务组织能力，对复杂场景下的多主体协作具有一定优势；但其协作过程通常较依赖在线通信、同步机制或预先设定的任务结构，当跨区域链路受限、信息共享受约束或协作目标随场景变化时，方法的适应性与可控性仍然</w:t>
      </w:r>
      <w:r>
        <w:rPr>
          <w:rFonts w:hint="eastAsia"/>
        </w:rPr>
        <w:t>容易</w:t>
      </w:r>
      <w:r>
        <w:t>受到限制。</w:t>
      </w:r>
      <w:r>
        <w:rPr>
          <w:rFonts w:hint="eastAsia"/>
        </w:rPr>
        <w:t>此外，</w:t>
      </w:r>
      <w:r>
        <w:t>对于APT跨区域协同检测而言，协作过程不仅需要提升信息共享效率，还需要结合不同区域的检测证据判断攻击阶段、确定核验重点并控制联动处置范围，因此仅依赖通信结构学习或预设子任务划分仍然存在一定局限。</w:t>
      </w:r>
    </w:p>
    <w:p w14:paraId="2B262865">
      <w:pPr>
        <w:ind w:firstLine="480" w:firstLineChars="200"/>
      </w:pPr>
      <w:r>
        <w:t>近年来，随着大模型能力的提升，部分研究开始尝试将大模型引入多智能体协作过程。Geng等人</w:t>
      </w:r>
      <w:r>
        <w:rPr>
          <w:vertAlign w:val="superscript"/>
        </w:rPr>
        <w:fldChar w:fldCharType="begin" w:fldLock="1"/>
      </w:r>
      <w:r>
        <w:rPr>
          <w:vertAlign w:val="superscript"/>
        </w:rPr>
        <w:instrText xml:space="preserve"> REF _Ref226556052 \r \h  \* MERGEFORMAT </w:instrText>
      </w:r>
      <w:r>
        <w:rPr>
          <w:vertAlign w:val="superscript"/>
        </w:rPr>
        <w:fldChar w:fldCharType="separate"/>
      </w:r>
      <w:r>
        <w:rPr>
          <w:vertAlign w:val="superscript"/>
        </w:rPr>
        <w:t>[67]</w:t>
      </w:r>
      <w:r>
        <w:rPr>
          <w:vertAlign w:val="superscript"/>
        </w:rPr>
        <w:fldChar w:fldCharType="end"/>
      </w:r>
      <w:r>
        <w:t>提出L2M2框架，由上层大模型生成阶段性子目标与任务分配信息，再由下层多智能体强化学习策略完成执行；Jiang等人</w:t>
      </w:r>
      <w:r>
        <w:rPr>
          <w:vertAlign w:val="superscript"/>
        </w:rPr>
        <w:fldChar w:fldCharType="begin" w:fldLock="1"/>
      </w:r>
      <w:r>
        <w:rPr>
          <w:vertAlign w:val="superscript"/>
        </w:rPr>
        <w:instrText xml:space="preserve"> REF _Ref225459410 \r \h  \* MERGEFORMAT </w:instrText>
      </w:r>
      <w:r>
        <w:rPr>
          <w:vertAlign w:val="superscript"/>
        </w:rPr>
        <w:fldChar w:fldCharType="separate"/>
      </w:r>
      <w:r>
        <w:rPr>
          <w:vertAlign w:val="superscript"/>
        </w:rPr>
        <w:t>[68]</w:t>
      </w:r>
      <w:r>
        <w:rPr>
          <w:vertAlign w:val="superscript"/>
        </w:rPr>
        <w:fldChar w:fldCharType="end"/>
      </w:r>
      <w:r>
        <w:t>进一步将大模型引入网络安全防御场景，通过大模型辅助层级协作决策，以提升多智能体网络防御中的任务分解与协同效率。这些研究表明，大模型有助于为多智能体协作提供更明确的高层引导，使协作过程不再完全依赖共享回报或隐式参数耦合，而能够在一定程度上引入任务分解与协作分工信息；但现有LLM辅助协作方法大多</w:t>
      </w:r>
      <w:r>
        <w:rPr>
          <w:rFonts w:hint="eastAsia"/>
        </w:rPr>
        <w:t>进行</w:t>
      </w:r>
      <w:r>
        <w:t>任务分解与分配，更适用于具有明确子任务划分的协作场景，而对于需要围绕单一协同检测目标开展联合判断与协同决策的任务，其适用性仍存在一定局限。具体而言，APT跨区域协同检测并不是将任务</w:t>
      </w:r>
      <w:r>
        <w:rPr>
          <w:rFonts w:hint="eastAsia"/>
        </w:rPr>
        <w:t>分解</w:t>
      </w:r>
      <w:r>
        <w:t>给不同智能体执行，而是需要根据多区域证据变化持续判断攻击阶段、调整协作重点，并在核验、共享和处置之间进行代价敏感的动态选择。同时，这类方法对协作方案的证据校验、在线纠偏及多目标约束考虑仍不充分，因此在面对APT跨区域协同检测这类持续</w:t>
      </w:r>
      <w:r>
        <w:rPr>
          <w:rFonts w:hint="eastAsia"/>
        </w:rPr>
        <w:t>演进</w:t>
      </w:r>
      <w:r>
        <w:t>且代价敏感的任务时，仍存在进一步改进空间。</w:t>
      </w:r>
    </w:p>
    <w:p w14:paraId="17303641">
      <w:pPr>
        <w:ind w:firstLine="480" w:firstLineChars="200"/>
      </w:pPr>
      <w:r>
        <w:t>综上所述，现有多智能体强化学习协作方法在联合优化、通信协作、层级任务分解以及LLM辅助协作等方面已取得一定进展，但仍存在以下问题：</w:t>
      </w:r>
      <w:r>
        <w:rPr>
          <w:rFonts w:hint="eastAsia"/>
        </w:rPr>
        <w:t>1）</w:t>
      </w:r>
      <w:r>
        <w:t>现有方法中的协作关系大多通过共享回报、价值分解、参数耦合或消息交互隐式形成，缺乏对区域协作职责、任务优先级和联动处置边界的显式建模，因而难以形成清晰、可控且可解释的协作方式；</w:t>
      </w:r>
      <w:r>
        <w:rPr>
          <w:rFonts w:hint="eastAsia"/>
        </w:rPr>
        <w:t>2）</w:t>
      </w:r>
      <w:r>
        <w:t>现有方法通常默认训练阶段能够获得较充分的全局信息，或依赖较频繁的在线通信与同步机制，因此在跨域信息共享受限、链路存在时延及代价约束的场景下，其协作能力容易受到限制；</w:t>
      </w:r>
      <w:r>
        <w:rPr>
          <w:rFonts w:hint="eastAsia"/>
        </w:rPr>
        <w:t>3）</w:t>
      </w:r>
      <w:r>
        <w:t>现有方法多依赖累计回报或局部观测进行策略更新，缺少基于证据约束的在线纠偏机制，也未同时兼顾时效性、资源消耗、业务扰动和联动风险等因素，因此仍难以满足APT跨区域协同检测对及时性、</w:t>
      </w:r>
      <w:r>
        <w:rPr>
          <w:rFonts w:hint="eastAsia"/>
        </w:rPr>
        <w:t>准确性</w:t>
      </w:r>
      <w:r>
        <w:t>和</w:t>
      </w:r>
      <w:r>
        <w:rPr>
          <w:rFonts w:hint="eastAsia"/>
        </w:rPr>
        <w:t>稳定性</w:t>
      </w:r>
      <w:r>
        <w:t>的综合</w:t>
      </w:r>
      <w:r>
        <w:rPr>
          <w:rFonts w:hint="eastAsia"/>
        </w:rPr>
        <w:t>需求</w:t>
      </w:r>
      <w:r>
        <w:t>。</w:t>
      </w:r>
    </w:p>
    <w:p w14:paraId="205E297D">
      <w:pPr>
        <w:pStyle w:val="3"/>
      </w:pPr>
      <w:bookmarkStart w:id="19" w:name="_Toc230086337"/>
      <w:bookmarkStart w:id="20" w:name="_Toc163672072"/>
      <w:bookmarkStart w:id="21" w:name="_Toc68804268"/>
      <w:r>
        <w:rPr>
          <w:rFonts w:hint="eastAsia"/>
        </w:rPr>
        <w:t>1.3 研究挑战</w:t>
      </w:r>
      <w:bookmarkEnd w:id="19"/>
    </w:p>
    <w:p w14:paraId="76864B55">
      <w:pPr>
        <w:ind w:firstLine="480" w:firstLineChars="200"/>
        <w:rPr>
          <w:rFonts w:eastAsia="宋体" w:cs="Times New Roman"/>
          <w:szCs w:val="24"/>
        </w:rPr>
      </w:pPr>
      <w:r>
        <w:rPr>
          <w:rFonts w:hint="eastAsia"/>
        </w:rPr>
        <w:t>新型电力系统APT攻击具有隐蔽性强、阶段持续演进、跨区域渗透和线索异构分散等特点，这使得现有检测方法在特征选择、域内检测和跨域协同等方面仍存在明显不足。结合前文对相关研究现状的分析可以看出，面向新型电力系统的APT检测方法，仍</w:t>
      </w:r>
      <w:r>
        <w:rPr>
          <w:rFonts w:hint="eastAsia" w:eastAsia="宋体" w:cs="Times New Roman"/>
          <w:szCs w:val="24"/>
        </w:rPr>
        <w:t>存在以下研究挑战：</w:t>
      </w:r>
    </w:p>
    <w:p w14:paraId="35DC9092">
      <w:pPr>
        <w:ind w:firstLine="482" w:firstLineChars="200"/>
        <w:rPr>
          <w:b/>
          <w:bCs/>
        </w:rPr>
      </w:pPr>
      <w:r>
        <w:rPr>
          <w:rFonts w:hint="eastAsia"/>
          <w:b/>
          <w:bCs/>
        </w:rPr>
        <w:t>（1）如何考虑新型电力系统APT隐匿攻击行为持续演进的特点，以实现对关键特征的自适应选择？</w:t>
      </w:r>
    </w:p>
    <w:p w14:paraId="73B0AA6B">
      <w:pPr>
        <w:ind w:firstLine="480" w:firstLineChars="200"/>
      </w:pPr>
      <w:r>
        <w:t>新型电力系统APT攻击通常</w:t>
      </w:r>
      <w:r>
        <w:rPr>
          <w:rFonts w:hint="eastAsia"/>
        </w:rPr>
        <w:t>呈现</w:t>
      </w:r>
      <w:r>
        <w:t>异常线索微弱、攻击行为持续演进等特点，关键特征会随攻击阶段推进和日志分布变化而不断变化。现有特征选择方法大多仅考虑检测准确性并利用监督学习筛选特征，通常在部署前一次性确定特征集合，难以在APT异常线索微弱且持续演进的情况下有效识别关键特征。如何在弱标注条件下从多源异构日志中提取更具判别力的候选特征，并结合检测反馈实现特征集合的自适应更新，是APT检测特征选择方面的研究挑战。</w:t>
      </w:r>
    </w:p>
    <w:p w14:paraId="6FC4AA13">
      <w:pPr>
        <w:ind w:firstLine="482" w:firstLineChars="200"/>
        <w:rPr>
          <w:b/>
          <w:bCs/>
        </w:rPr>
      </w:pPr>
      <w:r>
        <w:rPr>
          <w:rFonts w:hint="eastAsia"/>
          <w:b/>
          <w:bCs/>
        </w:rPr>
        <w:t>（2）</w:t>
      </w:r>
      <w:r>
        <w:rPr>
          <w:b/>
          <w:bCs/>
        </w:rPr>
        <w:t>如何基于APT行为及其后续演进生成先验候选计划并进行后验优化决策，以有效兼顾攻击检测的准确性和提前预警能力</w:t>
      </w:r>
      <w:r>
        <w:rPr>
          <w:rFonts w:hint="eastAsia"/>
          <w:b/>
          <w:bCs/>
        </w:rPr>
        <w:t>？</w:t>
      </w:r>
    </w:p>
    <w:p w14:paraId="62F1BCE1">
      <w:pPr>
        <w:ind w:firstLine="480" w:firstLineChars="200"/>
      </w:pPr>
      <w:r>
        <w:t>新型电力系统APT攻击通常具有隐蔽性强、持续演进等特点，现有APT检测方法大多仅根据当前观测进行判别，缺乏对当前行为及其后续演进的先验理解，因而难以有效兼顾检测准确性和提前预警能力。现有大模型与强化学习结合方法虽然能够在一定程度上引入语义先验或决策引导，但缺少对候选方案未来影响的前瞻评估，也未能将先验信息、状态演化分析与策略优化过程有效统一。如何在域内APT检测过程中同时结合语义先验、前瞻评估与在线优化，实现对攻击状态的有效判断和及时预警，是APT检测决策方面的研究挑战。</w:t>
      </w:r>
    </w:p>
    <w:p w14:paraId="67AB1AA1">
      <w:pPr>
        <w:ind w:firstLine="482" w:firstLineChars="200"/>
        <w:rPr>
          <w:b/>
          <w:bCs/>
        </w:rPr>
      </w:pPr>
      <w:r>
        <w:rPr>
          <w:rFonts w:hint="eastAsia"/>
          <w:b/>
          <w:bCs/>
        </w:rPr>
        <w:t>（3）</w:t>
      </w:r>
      <w:r>
        <w:rPr>
          <w:b/>
          <w:bCs/>
        </w:rPr>
        <w:t>如何考虑全局状态来规划区域</w:t>
      </w:r>
      <w:r>
        <w:rPr>
          <w:rFonts w:hint="eastAsia"/>
          <w:b/>
          <w:bCs/>
        </w:rPr>
        <w:t>协作方式</w:t>
      </w:r>
      <w:r>
        <w:rPr>
          <w:b/>
          <w:bCs/>
        </w:rPr>
        <w:t>，以实现APT跨区域渗透检测场景下整体协同性和单体灵活性的有效协调？</w:t>
      </w:r>
    </w:p>
    <w:p w14:paraId="566C15BF">
      <w:pPr>
        <w:ind w:firstLine="480" w:firstLineChars="200"/>
      </w:pPr>
      <w:r>
        <w:t>新型电力系统APT攻击通常具有跨区域渗透的特点，相关线索</w:t>
      </w:r>
      <w:r>
        <w:rPr>
          <w:rFonts w:hint="eastAsia"/>
        </w:rPr>
        <w:t>可能</w:t>
      </w:r>
      <w:r>
        <w:t>分散于不同区域，单一区域的检测结果往往难以支撑对整体攻击过程的准确判断。现有多区域检测和多智能体协作方法虽然能够在一定程度上进行联合分析与协同决策，但大多局限于集中式</w:t>
      </w:r>
      <w:r>
        <w:rPr>
          <w:rFonts w:hint="eastAsia"/>
        </w:rPr>
        <w:t>训练</w:t>
      </w:r>
      <w:r>
        <w:t>和分布式独立决策</w:t>
      </w:r>
      <w:r>
        <w:rPr>
          <w:rFonts w:hint="eastAsia"/>
        </w:rPr>
        <w:t>框架</w:t>
      </w:r>
      <w:r>
        <w:t>，且多依赖共享回报</w:t>
      </w:r>
      <w:r>
        <w:rPr>
          <w:rFonts w:hint="eastAsia"/>
        </w:rPr>
        <w:t>、价值分解</w:t>
      </w:r>
      <w:r>
        <w:t>或在线交互形成隐式协同，缺乏统一的证据表示和明确的协作依据，因此难以在APT跨区域渗透场景下有效协调整体协同性和单体灵活性。如何在多区域检测结果基础上形成统一证据表示，并结合攻击阶段变化生成具有协作指向的先验计划，在协作规划约束下实现面向APT跨区域渗透过程的协同检测，是APT跨域协同检测方面的研究挑战。</w:t>
      </w:r>
    </w:p>
    <w:p w14:paraId="78317A51">
      <w:pPr>
        <w:pStyle w:val="3"/>
      </w:pPr>
      <w:bookmarkStart w:id="22" w:name="_Toc230086338"/>
      <w:r>
        <w:rPr>
          <w:rFonts w:hint="eastAsia"/>
        </w:rPr>
        <w:t xml:space="preserve">1.4 </w:t>
      </w:r>
      <w:bookmarkEnd w:id="20"/>
      <w:bookmarkEnd w:id="21"/>
      <w:r>
        <w:rPr>
          <w:rFonts w:hint="eastAsia"/>
        </w:rPr>
        <w:t>本文研究内容</w:t>
      </w:r>
      <w:bookmarkEnd w:id="22"/>
    </w:p>
    <w:p w14:paraId="68D0418C">
      <w:pPr>
        <w:ind w:firstLine="480" w:firstLineChars="200"/>
      </w:pPr>
      <w:r>
        <w:t>针对新型电力系统APT攻击隐蔽性强、阶段持续</w:t>
      </w:r>
      <w:r>
        <w:rPr>
          <w:rFonts w:hint="eastAsia"/>
        </w:rPr>
        <w:t>演进</w:t>
      </w:r>
      <w:r>
        <w:t>、跨区域渗透和线索异构分散等特点，本文</w:t>
      </w:r>
      <w:r>
        <w:rPr>
          <w:rFonts w:hint="eastAsia"/>
        </w:rPr>
        <w:t>针对</w:t>
      </w:r>
      <w:r>
        <w:t>APT检测中的特征</w:t>
      </w:r>
      <w:r>
        <w:rPr>
          <w:rFonts w:hint="eastAsia"/>
        </w:rPr>
        <w:t>选择</w:t>
      </w:r>
      <w:r>
        <w:t>、域内检测和跨域协同三个</w:t>
      </w:r>
      <w:r>
        <w:rPr>
          <w:rFonts w:hint="eastAsia"/>
        </w:rPr>
        <w:t>方面进行</w:t>
      </w:r>
      <w:r>
        <w:t>研究，提出一种结合大模型和预测型强化学习的新型电力系统APT检测方法。本文研究内容</w:t>
      </w:r>
      <w:r>
        <w:rPr>
          <w:rFonts w:hint="eastAsia"/>
        </w:rPr>
        <w:t>如图1.1所示，</w:t>
      </w:r>
      <w:r>
        <w:t>包括以下3个部分：</w:t>
      </w:r>
    </w:p>
    <w:p w14:paraId="1547511D">
      <w:pPr>
        <w:jc w:val="center"/>
      </w:pPr>
      <w:r>
        <w:object>
          <v:shape id="_x0000_i1025" o:spt="75" type="#_x0000_t75" style="height:202.9pt;width:323.65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14:paraId="7FF42C8D">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1.1</w:t>
      </w:r>
      <w:r>
        <w:rPr>
          <w:rFonts w:cs="Times New Roman"/>
          <w:sz w:val="21"/>
          <w:szCs w:val="21"/>
        </w:rPr>
        <w:t xml:space="preserve"> </w:t>
      </w:r>
      <w:r>
        <w:rPr>
          <w:rFonts w:hint="eastAsia" w:cs="Times New Roman"/>
          <w:sz w:val="21"/>
          <w:szCs w:val="21"/>
        </w:rPr>
        <w:t>本文研究内容</w:t>
      </w:r>
    </w:p>
    <w:p w14:paraId="2051AF9E">
      <w:pPr>
        <w:ind w:firstLine="482" w:firstLineChars="200"/>
      </w:pPr>
      <w:r>
        <w:rPr>
          <w:b/>
          <w:bCs/>
        </w:rPr>
        <w:t>（1）研究基于性能反馈的自适应掩码特征选择方法</w:t>
      </w:r>
    </w:p>
    <w:p w14:paraId="0F95829F">
      <w:pPr>
        <w:ind w:firstLine="480" w:firstLineChars="200"/>
      </w:pPr>
      <w:r>
        <w:t>针对APT检测中弱标注条件下有效特征难以识别，且关键特征会随攻击行为</w:t>
      </w:r>
      <w:r>
        <w:rPr>
          <w:rFonts w:hint="eastAsia"/>
        </w:rPr>
        <w:t>与</w:t>
      </w:r>
      <w:r>
        <w:t>日志分布变化而动态变化的问题，提出一种基于性能反馈的自适应掩码特征选择方法。通过对多源异构日志进行统一表示，并结合对比学习特征预筛选与性能反馈驱动的</w:t>
      </w:r>
      <w:r>
        <w:rPr>
          <w:rFonts w:hint="eastAsia"/>
        </w:rPr>
        <w:t>自适应特征</w:t>
      </w:r>
      <w:r>
        <w:t>掩码选择，实现关键特征的自适应更新，从而提升对APT隐蔽异常行为的表征能力。</w:t>
      </w:r>
    </w:p>
    <w:p w14:paraId="3F54C613">
      <w:pPr>
        <w:ind w:firstLine="482" w:firstLineChars="200"/>
      </w:pPr>
      <w:r>
        <w:rPr>
          <w:b/>
          <w:bCs/>
        </w:rPr>
        <w:t>（2）研究基于大模型先验和预测型强化学习的APT检测方法</w:t>
      </w:r>
    </w:p>
    <w:p w14:paraId="0870447A">
      <w:pPr>
        <w:ind w:firstLine="480" w:firstLineChars="200"/>
      </w:pPr>
      <w:r>
        <w:t>针对域内APT检测中仅</w:t>
      </w:r>
      <w:r>
        <w:rPr>
          <w:rFonts w:hint="eastAsia"/>
        </w:rPr>
        <w:t>根据</w:t>
      </w:r>
      <w:r>
        <w:t>当前观测难以准确判断攻击状态、难以兼顾检测有效性与提前预警能力的问题，提出一种基于大模型先验和预测型强化学习的APT检测方法。通过引入LLM生成候选计划及其先验偏好，结合集成动力概率学世界模型对候选计划进行前瞻评估，并利用强化学习完成后验选择与策略优化，实现对攻击状态的前瞻分析与在线检测，从而提升APT检测的准确性和及时性。</w:t>
      </w:r>
    </w:p>
    <w:p w14:paraId="300631D6">
      <w:pPr>
        <w:ind w:firstLine="482" w:firstLineChars="200"/>
      </w:pPr>
      <w:r>
        <w:rPr>
          <w:b/>
          <w:bCs/>
        </w:rPr>
        <w:t>（3）研究基于大模型先验和多智能体协作的跨域协同检测方法</w:t>
      </w:r>
    </w:p>
    <w:p w14:paraId="695CA344">
      <w:pPr>
        <w:ind w:firstLine="480" w:firstLineChars="200"/>
      </w:pPr>
      <w:r>
        <w:t>针对APT攻击跨区域渗透过程中检测线索分散、局部结果难以支撑整体判断的问题，提出一种基于大模型先验和多智能体协作的跨域协同检测方法。通过构建多区域检测证据</w:t>
      </w:r>
      <w:r>
        <w:rPr>
          <w:rFonts w:hint="eastAsia"/>
        </w:rPr>
        <w:t>库</w:t>
      </w:r>
      <w:r>
        <w:t>，结合LLM生成协作先验计划，并在先验约束下引入多智能体协作决策，实现面向APT跨区域渗透过程的协同检测，从而提升跨域场景下的整体分析与联合检测能力。</w:t>
      </w:r>
    </w:p>
    <w:p w14:paraId="0C4C4292">
      <w:pPr>
        <w:pStyle w:val="3"/>
        <w:ind w:left="0" w:firstLine="0"/>
      </w:pPr>
      <w:bookmarkStart w:id="23" w:name="_Toc230086339"/>
      <w:bookmarkStart w:id="24" w:name="_Toc163672073"/>
      <w:r>
        <w:rPr>
          <w:rFonts w:hint="eastAsia"/>
        </w:rPr>
        <w:t>1.5 论文组织架构</w:t>
      </w:r>
      <w:bookmarkEnd w:id="23"/>
      <w:bookmarkEnd w:id="24"/>
    </w:p>
    <w:p w14:paraId="73B50DD2">
      <w:pPr>
        <w:ind w:firstLine="480" w:firstLineChars="200"/>
      </w:pPr>
      <w:r>
        <w:rPr>
          <w:rFonts w:hint="eastAsia"/>
        </w:rPr>
        <w:t>本文章节安排如图1.2所示。</w:t>
      </w:r>
    </w:p>
    <w:p w14:paraId="59056F8F">
      <w:pPr>
        <w:widowControl/>
        <w:ind w:firstLine="480" w:firstLineChars="200"/>
        <w:jc w:val="center"/>
      </w:pPr>
      <w:r>
        <w:object>
          <v:shape id="_x0000_i1026" o:spt="75" type="#_x0000_t75" style="height:463.15pt;width:306.4pt;" o:ole="t" filled="f" o:preferrelative="t" stroked="f" coordsize="21600,21600">
            <v:path/>
            <v:fill on="f" focussize="0,0"/>
            <v:stroke on="f" joinstyle="miter"/>
            <v:imagedata r:id="rId23" cropleft="1128f" croptop="435f" cropright="1015f" cropbottom="1154f" o:title=""/>
            <o:lock v:ext="edit" aspectratio="t"/>
            <w10:wrap type="none"/>
            <w10:anchorlock/>
          </v:shape>
          <o:OLEObject Type="Embed" ProgID="Visio.Drawing.15" ShapeID="_x0000_i1026" DrawAspect="Content" ObjectID="_1468075726" r:id="rId22">
            <o:LockedField>false</o:LockedField>
          </o:OLEObject>
        </w:object>
      </w:r>
    </w:p>
    <w:p w14:paraId="4E67FCA3">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1.2</w:t>
      </w:r>
      <w:r>
        <w:rPr>
          <w:rFonts w:cs="Times New Roman"/>
          <w:sz w:val="21"/>
          <w:szCs w:val="21"/>
        </w:rPr>
        <w:t xml:space="preserve"> </w:t>
      </w:r>
      <w:r>
        <w:rPr>
          <w:rFonts w:hint="eastAsia" w:cs="Times New Roman"/>
          <w:sz w:val="21"/>
          <w:szCs w:val="21"/>
        </w:rPr>
        <w:t>本文章节安排</w:t>
      </w:r>
    </w:p>
    <w:p w14:paraId="25807990">
      <w:pPr>
        <w:ind w:firstLine="480" w:firstLineChars="200"/>
      </w:pPr>
      <w:r>
        <w:rPr>
          <w:rFonts w:hint="eastAsia"/>
        </w:rPr>
        <w:t>第一章为绪论。首先，阐述本文的研究背景及意义，论述了新型电力系统面临的APT攻击风险及开展相关研究的重要性；然后，从</w:t>
      </w:r>
      <w:r>
        <w:t>APT检测方法、多区域网络攻击检测方法、特征选择方法、大模型与强化学习结合方法以及多智能体强化学习协作方法</w:t>
      </w:r>
      <w:r>
        <w:rPr>
          <w:rFonts w:hint="eastAsia"/>
        </w:rPr>
        <w:t>5个方面介绍国内外研究现状；最后，分析本文所面临的研究挑战，并给出本文的研究内容及论文组织架构。</w:t>
      </w:r>
    </w:p>
    <w:p w14:paraId="36F87B55">
      <w:pPr>
        <w:ind w:firstLine="480" w:firstLineChars="200"/>
      </w:pPr>
      <w:r>
        <w:rPr>
          <w:rFonts w:hint="eastAsia"/>
        </w:rPr>
        <w:t>第二章为相关基础及方案概述。首先，</w:t>
      </w:r>
      <w:r>
        <w:t>分析新型电力系统中的网络安全问题以及APT攻击的行为特点；然后，对大语言模型、预测型强化学习和多智能体强化学习等相关基础进行介绍；最后，结合本文研究目标，对整体方案进行概述。</w:t>
      </w:r>
    </w:p>
    <w:p w14:paraId="5C51BE43">
      <w:pPr>
        <w:widowControl/>
        <w:ind w:firstLine="480" w:firstLineChars="200"/>
        <w:jc w:val="left"/>
      </w:pPr>
      <w:r>
        <w:rPr>
          <w:rFonts w:hint="eastAsia"/>
        </w:rPr>
        <w:t>第三章为基于性能反馈的自适应掩码特征选择方法。</w:t>
      </w:r>
      <w:r>
        <w:t>首先，提出基于对比学习的特征预筛选方法，通过异构行为特征统一编码、行为表示学习以及特征贡献评估与筛选，构建候选特征空间；然后，提出基于性能反馈的自适应特征掩码选择方法，从特征掩码构建、轻量预检测以及特征选择策略优化三个方面实现关键特征的动态选择；最后，给出本章方法的实验与分析，对所提方法</w:t>
      </w:r>
      <w:r>
        <w:rPr>
          <w:rFonts w:hint="eastAsia"/>
        </w:rPr>
        <w:t>的</w:t>
      </w:r>
      <w:r>
        <w:t>特征</w:t>
      </w:r>
      <w:r>
        <w:rPr>
          <w:rFonts w:hint="eastAsia"/>
        </w:rPr>
        <w:t>选择</w:t>
      </w:r>
      <w:r>
        <w:t>有效性以及对后续APT检测任务的支撑作用进行验证。</w:t>
      </w:r>
    </w:p>
    <w:p w14:paraId="6F94EAB2">
      <w:pPr>
        <w:widowControl/>
        <w:ind w:firstLine="480" w:firstLineChars="200"/>
        <w:jc w:val="left"/>
      </w:pPr>
      <w:r>
        <w:t>第四章为基于大模型先验和预测型强化学习的APT检测方法。首先，提出基于LLM的先验生成方法，从状态摘要生成和包含先验偏好的候选计划生成两个方面为APT检测提供先验信息；然后，提出基于集成动力概率学世界模型的前瞻评估方法，对候选计划进行多步前瞻推演；接着，提出基于PPO的强化学习后验选择方法，实现候选计划的后验选择与检测策略优化；最后，给出本章方法的实验与分析，对所提方法在APT检测有效性、提前预警能力等方面进行验证。</w:t>
      </w:r>
    </w:p>
    <w:p w14:paraId="2B4AA90D">
      <w:pPr>
        <w:widowControl/>
        <w:ind w:firstLine="480" w:firstLineChars="200"/>
        <w:jc w:val="left"/>
      </w:pPr>
      <w:r>
        <w:t>第五章为基于大模型先验和多智能体协作的跨域协同检测方法。首先，提出基于LLM的跨域协作先验计划生成方法，从多区域检测证据库</w:t>
      </w:r>
      <w:r>
        <w:rPr>
          <w:rFonts w:hint="eastAsia"/>
        </w:rPr>
        <w:t>构建</w:t>
      </w:r>
      <w:r>
        <w:t>、攻击阶段推理、协作计划生成三个方面形成跨域协作先验；然后，提出先验计划约束的多智能体协作决策方法，通过协作策略建模、基于MAPPO的协作策略学习以及区域模型增量更新，实现跨区域场景下的协同检测；最后，给出本章方法的实验与分析，对所提方法在跨域协同检测有效性、提前预警能力等方面进行验证。</w:t>
      </w:r>
    </w:p>
    <w:p w14:paraId="4CAF9B89">
      <w:pPr>
        <w:widowControl/>
        <w:ind w:firstLine="480" w:firstLineChars="200"/>
        <w:jc w:val="left"/>
        <w:rPr>
          <w:rFonts w:eastAsia="黑体" w:cs="Times New Roman"/>
          <w:bCs/>
          <w:kern w:val="44"/>
          <w:sz w:val="36"/>
          <w:szCs w:val="44"/>
        </w:rPr>
      </w:pPr>
      <w:r>
        <w:rPr>
          <w:rFonts w:hint="eastAsia"/>
        </w:rPr>
        <w:t>第六章为总结与展望。总结本文主要的研究工作及创新点，并对后续的研究进行展望。</w:t>
      </w:r>
      <w:r>
        <w:br w:type="page"/>
      </w:r>
    </w:p>
    <w:p w14:paraId="2588A510">
      <w:pPr>
        <w:pStyle w:val="2"/>
      </w:pPr>
      <w:bookmarkStart w:id="25" w:name="_Toc230086340"/>
      <w:r>
        <w:rPr>
          <w:rFonts w:hint="eastAsia"/>
        </w:rPr>
        <w:t>第二章 相关基础与方案概述</w:t>
      </w:r>
      <w:bookmarkEnd w:id="25"/>
    </w:p>
    <w:p w14:paraId="47C93F49">
      <w:pPr>
        <w:ind w:firstLine="480" w:firstLineChars="200"/>
      </w:pPr>
      <w:r>
        <w:rPr>
          <w:rFonts w:hint="eastAsia"/>
        </w:rPr>
        <w:t>本章主要介绍本文研究所涉及的相关基础与整体方案。首先，分析新型电力系统中的网络安全问题以及APT攻击的主要特点；然后，介绍大语言模型和预测型强化学习等相关基础；最后，对本文整体方案进行概述。</w:t>
      </w:r>
    </w:p>
    <w:p w14:paraId="1CACCB00">
      <w:pPr>
        <w:pStyle w:val="3"/>
      </w:pPr>
      <w:bookmarkStart w:id="26" w:name="_Toc230086341"/>
      <w:r>
        <w:rPr>
          <w:rFonts w:hint="eastAsia"/>
        </w:rPr>
        <w:t>2.1 新型电力系统APT特点分析</w:t>
      </w:r>
      <w:bookmarkEnd w:id="26"/>
    </w:p>
    <w:p w14:paraId="1A3C9792">
      <w:pPr>
        <w:pStyle w:val="4"/>
      </w:pPr>
      <w:bookmarkStart w:id="27" w:name="_Toc230086342"/>
      <w:r>
        <w:rPr>
          <w:rFonts w:hint="eastAsia"/>
        </w:rPr>
        <w:t>2.1.1 新型电力系统的安全风险</w:t>
      </w:r>
      <w:bookmarkEnd w:id="27"/>
    </w:p>
    <w:p w14:paraId="5452A2C0">
      <w:pPr>
        <w:spacing w:line="400" w:lineRule="exact"/>
        <w:ind w:firstLine="480" w:firstLineChars="200"/>
        <w:rPr>
          <w:rFonts w:eastAsia="宋体" w:cs="Times New Roman"/>
        </w:rPr>
      </w:pPr>
      <w:r>
        <w:rPr>
          <w:rFonts w:eastAsia="宋体" w:cs="Times New Roman"/>
        </w:rPr>
        <w:t>新型电力系统是在高比例新能源接入背景下形成的新型电力系统形态。相较于传统电力系统，其运行结构和业务形态均发生了明显变化，主要表现为新能源占比持续提升，分布式电源、储能、电动汽车及聚合类主体大量接入，源网荷储协同运行</w:t>
      </w:r>
      <w:r>
        <w:rPr>
          <w:rFonts w:hint="eastAsia" w:eastAsia="宋体" w:cs="Times New Roman"/>
        </w:rPr>
        <w:t>的特性</w:t>
      </w:r>
      <w:r>
        <w:rPr>
          <w:rFonts w:eastAsia="宋体" w:cs="Times New Roman"/>
        </w:rPr>
        <w:t>更加明显，系统对信息通信、状态感知和远程控制的依赖程度也进一步提高</w:t>
      </w:r>
      <w:r>
        <w:rPr>
          <w:rFonts w:eastAsia="宋体" w:cs="Times New Roman"/>
          <w:vertAlign w:val="superscript"/>
        </w:rPr>
        <w:fldChar w:fldCharType="begin" w:fldLock="1"/>
      </w:r>
      <w:r>
        <w:rPr>
          <w:rFonts w:eastAsia="宋体" w:cs="Times New Roman"/>
          <w:vertAlign w:val="superscript"/>
        </w:rPr>
        <w:instrText xml:space="preserve"> REF _Ref225452600 \r \h  \* MERGEFORMAT </w:instrText>
      </w:r>
      <w:r>
        <w:rPr>
          <w:rFonts w:eastAsia="宋体" w:cs="Times New Roman"/>
          <w:vertAlign w:val="superscript"/>
        </w:rPr>
        <w:fldChar w:fldCharType="separate"/>
      </w:r>
      <w:r>
        <w:rPr>
          <w:rFonts w:eastAsia="宋体" w:cs="Times New Roman"/>
          <w:vertAlign w:val="superscript"/>
        </w:rPr>
        <w:t>[69]</w:t>
      </w:r>
      <w:r>
        <w:rPr>
          <w:rFonts w:eastAsia="宋体" w:cs="Times New Roman"/>
          <w:vertAlign w:val="superscript"/>
        </w:rPr>
        <w:fldChar w:fldCharType="end"/>
      </w:r>
      <w:r>
        <w:rPr>
          <w:rFonts w:eastAsia="宋体" w:cs="Times New Roman"/>
        </w:rPr>
        <w:t>。在这一背景下，电力系统由传统相对封闭的运行方式，逐步演变为开放程度更高、交互更加频繁、信息与物理联系更加紧密的复杂系统</w:t>
      </w:r>
      <w:r>
        <w:rPr>
          <w:rFonts w:hint="eastAsia" w:eastAsia="宋体" w:cs="Times New Roman"/>
        </w:rPr>
        <w:t>，其结构如图2.1所示。</w:t>
      </w:r>
    </w:p>
    <w:p w14:paraId="51D8C4A5">
      <w:pPr>
        <w:spacing w:line="240" w:lineRule="auto"/>
        <w:ind w:firstLine="480" w:firstLineChars="200"/>
        <w:jc w:val="center"/>
        <w:rPr>
          <w:rFonts w:eastAsia="宋体" w:cs="Times New Roman"/>
        </w:rPr>
      </w:pPr>
      <w:r>
        <w:rPr>
          <w:rFonts w:hint="eastAsia" w:eastAsia="宋体" w:cs="Times New Roman"/>
        </w:rPr>
        <w:drawing>
          <wp:inline distT="0" distB="0" distL="0" distR="0">
            <wp:extent cx="4820285" cy="2311400"/>
            <wp:effectExtent l="0" t="0" r="0" b="0"/>
            <wp:docPr id="6589954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9547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863575" cy="2332172"/>
                    </a:xfrm>
                    <a:prstGeom prst="rect">
                      <a:avLst/>
                    </a:prstGeom>
                    <a:noFill/>
                    <a:ln>
                      <a:noFill/>
                    </a:ln>
                  </pic:spPr>
                </pic:pic>
              </a:graphicData>
            </a:graphic>
          </wp:inline>
        </w:drawing>
      </w:r>
    </w:p>
    <w:p w14:paraId="5B5AE5AA">
      <w:pPr>
        <w:widowControl/>
        <w:tabs>
          <w:tab w:val="center" w:pos="4152"/>
          <w:tab w:val="right" w:pos="8306"/>
        </w:tabs>
        <w:spacing w:after="156" w:afterLines="50" w:line="400" w:lineRule="exact"/>
        <w:jc w:val="center"/>
        <w:rPr>
          <w:rFonts w:cs="Times New Roman"/>
          <w:sz w:val="21"/>
        </w:rPr>
      </w:pPr>
      <w:r>
        <w:rPr>
          <w:rFonts w:hint="eastAsia" w:cs="Times New Roman"/>
          <w:sz w:val="21"/>
        </w:rPr>
        <w:t>图2</w:t>
      </w:r>
      <w:r>
        <w:rPr>
          <w:rFonts w:cs="Times New Roman"/>
          <w:sz w:val="21"/>
        </w:rPr>
        <w:t>.</w:t>
      </w:r>
      <w:r>
        <w:rPr>
          <w:rFonts w:hint="eastAsia" w:cs="Times New Roman"/>
          <w:sz w:val="21"/>
        </w:rPr>
        <w:t>1</w:t>
      </w:r>
      <w:r>
        <w:rPr>
          <w:rFonts w:cs="Times New Roman"/>
          <w:sz w:val="21"/>
        </w:rPr>
        <w:t xml:space="preserve"> </w:t>
      </w:r>
      <w:r>
        <w:rPr>
          <w:rFonts w:hint="eastAsia" w:cs="Times New Roman"/>
          <w:sz w:val="21"/>
        </w:rPr>
        <w:t>新型电力系统架构</w:t>
      </w:r>
    </w:p>
    <w:p w14:paraId="013A92EB">
      <w:pPr>
        <w:spacing w:line="400" w:lineRule="exact"/>
        <w:ind w:firstLine="480" w:firstLineChars="200"/>
        <w:rPr>
          <w:rFonts w:eastAsia="宋体" w:cs="Times New Roman"/>
        </w:rPr>
      </w:pPr>
      <w:r>
        <w:rPr>
          <w:rFonts w:hint="eastAsia" w:eastAsia="宋体" w:cs="Times New Roman"/>
        </w:rPr>
        <w:t>因此</w:t>
      </w:r>
      <w:r>
        <w:rPr>
          <w:rFonts w:eastAsia="宋体" w:cs="Times New Roman"/>
        </w:rPr>
        <w:t>，新型电力系统面临的网络安全风险进一步增加。接入对象增多、交互链路延长以及多环节紧密联动，使网络攻击更容易由局部环节影响到关键业务过程和物理运行过程。新型电力系统中的网络安全问题主要体现在以下几个方面。</w:t>
      </w:r>
    </w:p>
    <w:p w14:paraId="3F22FBD1">
      <w:pPr>
        <w:spacing w:line="400" w:lineRule="exact"/>
        <w:ind w:left="480" w:leftChars="200"/>
        <w:rPr>
          <w:rFonts w:eastAsia="宋体" w:cs="Times New Roman"/>
          <w:b/>
          <w:bCs/>
        </w:rPr>
      </w:pPr>
      <w:r>
        <w:rPr>
          <w:rFonts w:eastAsia="宋体" w:cs="Times New Roman"/>
          <w:b/>
          <w:bCs/>
        </w:rPr>
        <w:t>（1）风险暴露面扩大</w:t>
      </w:r>
    </w:p>
    <w:p w14:paraId="3C234E7A">
      <w:pPr>
        <w:spacing w:line="400" w:lineRule="exact"/>
        <w:ind w:firstLine="480" w:firstLineChars="200"/>
        <w:rPr>
          <w:rFonts w:eastAsia="宋体" w:cs="Times New Roman"/>
        </w:rPr>
      </w:pPr>
      <w:r>
        <w:rPr>
          <w:rFonts w:eastAsia="宋体" w:cs="Times New Roman"/>
        </w:rPr>
        <w:t>新型电力系统中接入主体数量明显增加，设备类型、部署环境和通信方式也更加多样。边缘终端、第三方平台、远程运维通道以及分布式资源聚合接口等共同构成了更加复杂的接入环境。与传统电力系统相比，系统边界已不再局限于相对封闭的内部网络，而是进一步延伸至更多外部链路和异构设备，这使潜在攻击入口随之增多，也使边缘节点和接入链路中的薄弱环节更易成为网络攻击的突破点</w:t>
      </w:r>
      <w:r>
        <w:rPr>
          <w:rFonts w:eastAsia="宋体" w:cs="Times New Roman"/>
          <w:vertAlign w:val="superscript"/>
        </w:rPr>
        <w:fldChar w:fldCharType="begin" w:fldLock="1"/>
      </w:r>
      <w:r>
        <w:rPr>
          <w:rFonts w:eastAsia="宋体" w:cs="Times New Roman"/>
          <w:vertAlign w:val="superscript"/>
        </w:rPr>
        <w:instrText xml:space="preserve"> REF _Ref225241430 \r \h  \* MERGEFORMAT </w:instrText>
      </w:r>
      <w:r>
        <w:rPr>
          <w:rFonts w:eastAsia="宋体" w:cs="Times New Roman"/>
          <w:vertAlign w:val="superscript"/>
        </w:rPr>
        <w:fldChar w:fldCharType="separate"/>
      </w:r>
      <w:r>
        <w:rPr>
          <w:rFonts w:eastAsia="宋体" w:cs="Times New Roman"/>
          <w:vertAlign w:val="superscript"/>
        </w:rPr>
        <w:t>[70]</w:t>
      </w:r>
      <w:r>
        <w:rPr>
          <w:rFonts w:eastAsia="宋体" w:cs="Times New Roman"/>
          <w:vertAlign w:val="superscript"/>
        </w:rPr>
        <w:fldChar w:fldCharType="end"/>
      </w:r>
      <w:r>
        <w:rPr>
          <w:rFonts w:eastAsia="宋体" w:cs="Times New Roman"/>
        </w:rPr>
        <w:t>。</w:t>
      </w:r>
    </w:p>
    <w:p w14:paraId="3186838D">
      <w:pPr>
        <w:spacing w:line="400" w:lineRule="exact"/>
        <w:ind w:firstLine="482" w:firstLineChars="200"/>
        <w:rPr>
          <w:rFonts w:eastAsia="宋体" w:cs="Times New Roman"/>
          <w:b/>
          <w:bCs/>
        </w:rPr>
      </w:pPr>
      <w:r>
        <w:rPr>
          <w:rFonts w:eastAsia="宋体" w:cs="Times New Roman"/>
          <w:b/>
          <w:bCs/>
        </w:rPr>
        <w:t>（2）数据与控制风险增加</w:t>
      </w:r>
    </w:p>
    <w:p w14:paraId="10717AE9">
      <w:pPr>
        <w:spacing w:line="400" w:lineRule="exact"/>
        <w:ind w:firstLine="480" w:firstLineChars="200"/>
        <w:rPr>
          <w:rFonts w:eastAsia="宋体" w:cs="Times New Roman"/>
          <w:b/>
          <w:bCs/>
        </w:rPr>
      </w:pPr>
      <w:r>
        <w:rPr>
          <w:rFonts w:eastAsia="宋体" w:cs="Times New Roman"/>
        </w:rPr>
        <w:t>新型电力系统运行过程中需要持续完成状态感知、数据上传、控制指令下发以及协同调节，量测数据、状态信息和控制命令在系统运行中的作用更加突出。相应地，数据篡改、指令伪造、重放攻击以及拒绝服务等网络攻击会更直接地作用于调度控制、设备保护和运行稳定过程，并进一步引发电压波动、潮流异常、设备误动等运行问题</w:t>
      </w:r>
      <w:r>
        <w:rPr>
          <w:rFonts w:eastAsia="宋体" w:cs="Times New Roman"/>
          <w:vertAlign w:val="superscript"/>
        </w:rPr>
        <w:fldChar w:fldCharType="begin" w:fldLock="1"/>
      </w:r>
      <w:r>
        <w:rPr>
          <w:rFonts w:eastAsia="宋体" w:cs="Times New Roman"/>
          <w:vertAlign w:val="superscript"/>
        </w:rPr>
        <w:instrText xml:space="preserve"> REF _Ref225241448 \r \h  \* MERGEFORMAT </w:instrText>
      </w:r>
      <w:r>
        <w:rPr>
          <w:rFonts w:eastAsia="宋体" w:cs="Times New Roman"/>
          <w:vertAlign w:val="superscript"/>
        </w:rPr>
        <w:fldChar w:fldCharType="separate"/>
      </w:r>
      <w:r>
        <w:rPr>
          <w:rFonts w:eastAsia="宋体" w:cs="Times New Roman"/>
          <w:vertAlign w:val="superscript"/>
        </w:rPr>
        <w:t>[71]</w:t>
      </w:r>
      <w:r>
        <w:rPr>
          <w:rFonts w:eastAsia="宋体" w:cs="Times New Roman"/>
          <w:vertAlign w:val="superscript"/>
        </w:rPr>
        <w:fldChar w:fldCharType="end"/>
      </w:r>
      <w:r>
        <w:rPr>
          <w:rFonts w:eastAsia="宋体" w:cs="Times New Roman"/>
        </w:rPr>
        <w:t>。</w:t>
      </w:r>
    </w:p>
    <w:p w14:paraId="6C850972">
      <w:pPr>
        <w:spacing w:line="400" w:lineRule="exact"/>
        <w:ind w:left="480" w:leftChars="200"/>
        <w:rPr>
          <w:rFonts w:eastAsia="宋体" w:cs="Times New Roman"/>
          <w:b/>
          <w:bCs/>
        </w:rPr>
      </w:pPr>
      <w:r>
        <w:rPr>
          <w:rFonts w:eastAsia="宋体" w:cs="Times New Roman"/>
          <w:b/>
          <w:bCs/>
        </w:rPr>
        <w:t>（3）攻击影响范围扩展</w:t>
      </w:r>
    </w:p>
    <w:p w14:paraId="46C83B39">
      <w:pPr>
        <w:spacing w:line="400" w:lineRule="exact"/>
        <w:ind w:firstLine="480" w:firstLineChars="200"/>
        <w:rPr>
          <w:rFonts w:eastAsia="宋体" w:cs="Times New Roman"/>
        </w:rPr>
      </w:pPr>
      <w:r>
        <w:rPr>
          <w:rFonts w:eastAsia="宋体" w:cs="Times New Roman"/>
        </w:rPr>
        <w:t>新型电力系统具有更强的信息</w:t>
      </w:r>
      <w:r>
        <w:rPr>
          <w:rFonts w:hint="eastAsia" w:eastAsia="宋体" w:cs="Times New Roman"/>
        </w:rPr>
        <w:t>-</w:t>
      </w:r>
      <w:r>
        <w:rPr>
          <w:rFonts w:eastAsia="宋体" w:cs="Times New Roman"/>
        </w:rPr>
        <w:t>物理耦合特征，不同区域、不同环节之间的联系更加紧密，网络攻击的影响范围也更容易由单点向多点扩展。在这一背景下，攻击行为不再仅表现为对单个设备或单条链路的干扰，还可能沿接入链路、业务链路和控制链路逐步渗透关键系统。APT攻击是其中需要关注的一类攻击形式，其通常具有潜伏时间长、攻击阶段多、早期异常不明显等特点，在高比例新能源接入和多主体协同场景下具有更强的隐蔽性和更高的检测难度</w:t>
      </w:r>
      <w:r>
        <w:rPr>
          <w:rFonts w:eastAsia="宋体" w:cs="Times New Roman"/>
          <w:vertAlign w:val="superscript"/>
        </w:rPr>
        <w:fldChar w:fldCharType="begin" w:fldLock="1"/>
      </w:r>
      <w:r>
        <w:rPr>
          <w:rFonts w:eastAsia="宋体" w:cs="Times New Roman"/>
          <w:vertAlign w:val="superscript"/>
        </w:rPr>
        <w:instrText xml:space="preserve"> REF _Ref225241471 \r \h  \* MERGEFORMAT </w:instrText>
      </w:r>
      <w:r>
        <w:rPr>
          <w:rFonts w:eastAsia="宋体" w:cs="Times New Roman"/>
          <w:vertAlign w:val="superscript"/>
        </w:rPr>
        <w:fldChar w:fldCharType="separate"/>
      </w:r>
      <w:r>
        <w:rPr>
          <w:rFonts w:eastAsia="宋体" w:cs="Times New Roman"/>
          <w:vertAlign w:val="superscript"/>
        </w:rPr>
        <w:t>[72]</w:t>
      </w:r>
      <w:r>
        <w:rPr>
          <w:rFonts w:eastAsia="宋体" w:cs="Times New Roman"/>
          <w:vertAlign w:val="superscript"/>
        </w:rPr>
        <w:fldChar w:fldCharType="end"/>
      </w:r>
      <w:r>
        <w:rPr>
          <w:rFonts w:eastAsia="宋体" w:cs="Times New Roman"/>
        </w:rPr>
        <w:t>。</w:t>
      </w:r>
    </w:p>
    <w:p w14:paraId="6B00014C">
      <w:pPr>
        <w:spacing w:line="400" w:lineRule="exact"/>
        <w:ind w:firstLine="480" w:firstLineChars="200"/>
        <w:rPr>
          <w:rFonts w:eastAsia="宋体" w:cs="Times New Roman"/>
        </w:rPr>
      </w:pPr>
      <w:r>
        <w:rPr>
          <w:rFonts w:eastAsia="宋体" w:cs="Times New Roman"/>
        </w:rPr>
        <w:t>综上所述，新型电力系统相较于传统电力系统在开放性、交互性和耦合性等方面均发生了明显变化。上述变化在提升系统灵活性和智能化水平的同时，也带来了更加复杂的网络安全脆弱性。网络攻击一旦作用于关键设备、核心数据或控制链路，便可能进一步影响系统运行状态。因此，有必要面向新型电力系统研究能够适应多源异构环境、识别隐蔽攻击行为并支持持续跟踪的网络攻击检测方法。</w:t>
      </w:r>
    </w:p>
    <w:p w14:paraId="0A4A1825">
      <w:pPr>
        <w:pStyle w:val="4"/>
      </w:pPr>
      <w:bookmarkStart w:id="28" w:name="_Toc230086343"/>
      <w:r>
        <w:rPr>
          <w:rFonts w:hint="eastAsia"/>
        </w:rPr>
        <w:t>2.1.2 新型电力系统APT的特点</w:t>
      </w:r>
      <w:bookmarkEnd w:id="28"/>
    </w:p>
    <w:p w14:paraId="43BFF86C">
      <w:pPr>
        <w:spacing w:line="400" w:lineRule="exact"/>
        <w:ind w:firstLine="480" w:firstLineChars="200"/>
        <w:rPr>
          <w:rFonts w:eastAsia="宋体" w:cs="Times New Roman"/>
        </w:rPr>
      </w:pPr>
      <w:r>
        <w:rPr>
          <w:rFonts w:eastAsia="宋体" w:cs="Times New Roman"/>
        </w:rPr>
        <w:t>高级持续性威胁（Advanced Persistent Threat，APT）是一类面向特定目标、具有较强隐蔽性和持续渗透能力的复杂网络攻击。在新型电力系统场景下，随着分布式资源广泛接入、远程运维链路增多以及信息侧与控制侧关系愈加密切，APT攻击通常不再局限于单一节点或单次异常事件，而是可能沿公网接入、运维通道、业务链路和控制链路逐步推进，并最终接近关键业务系统和重要控制节点</w:t>
      </w:r>
      <w:r>
        <w:rPr>
          <w:rFonts w:eastAsia="宋体" w:cs="Times New Roman"/>
          <w:vertAlign w:val="superscript"/>
        </w:rPr>
        <w:fldChar w:fldCharType="begin" w:fldLock="1"/>
      </w:r>
      <w:r>
        <w:rPr>
          <w:rFonts w:eastAsia="宋体" w:cs="Times New Roman"/>
          <w:vertAlign w:val="superscript"/>
        </w:rPr>
        <w:instrText xml:space="preserve"> REF _Ref225274489 \r \h  \* MERGEFORMAT </w:instrText>
      </w:r>
      <w:r>
        <w:rPr>
          <w:rFonts w:eastAsia="宋体" w:cs="Times New Roman"/>
          <w:vertAlign w:val="superscript"/>
        </w:rPr>
        <w:fldChar w:fldCharType="separate"/>
      </w:r>
      <w:r>
        <w:rPr>
          <w:rFonts w:eastAsia="宋体" w:cs="Times New Roman"/>
          <w:vertAlign w:val="superscript"/>
        </w:rPr>
        <w:t>[73]</w:t>
      </w:r>
      <w:r>
        <w:rPr>
          <w:rFonts w:eastAsia="宋体" w:cs="Times New Roman"/>
          <w:vertAlign w:val="superscript"/>
        </w:rPr>
        <w:fldChar w:fldCharType="end"/>
      </w:r>
      <w:r>
        <w:rPr>
          <w:rFonts w:eastAsia="宋体" w:cs="Times New Roman"/>
        </w:rPr>
        <w:t>。相较于一般网络攻击，该类攻击持续时间更长，攻击路径更复杂，且在攻击早期通常仅表现为局部、分散的弱异常行为。</w:t>
      </w:r>
    </w:p>
    <w:p w14:paraId="36AA2AF7">
      <w:pPr>
        <w:spacing w:line="400" w:lineRule="exact"/>
        <w:ind w:firstLine="482" w:firstLineChars="200"/>
        <w:rPr>
          <w:rFonts w:eastAsia="宋体" w:cs="Times New Roman"/>
          <w:b/>
          <w:bCs/>
        </w:rPr>
      </w:pPr>
      <w:r>
        <w:rPr>
          <w:rFonts w:eastAsia="宋体" w:cs="Times New Roman"/>
          <w:b/>
          <w:bCs/>
        </w:rPr>
        <w:t>（1）APT阶段划分</w:t>
      </w:r>
    </w:p>
    <w:p w14:paraId="393F1681">
      <w:pPr>
        <w:spacing w:line="400" w:lineRule="exact"/>
        <w:ind w:firstLine="480" w:firstLineChars="200"/>
        <w:rPr>
          <w:rFonts w:eastAsia="宋体" w:cs="Times New Roman"/>
        </w:rPr>
      </w:pPr>
      <w:r>
        <w:rPr>
          <w:rFonts w:eastAsia="宋体" w:cs="Times New Roman"/>
        </w:rPr>
        <w:t>APT通常表现为持续推进的多阶段攻击过程。现有研究中，较常见的一种划分方式是基于Cyber Kill Chain的七阶段框架，即侦察、武器化、投递、利用、安装、命令控制和目标达成</w:t>
      </w:r>
      <w:r>
        <w:rPr>
          <w:rFonts w:eastAsia="宋体" w:cs="Times New Roman"/>
          <w:vertAlign w:val="superscript"/>
        </w:rPr>
        <w:fldChar w:fldCharType="begin" w:fldLock="1"/>
      </w:r>
      <w:r>
        <w:rPr>
          <w:rFonts w:eastAsia="宋体" w:cs="Times New Roman"/>
          <w:vertAlign w:val="superscript"/>
        </w:rPr>
        <w:instrText xml:space="preserve"> REF _Ref225274584 \r \h  \* MERGEFORMAT </w:instrText>
      </w:r>
      <w:r>
        <w:rPr>
          <w:rFonts w:eastAsia="宋体" w:cs="Times New Roman"/>
          <w:vertAlign w:val="superscript"/>
        </w:rPr>
        <w:fldChar w:fldCharType="separate"/>
      </w:r>
      <w:r>
        <w:rPr>
          <w:rFonts w:eastAsia="宋体" w:cs="Times New Roman"/>
          <w:vertAlign w:val="superscript"/>
        </w:rPr>
        <w:t>[74]</w:t>
      </w:r>
      <w:r>
        <w:rPr>
          <w:rFonts w:eastAsia="宋体" w:cs="Times New Roman"/>
          <w:vertAlign w:val="superscript"/>
        </w:rPr>
        <w:fldChar w:fldCharType="end"/>
      </w:r>
      <w:r>
        <w:rPr>
          <w:rFonts w:eastAsia="宋体" w:cs="Times New Roman"/>
        </w:rPr>
        <w:t>。结合新型电力系统的运行环境和攻击路径，本文对其各阶段作如下概括：</w:t>
      </w:r>
    </w:p>
    <w:p w14:paraId="444F255C">
      <w:pPr>
        <w:spacing w:line="400" w:lineRule="exact"/>
        <w:ind w:firstLine="480" w:firstLineChars="200"/>
        <w:rPr>
          <w:rFonts w:eastAsia="宋体" w:cs="Times New Roman"/>
        </w:rPr>
      </w:pPr>
      <w:r>
        <w:rPr>
          <w:rFonts w:hint="eastAsia" w:eastAsia="宋体" w:cs="Times New Roman"/>
        </w:rPr>
        <w:t>1</w:t>
      </w:r>
      <w:r>
        <w:rPr>
          <w:rFonts w:eastAsia="宋体" w:cs="Times New Roman"/>
        </w:rPr>
        <w:t>）侦察阶段：侦察阶段主要目的是收集目标环境的信息，包括资产分布、网络拓扑、业务流程、账号权限、运维方式以及关键设备位置等信息。在新型电力系统中，接入对象多、区域边界复杂、通信链路层次较多，攻击者通常会优先识别高价值节点、关键互通链路和薄弱接入点，为后续攻击路径选择提供依据。</w:t>
      </w:r>
    </w:p>
    <w:p w14:paraId="2B5913BD">
      <w:pPr>
        <w:spacing w:line="400" w:lineRule="exact"/>
        <w:ind w:firstLine="480" w:firstLineChars="200"/>
        <w:rPr>
          <w:rFonts w:eastAsia="宋体" w:cs="Times New Roman"/>
        </w:rPr>
      </w:pPr>
      <w:r>
        <w:rPr>
          <w:rFonts w:hint="eastAsia" w:eastAsia="宋体" w:cs="Times New Roman"/>
        </w:rPr>
        <w:t>2</w:t>
      </w:r>
      <w:r>
        <w:rPr>
          <w:rFonts w:eastAsia="宋体" w:cs="Times New Roman"/>
        </w:rPr>
        <w:t>）武器化阶段</w:t>
      </w:r>
      <w:r>
        <w:rPr>
          <w:rFonts w:hint="eastAsia" w:eastAsia="宋体" w:cs="Times New Roman"/>
        </w:rPr>
        <w:t>：</w:t>
      </w:r>
      <w:r>
        <w:rPr>
          <w:rFonts w:eastAsia="宋体" w:cs="Times New Roman"/>
        </w:rPr>
        <w:t>武器化阶段主要根据侦察结果构造与目标环境相匹配的攻击载荷或攻击工具，如恶意文档、定制脚本、漏洞利用代码以及后续控制所需的通信方式等。该阶段通常发生在目标系统之外，但其针对性较强，能够直接影响后续入侵方式与攻击效果。</w:t>
      </w:r>
    </w:p>
    <w:p w14:paraId="135700EC">
      <w:pPr>
        <w:spacing w:line="400" w:lineRule="exact"/>
        <w:ind w:firstLine="480" w:firstLineChars="200"/>
        <w:rPr>
          <w:rFonts w:eastAsia="宋体" w:cs="Times New Roman"/>
        </w:rPr>
      </w:pPr>
      <w:r>
        <w:rPr>
          <w:rFonts w:hint="eastAsia" w:eastAsia="宋体" w:cs="Times New Roman"/>
        </w:rPr>
        <w:t>3</w:t>
      </w:r>
      <w:r>
        <w:rPr>
          <w:rFonts w:eastAsia="宋体" w:cs="Times New Roman"/>
        </w:rPr>
        <w:t>）</w:t>
      </w:r>
      <w:r>
        <w:rPr>
          <w:rFonts w:hint="eastAsia" w:eastAsia="宋体" w:cs="Times New Roman"/>
        </w:rPr>
        <w:t>投递阶段：</w:t>
      </w:r>
      <w:r>
        <w:rPr>
          <w:rFonts w:eastAsia="宋体" w:cs="Times New Roman"/>
        </w:rPr>
        <w:t>投递阶段是指攻击者让构造完成的攻击内容进入目标环境。常见方式包括钓鱼邮件、互联网暴露服务、远程接入接口、第三方协作链路以及软件更新通道等。新型电力系统中的远程运维、外部接入和多主体协同接口相对较多，因此该阶段的入口形式也更加多样。</w:t>
      </w:r>
    </w:p>
    <w:p w14:paraId="0BCB0740">
      <w:pPr>
        <w:spacing w:line="400" w:lineRule="exact"/>
        <w:ind w:firstLine="480" w:firstLineChars="200"/>
        <w:rPr>
          <w:rFonts w:eastAsia="宋体" w:cs="Times New Roman"/>
        </w:rPr>
      </w:pPr>
      <w:r>
        <w:rPr>
          <w:rFonts w:hint="eastAsia" w:eastAsia="宋体" w:cs="Times New Roman"/>
        </w:rPr>
        <w:t>4</w:t>
      </w:r>
      <w:r>
        <w:rPr>
          <w:rFonts w:eastAsia="宋体" w:cs="Times New Roman"/>
        </w:rPr>
        <w:t>）漏洞利用阶段：漏洞利用阶段是指攻击者借助系统漏洞、弱口令、错误配置或凭据泄露等方式触发恶意执行，从而获得初始访问权限。该阶段标志着攻击由外部接触正式进入目标环境内部，也是后续建立控制和持续渗透的基础。</w:t>
      </w:r>
    </w:p>
    <w:p w14:paraId="06E1C77E">
      <w:pPr>
        <w:spacing w:line="400" w:lineRule="exact"/>
        <w:ind w:firstLine="480" w:firstLineChars="200"/>
        <w:rPr>
          <w:rFonts w:eastAsia="宋体" w:cs="Times New Roman"/>
        </w:rPr>
      </w:pPr>
      <w:r>
        <w:rPr>
          <w:rFonts w:hint="eastAsia" w:eastAsia="宋体" w:cs="Times New Roman"/>
        </w:rPr>
        <w:t>5</w:t>
      </w:r>
      <w:r>
        <w:rPr>
          <w:rFonts w:eastAsia="宋体" w:cs="Times New Roman"/>
        </w:rPr>
        <w:t>）持久化植入阶段：持久化植入阶段主要作用是在目标环境中建立长期存在方式，如后门程序、计划任务、恶意服务或其他驻留机制。APT攻击在这一阶段通常不会立即形成显著影响，其重点在于维持后续访问能力，并尽量降低暴露概率。在新型电力系统中，通常通过长期在线主机、业务服务器及边缘控制设备</w:t>
      </w:r>
      <w:r>
        <w:rPr>
          <w:rFonts w:hint="eastAsia" w:eastAsia="宋体" w:cs="Times New Roman"/>
        </w:rPr>
        <w:t>实现这</w:t>
      </w:r>
      <w:r>
        <w:rPr>
          <w:rFonts w:eastAsia="宋体" w:cs="Times New Roman"/>
        </w:rPr>
        <w:t>一阶段的目标。</w:t>
      </w:r>
    </w:p>
    <w:p w14:paraId="1EAEEAD1">
      <w:pPr>
        <w:spacing w:line="400" w:lineRule="exact"/>
        <w:ind w:firstLine="480" w:firstLineChars="200"/>
        <w:rPr>
          <w:rFonts w:eastAsia="宋体" w:cs="Times New Roman"/>
        </w:rPr>
      </w:pPr>
      <w:r>
        <w:rPr>
          <w:rFonts w:eastAsia="宋体" w:cs="Times New Roman"/>
        </w:rPr>
        <w:t>6）命令控制阶段：命令控制阶段是指攻击者与已入侵主机之间建立稳定通信关系，能够持续下发指令、回传信息并组织后续攻击行为的过程。进入这一阶段后，攻击过程通常由单点入侵转向持续控制，提升权限、横向移动和跨区域扩展通常也在这一阶段逐步进行。</w:t>
      </w:r>
    </w:p>
    <w:p w14:paraId="377316B0">
      <w:pPr>
        <w:spacing w:line="400" w:lineRule="exact"/>
        <w:ind w:firstLine="480" w:firstLineChars="200"/>
        <w:rPr>
          <w:rFonts w:eastAsia="宋体" w:cs="Times New Roman"/>
        </w:rPr>
      </w:pPr>
      <w:r>
        <w:rPr>
          <w:rFonts w:hint="eastAsia" w:eastAsia="宋体" w:cs="Times New Roman"/>
        </w:rPr>
        <w:t>7</w:t>
      </w:r>
      <w:r>
        <w:rPr>
          <w:rFonts w:eastAsia="宋体" w:cs="Times New Roman"/>
        </w:rPr>
        <w:t>）目标达成阶段：目标达成阶段是APT攻击的最终实施阶段，攻击者开始围绕既定目标执行具体操作，如窃取关键数据、篡改量测信息、伪造控制命令、干扰业务过程或破坏系统连续运行。在新型</w:t>
      </w:r>
      <w:r>
        <w:rPr>
          <w:rFonts w:hint="eastAsia" w:eastAsia="宋体" w:cs="Times New Roman"/>
        </w:rPr>
        <w:t>电</w:t>
      </w:r>
      <w:r>
        <w:rPr>
          <w:rFonts w:eastAsia="宋体" w:cs="Times New Roman"/>
        </w:rPr>
        <w:t>力系统场景中，APT攻击还可能进一步作用于关键控制过程，并形成更直接的业务影响或物理影响</w:t>
      </w:r>
      <w:r>
        <w:rPr>
          <w:rFonts w:eastAsia="宋体" w:cs="Times New Roman"/>
          <w:vertAlign w:val="superscript"/>
        </w:rPr>
        <w:fldChar w:fldCharType="begin" w:fldLock="1"/>
      </w:r>
      <w:r>
        <w:rPr>
          <w:rFonts w:eastAsia="宋体" w:cs="Times New Roman"/>
          <w:vertAlign w:val="superscript"/>
        </w:rPr>
        <w:instrText xml:space="preserve"> REF _Ref225274691 \r \h  \* MERGEFORMAT </w:instrText>
      </w:r>
      <w:r>
        <w:rPr>
          <w:rFonts w:eastAsia="宋体" w:cs="Times New Roman"/>
          <w:vertAlign w:val="superscript"/>
        </w:rPr>
        <w:fldChar w:fldCharType="separate"/>
      </w:r>
      <w:r>
        <w:rPr>
          <w:rFonts w:eastAsia="宋体" w:cs="Times New Roman"/>
          <w:vertAlign w:val="superscript"/>
        </w:rPr>
        <w:t>[75]</w:t>
      </w:r>
      <w:r>
        <w:rPr>
          <w:rFonts w:eastAsia="宋体" w:cs="Times New Roman"/>
          <w:vertAlign w:val="superscript"/>
        </w:rPr>
        <w:fldChar w:fldCharType="end"/>
      </w:r>
      <w:r>
        <w:rPr>
          <w:rFonts w:eastAsia="宋体" w:cs="Times New Roman"/>
        </w:rPr>
        <w:t>。</w:t>
      </w:r>
    </w:p>
    <w:p w14:paraId="553A31B5">
      <w:pPr>
        <w:spacing w:line="400" w:lineRule="exact"/>
        <w:ind w:firstLine="480" w:firstLineChars="200"/>
        <w:rPr>
          <w:rFonts w:eastAsia="宋体" w:cs="Times New Roman"/>
        </w:rPr>
      </w:pPr>
      <w:r>
        <w:rPr>
          <w:rFonts w:eastAsia="宋体" w:cs="Times New Roman"/>
        </w:rPr>
        <w:t>综上所述，APT攻击的七阶段划分方式适合体现其</w:t>
      </w:r>
      <w:r>
        <w:rPr>
          <w:rFonts w:hint="eastAsia" w:eastAsia="宋体" w:cs="Times New Roman"/>
        </w:rPr>
        <w:t>在新型电力系统中</w:t>
      </w:r>
      <w:r>
        <w:rPr>
          <w:rFonts w:eastAsia="宋体" w:cs="Times New Roman"/>
        </w:rPr>
        <w:t>的整体演化过程。其重点不是对各阶段边界进行严格划分，而在于描述攻击状态逐步推进的过程，并为后续阶段判断和持续跟踪提供基础。</w:t>
      </w:r>
    </w:p>
    <w:p w14:paraId="3491C971">
      <w:pPr>
        <w:spacing w:line="400" w:lineRule="exact"/>
        <w:ind w:firstLine="482" w:firstLineChars="200"/>
        <w:rPr>
          <w:rFonts w:eastAsia="宋体" w:cs="Times New Roman"/>
          <w:b/>
          <w:bCs/>
        </w:rPr>
      </w:pPr>
      <w:r>
        <w:rPr>
          <w:rFonts w:eastAsia="宋体" w:cs="Times New Roman"/>
          <w:b/>
          <w:bCs/>
        </w:rPr>
        <w:t>（2）新型电力系统APT攻击特点</w:t>
      </w:r>
    </w:p>
    <w:p w14:paraId="57E9C1FA">
      <w:pPr>
        <w:spacing w:line="400" w:lineRule="exact"/>
        <w:ind w:firstLine="480" w:firstLineChars="200"/>
        <w:rPr>
          <w:rFonts w:eastAsia="宋体" w:cs="Times New Roman"/>
        </w:rPr>
      </w:pPr>
      <w:r>
        <w:rPr>
          <w:rFonts w:eastAsia="宋体" w:cs="Times New Roman"/>
        </w:rPr>
        <w:t>除多阶段</w:t>
      </w:r>
      <w:r>
        <w:rPr>
          <w:rFonts w:hint="eastAsia" w:eastAsia="宋体" w:cs="Times New Roman"/>
        </w:rPr>
        <w:t>演进</w:t>
      </w:r>
      <w:r>
        <w:rPr>
          <w:rFonts w:eastAsia="宋体" w:cs="Times New Roman"/>
        </w:rPr>
        <w:t>这一特性以外，新型电力系统APT攻击还受到信息</w:t>
      </w:r>
      <w:r>
        <w:rPr>
          <w:rFonts w:hint="eastAsia" w:eastAsia="宋体" w:cs="Times New Roman"/>
        </w:rPr>
        <w:t>-</w:t>
      </w:r>
      <w:r>
        <w:rPr>
          <w:rFonts w:eastAsia="宋体" w:cs="Times New Roman"/>
        </w:rPr>
        <w:t>物理耦合、多区域关联以及多源异构数据环境等因素影响，其攻击表现具有更明显的场景特性，本文将其主要特点概括如下：</w:t>
      </w:r>
    </w:p>
    <w:p w14:paraId="3DC36A10">
      <w:pPr>
        <w:spacing w:line="400" w:lineRule="exact"/>
        <w:ind w:firstLine="480" w:firstLineChars="200"/>
        <w:rPr>
          <w:rFonts w:eastAsia="宋体" w:cs="Times New Roman"/>
        </w:rPr>
      </w:pPr>
      <w:r>
        <w:rPr>
          <w:rFonts w:eastAsia="宋体" w:cs="Times New Roman"/>
        </w:rPr>
        <w:t>1）隐蔽性强，早期线索微弱：APT攻击在前期通常以侦察、试探、凭据获取和隐蔽驻留等行为为主，相关异常通常表现为低频、轻微的偏离行为，难以根据单一时刻的行为形成预警。在新型电力系统中，接入主体更多、背景行为更复杂、业务链路更长，早期异常更加难以从大量正常运行行为中直接分辨出来。</w:t>
      </w:r>
    </w:p>
    <w:p w14:paraId="0CC8C447">
      <w:pPr>
        <w:spacing w:line="400" w:lineRule="exact"/>
        <w:ind w:firstLine="480" w:firstLineChars="200"/>
        <w:rPr>
          <w:rFonts w:eastAsia="宋体" w:cs="Times New Roman"/>
        </w:rPr>
      </w:pPr>
      <w:r>
        <w:rPr>
          <w:rFonts w:hint="eastAsia" w:eastAsia="宋体" w:cs="Times New Roman"/>
        </w:rPr>
        <w:t>2</w:t>
      </w:r>
      <w:r>
        <w:rPr>
          <w:rFonts w:eastAsia="宋体" w:cs="Times New Roman"/>
        </w:rPr>
        <w:t>）</w:t>
      </w:r>
      <w:r>
        <w:rPr>
          <w:rFonts w:hint="eastAsia" w:eastAsia="宋体" w:cs="Times New Roman"/>
        </w:rPr>
        <w:t>阶段持续演进：</w:t>
      </w:r>
      <w:r>
        <w:rPr>
          <w:rFonts w:eastAsia="宋体" w:cs="Times New Roman"/>
        </w:rPr>
        <w:t>APT攻击不是单一时刻能够完成的，而是沿多个阶段逐步演化推进。前一阶段获得的信息、权限或控制能力，通常会成为后一阶段继续扩展的基础，因此攻击状态会随时间持续变化。这表明仅依赖单一时刻或单一片段的静态检测方式，通常难以完整把握攻击的发展过程。</w:t>
      </w:r>
    </w:p>
    <w:p w14:paraId="0D1E90D1">
      <w:pPr>
        <w:spacing w:line="400" w:lineRule="exact"/>
        <w:ind w:firstLine="480" w:firstLineChars="200"/>
        <w:rPr>
          <w:rFonts w:eastAsia="宋体" w:cs="Times New Roman"/>
        </w:rPr>
      </w:pPr>
      <w:r>
        <w:rPr>
          <w:rFonts w:hint="eastAsia" w:eastAsia="宋体" w:cs="Times New Roman"/>
        </w:rPr>
        <w:t>3</w:t>
      </w:r>
      <w:r>
        <w:rPr>
          <w:rFonts w:eastAsia="宋体" w:cs="Times New Roman"/>
        </w:rPr>
        <w:t>）跨区域渗透：新型电力系统中的信息系统、业务系统和控制系统联系更加紧密，不同区域、不同链路和不同业务环节之间的关联也更加</w:t>
      </w:r>
      <w:r>
        <w:rPr>
          <w:rFonts w:hint="eastAsia" w:eastAsia="宋体" w:cs="Times New Roman"/>
        </w:rPr>
        <w:t>密切</w:t>
      </w:r>
      <w:r>
        <w:rPr>
          <w:rFonts w:eastAsia="宋体" w:cs="Times New Roman"/>
        </w:rPr>
        <w:t>。在这一背景下，APT攻击可能由边缘接入点进入，再沿通信链路、业务链路和控制链路逐步扩展，最终接近关键区域和关键节点</w:t>
      </w:r>
      <w:r>
        <w:rPr>
          <w:rFonts w:eastAsia="宋体" w:cs="Times New Roman"/>
          <w:vertAlign w:val="superscript"/>
        </w:rPr>
        <w:fldChar w:fldCharType="begin" w:fldLock="1"/>
      </w:r>
      <w:r>
        <w:rPr>
          <w:rFonts w:eastAsia="宋体" w:cs="Times New Roman"/>
          <w:vertAlign w:val="superscript"/>
        </w:rPr>
        <w:instrText xml:space="preserve"> REF _Ref225274999 \r \h  \* MERGEFORMAT </w:instrText>
      </w:r>
      <w:r>
        <w:rPr>
          <w:rFonts w:eastAsia="宋体" w:cs="Times New Roman"/>
          <w:vertAlign w:val="superscript"/>
        </w:rPr>
        <w:fldChar w:fldCharType="separate"/>
      </w:r>
      <w:r>
        <w:rPr>
          <w:rFonts w:eastAsia="宋体" w:cs="Times New Roman"/>
          <w:vertAlign w:val="superscript"/>
        </w:rPr>
        <w:t>[76]</w:t>
      </w:r>
      <w:r>
        <w:rPr>
          <w:rFonts w:eastAsia="宋体" w:cs="Times New Roman"/>
          <w:vertAlign w:val="superscript"/>
        </w:rPr>
        <w:fldChar w:fldCharType="end"/>
      </w:r>
      <w:r>
        <w:rPr>
          <w:rFonts w:eastAsia="宋体" w:cs="Times New Roman"/>
        </w:rPr>
        <w:t>。因此，攻击过程通常不只表现为单个节点异常，而更可能体现为跨区域、跨链路的连续渗透。</w:t>
      </w:r>
    </w:p>
    <w:p w14:paraId="68A65E2A">
      <w:pPr>
        <w:spacing w:line="400" w:lineRule="exact"/>
        <w:ind w:firstLine="480" w:firstLineChars="200"/>
        <w:rPr>
          <w:rFonts w:eastAsia="宋体" w:cs="Times New Roman"/>
        </w:rPr>
      </w:pPr>
      <w:r>
        <w:rPr>
          <w:rFonts w:hint="eastAsia" w:eastAsia="宋体" w:cs="Times New Roman"/>
        </w:rPr>
        <w:t>4</w:t>
      </w:r>
      <w:r>
        <w:rPr>
          <w:rFonts w:eastAsia="宋体" w:cs="Times New Roman"/>
        </w:rPr>
        <w:t>）</w:t>
      </w:r>
      <w:r>
        <w:rPr>
          <w:rFonts w:hint="eastAsia" w:eastAsia="宋体" w:cs="Times New Roman"/>
        </w:rPr>
        <w:t>线索异构分散：</w:t>
      </w:r>
      <w:r>
        <w:rPr>
          <w:rFonts w:eastAsia="宋体" w:cs="Times New Roman"/>
        </w:rPr>
        <w:t>APT攻击过程通常涉及主机日志、网络流量、应用日志、告警信息以及控制侧运行数据等多类信息，不同数据源在结构形式、时间粒度和语义表达上存在明显差异</w:t>
      </w:r>
      <w:r>
        <w:rPr>
          <w:rFonts w:eastAsia="宋体" w:cs="Times New Roman"/>
          <w:vertAlign w:val="superscript"/>
        </w:rPr>
        <w:fldChar w:fldCharType="begin" w:fldLock="1"/>
      </w:r>
      <w:r>
        <w:rPr>
          <w:rFonts w:eastAsia="宋体" w:cs="Times New Roman"/>
          <w:vertAlign w:val="superscript"/>
        </w:rPr>
        <w:instrText xml:space="preserve"> REF _Ref225274878 \r \h  \* MERGEFORMAT </w:instrText>
      </w:r>
      <w:r>
        <w:rPr>
          <w:rFonts w:eastAsia="宋体" w:cs="Times New Roman"/>
          <w:vertAlign w:val="superscript"/>
        </w:rPr>
        <w:fldChar w:fldCharType="separate"/>
      </w:r>
      <w:r>
        <w:rPr>
          <w:rFonts w:eastAsia="宋体" w:cs="Times New Roman"/>
          <w:vertAlign w:val="superscript"/>
        </w:rPr>
        <w:t>[77]</w:t>
      </w:r>
      <w:r>
        <w:rPr>
          <w:rFonts w:eastAsia="宋体" w:cs="Times New Roman"/>
          <w:vertAlign w:val="superscript"/>
        </w:rPr>
        <w:fldChar w:fldCharType="end"/>
      </w:r>
      <w:r>
        <w:rPr>
          <w:rFonts w:eastAsia="宋体" w:cs="Times New Roman"/>
        </w:rPr>
        <w:t>。在新型电力系统中，这类线索又分布在不同区域和不同业务环节之中，这使得统一表征和关联分析的难度进一步增加。</w:t>
      </w:r>
    </w:p>
    <w:p w14:paraId="23147629">
      <w:pPr>
        <w:spacing w:line="400" w:lineRule="exact"/>
        <w:ind w:firstLine="480" w:firstLineChars="200"/>
        <w:rPr>
          <w:rFonts w:eastAsia="宋体" w:cs="Times New Roman"/>
        </w:rPr>
      </w:pPr>
      <w:r>
        <w:rPr>
          <w:rFonts w:eastAsia="宋体" w:cs="Times New Roman"/>
        </w:rPr>
        <w:t>综上所述，新型电力系统APT攻击具有隐蔽性强、阶段持续</w:t>
      </w:r>
      <w:r>
        <w:rPr>
          <w:rFonts w:hint="eastAsia" w:eastAsia="宋体" w:cs="Times New Roman"/>
        </w:rPr>
        <w:t>演进</w:t>
      </w:r>
      <w:r>
        <w:rPr>
          <w:rFonts w:eastAsia="宋体" w:cs="Times New Roman"/>
        </w:rPr>
        <w:t>、跨区域渗透以及线索异构分散等特点。由于攻击早期异常迹象较弱，攻击状态又会随时间持续推进，单时刻、局部化的静态检测方式往往难以完整体现其发展过程。因此，面向新型电力系统APT攻击的检测方法不仅需要具备异常识别能力，还需要进一步支持阶段判断、持续跟踪和跨区域关联分析。</w:t>
      </w:r>
    </w:p>
    <w:p w14:paraId="52E17D54">
      <w:pPr>
        <w:pStyle w:val="3"/>
      </w:pPr>
      <w:bookmarkStart w:id="29" w:name="_Toc230086344"/>
      <w:r>
        <w:rPr>
          <w:rFonts w:hint="eastAsia"/>
        </w:rPr>
        <w:t>2.2 大语言模型</w:t>
      </w:r>
      <w:bookmarkEnd w:id="29"/>
    </w:p>
    <w:p w14:paraId="501CA660">
      <w:pPr>
        <w:spacing w:line="400" w:lineRule="exact"/>
        <w:ind w:firstLine="480" w:firstLineChars="200"/>
        <w:rPr>
          <w:rFonts w:eastAsia="宋体" w:cs="Times New Roman"/>
          <w:szCs w:val="24"/>
        </w:rPr>
      </w:pPr>
      <w:r>
        <w:rPr>
          <w:rFonts w:hint="eastAsia" w:eastAsia="宋体" w:cs="Times New Roman"/>
        </w:rPr>
        <w:t>大语言模型</w:t>
      </w:r>
      <w:r>
        <w:rPr>
          <w:rFonts w:eastAsia="宋体" w:cs="Times New Roman"/>
        </w:rPr>
        <w:t>（Large Language Model，LLM）是</w:t>
      </w:r>
      <w:r>
        <w:rPr>
          <w:rFonts w:hint="eastAsia" w:eastAsia="宋体" w:cs="Times New Roman"/>
        </w:rPr>
        <w:t>近年来自然语言处理领域的重要发展方向，</w:t>
      </w:r>
      <w:r>
        <w:rPr>
          <w:rFonts w:eastAsia="宋体" w:cs="Times New Roman"/>
        </w:rPr>
        <w:t>其核心在于通过大规模语料预训练学习语言中的上下文依赖关系、语义结构及知识表达规律，从而具备较强的文本理解、内容生成及复杂推理能力。当前主流大语言模型大多建立在Transformer架构之上，并以自注意力机制作为核心组成部分</w:t>
      </w:r>
      <w:r>
        <w:rPr>
          <w:rFonts w:eastAsia="宋体" w:cs="Times New Roman"/>
          <w:vertAlign w:val="superscript"/>
        </w:rPr>
        <w:fldChar w:fldCharType="begin" w:fldLock="1"/>
      </w:r>
      <w:r>
        <w:rPr>
          <w:rFonts w:eastAsia="宋体" w:cs="Times New Roman"/>
          <w:vertAlign w:val="superscript"/>
        </w:rPr>
        <w:instrText xml:space="preserve"> REF _Ref226556095 \r \h  \* MERGEFORMAT </w:instrText>
      </w:r>
      <w:r>
        <w:rPr>
          <w:rFonts w:eastAsia="宋体" w:cs="Times New Roman"/>
          <w:vertAlign w:val="superscript"/>
        </w:rPr>
        <w:fldChar w:fldCharType="separate"/>
      </w:r>
      <w:r>
        <w:rPr>
          <w:rFonts w:eastAsia="宋体" w:cs="Times New Roman"/>
          <w:vertAlign w:val="superscript"/>
        </w:rPr>
        <w:t>[78</w:t>
      </w:r>
      <w:r>
        <w:rPr>
          <w:rFonts w:hint="eastAsia" w:eastAsia="宋体" w:cs="Times New Roman"/>
          <w:vertAlign w:val="superscript"/>
        </w:rPr>
        <w:t>-</w:t>
      </w:r>
      <w:r>
        <w:rPr>
          <w:rFonts w:eastAsia="宋体" w:cs="Times New Roman"/>
          <w:vertAlign w:val="superscript"/>
        </w:rPr>
        <w:fldChar w:fldCharType="end"/>
      </w:r>
      <w:r>
        <w:rPr>
          <w:rFonts w:eastAsia="宋体" w:cs="Times New Roman"/>
          <w:vertAlign w:val="superscript"/>
        </w:rPr>
        <w:fldChar w:fldCharType="begin" w:fldLock="1"/>
      </w:r>
      <w:r>
        <w:rPr>
          <w:rFonts w:eastAsia="宋体" w:cs="Times New Roman"/>
          <w:vertAlign w:val="superscript"/>
        </w:rPr>
        <w:instrText xml:space="preserve"> REF _Ref226410185 \r \h </w:instrText>
      </w:r>
      <w:r>
        <w:rPr>
          <w:rFonts w:eastAsia="宋体" w:cs="Times New Roman"/>
          <w:vertAlign w:val="superscript"/>
        </w:rPr>
        <w:fldChar w:fldCharType="separate"/>
      </w:r>
      <w:r>
        <w:rPr>
          <w:rFonts w:eastAsia="宋体" w:cs="Times New Roman"/>
          <w:vertAlign w:val="superscript"/>
        </w:rPr>
        <w:t>79]</w:t>
      </w:r>
      <w:r>
        <w:rPr>
          <w:rFonts w:eastAsia="宋体" w:cs="Times New Roman"/>
          <w:vertAlign w:val="superscript"/>
        </w:rPr>
        <w:fldChar w:fldCharType="end"/>
      </w:r>
      <w:r>
        <w:rPr>
          <w:rFonts w:eastAsia="宋体" w:cs="Times New Roman"/>
        </w:rPr>
        <w:t>。与传统循环神经网络依赖递归的方式逐步处理序列不同，Transformer能够直接刻画序列内部不同位置间的关联关系，因此在长距离依赖建模、复杂语义表示以及大规模并行训练等方面具有更好的适用性</w:t>
      </w:r>
      <w:r>
        <w:rPr>
          <w:rFonts w:hint="eastAsia" w:eastAsia="宋体" w:cs="Times New Roman"/>
        </w:rPr>
        <w:t>，其结构</w:t>
      </w:r>
      <w:r>
        <w:rPr>
          <w:rFonts w:hint="eastAsia" w:eastAsia="宋体" w:cs="Times New Roman"/>
          <w:szCs w:val="24"/>
        </w:rPr>
        <w:t>如图2</w:t>
      </w:r>
      <w:r>
        <w:rPr>
          <w:rFonts w:eastAsia="宋体" w:cs="Times New Roman"/>
          <w:szCs w:val="24"/>
        </w:rPr>
        <w:t>.</w:t>
      </w:r>
      <w:r>
        <w:rPr>
          <w:rFonts w:hint="eastAsia" w:eastAsia="宋体" w:cs="Times New Roman"/>
          <w:szCs w:val="24"/>
        </w:rPr>
        <w:t>2所示。</w:t>
      </w:r>
    </w:p>
    <w:p w14:paraId="15ECA9C6">
      <w:pPr>
        <w:spacing w:line="240" w:lineRule="auto"/>
        <w:jc w:val="center"/>
        <w:rPr>
          <w:rFonts w:eastAsia="宋体" w:cs="Times New Roman"/>
        </w:rPr>
      </w:pPr>
      <w:r>
        <w:rPr>
          <w:rFonts w:eastAsia="宋体" w:cs="Times New Roman"/>
        </w:rPr>
        <w:object>
          <v:shape id="_x0000_i1027" o:spt="75" type="#_x0000_t75" style="height:247.9pt;width:255.4pt;" o:ole="t" filled="f" o:preferrelative="t" stroked="f" coordsize="21600,21600">
            <v:path/>
            <v:fill on="f" focussize="0,0"/>
            <v:stroke on="f" joinstyle="miter"/>
            <v:imagedata r:id="rId26" o:title=""/>
            <o:lock v:ext="edit" aspectratio="t"/>
            <w10:wrap type="none"/>
            <w10:anchorlock/>
          </v:shape>
          <o:OLEObject Type="Embed" ProgID="Visio.Drawing.15" ShapeID="_x0000_i1027" DrawAspect="Content" ObjectID="_1468075727" r:id="rId25">
            <o:LockedField>false</o:LockedField>
          </o:OLEObject>
        </w:object>
      </w:r>
    </w:p>
    <w:p w14:paraId="02DF6F86">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2.2</w:t>
      </w:r>
      <w:r>
        <w:rPr>
          <w:rFonts w:cs="Times New Roman"/>
          <w:sz w:val="21"/>
          <w:szCs w:val="21"/>
        </w:rPr>
        <w:t xml:space="preserve"> </w:t>
      </w:r>
      <w:r>
        <w:rPr>
          <w:rFonts w:hint="eastAsia" w:cs="Times New Roman"/>
          <w:sz w:val="21"/>
          <w:szCs w:val="21"/>
        </w:rPr>
        <w:t>Transformer结构</w:t>
      </w:r>
    </w:p>
    <w:p w14:paraId="7627A370">
      <w:pPr>
        <w:spacing w:line="400" w:lineRule="exact"/>
        <w:ind w:firstLine="480" w:firstLineChars="200"/>
        <w:rPr>
          <w:rFonts w:eastAsia="宋体" w:cs="Times New Roman"/>
        </w:rPr>
      </w:pPr>
      <w:r>
        <w:rPr>
          <w:rFonts w:eastAsia="宋体" w:cs="Times New Roman"/>
        </w:rPr>
        <w:t>在Transformer中，自注意力机制的关键作用是根据当前位置与序列中其他位置间的相关程度，对不同上下文信息进行自适应加权处理。对于序列中第</w:t>
      </w:r>
      <w:r>
        <w:rPr>
          <w:rFonts w:hint="eastAsia" w:eastAsia="宋体" w:cs="Times New Roman"/>
          <w:position w:val="-6"/>
        </w:rPr>
        <w:object>
          <v:shape id="_x0000_i1028" o:spt="75" type="#_x0000_t75" style="height:13.15pt;width:6.4pt;" o:ole="t" filled="f" o:preferrelative="t" stroked="f" coordsize="21600,21600">
            <v:path/>
            <v:fill on="f" focussize="0,0"/>
            <v:stroke on="f" joinstyle="miter"/>
            <v:imagedata r:id="rId28" o:title=""/>
            <o:lock v:ext="edit" aspectratio="t"/>
            <w10:wrap type="none"/>
            <w10:anchorlock/>
          </v:shape>
          <o:OLEObject Type="Embed" ProgID="Equation.DSMT4" ShapeID="_x0000_i1028" DrawAspect="Content" ObjectID="_1468075728" r:id="rId27">
            <o:LockedField>false</o:LockedField>
          </o:OLEObject>
        </w:object>
      </w:r>
      <w:r>
        <w:rPr>
          <w:rFonts w:eastAsia="宋体" w:cs="Times New Roman"/>
        </w:rPr>
        <w:t>个位置，其对第</w:t>
      </w:r>
      <w:r>
        <w:rPr>
          <w:rFonts w:hint="eastAsia" w:eastAsia="宋体" w:cs="Times New Roman"/>
          <w:position w:val="-10"/>
        </w:rPr>
        <w:object>
          <v:shape id="_x0000_i1029" o:spt="75" type="#_x0000_t75" style="height:15pt;width:10.15pt;" o:ole="t" filled="f" o:preferrelative="t" stroked="f" coordsize="21600,21600">
            <v:path/>
            <v:fill on="f" focussize="0,0"/>
            <v:stroke on="f" joinstyle="miter"/>
            <v:imagedata r:id="rId30" o:title=""/>
            <o:lock v:ext="edit" aspectratio="t"/>
            <w10:wrap type="none"/>
            <w10:anchorlock/>
          </v:shape>
          <o:OLEObject Type="Embed" ProgID="Equation.DSMT4" ShapeID="_x0000_i1029" DrawAspect="Content" ObjectID="_1468075729" r:id="rId29">
            <o:LockedField>false</o:LockedField>
          </o:OLEObject>
        </w:object>
      </w:r>
      <w:r>
        <w:rPr>
          <w:rFonts w:eastAsia="宋体" w:cs="Times New Roman"/>
        </w:rPr>
        <w:t>个位置的注意力权重可表示为</w:t>
      </w:r>
      <w:r>
        <w:rPr>
          <w:rFonts w:hint="eastAsia" w:eastAsia="宋体" w:cs="Times New Roman"/>
        </w:rPr>
        <w:t>式(2.1)。</w:t>
      </w:r>
    </w:p>
    <w:p w14:paraId="69B5F579">
      <w:pPr>
        <w:tabs>
          <w:tab w:val="center" w:pos="4160"/>
          <w:tab w:val="right" w:pos="8300"/>
        </w:tabs>
        <w:spacing w:line="240" w:lineRule="auto"/>
        <w:ind w:firstLine="482" w:firstLineChars="200"/>
        <w:rPr>
          <w:rFonts w:eastAsia="宋体" w:cs="Times New Roman"/>
        </w:rPr>
      </w:pPr>
      <w:r>
        <w:rPr>
          <w:rFonts w:eastAsia="宋体" w:cs="Times New Roman"/>
          <w:b/>
          <w:bCs/>
        </w:rPr>
        <w:tab/>
      </w:r>
      <w:r>
        <w:rPr>
          <w:rFonts w:eastAsia="宋体" w:cs="Times New Roman"/>
          <w:b/>
          <w:bCs/>
          <w:position w:val="-38"/>
        </w:rPr>
        <w:object>
          <v:shape id="_x0000_i1030" o:spt="75" type="#_x0000_t75" style="height:40.15pt;width:145.5pt;" o:ole="t" filled="f" o:preferrelative="t" stroked="f" coordsize="21600,21600">
            <v:path/>
            <v:fill on="f" focussize="0,0"/>
            <v:stroke on="f" joinstyle="miter"/>
            <v:imagedata r:id="rId32" o:title=""/>
            <o:lock v:ext="edit" aspectratio="t"/>
            <w10:wrap type="none"/>
            <w10:anchorlock/>
          </v:shape>
          <o:OLEObject Type="Embed" ProgID="Equation.DSMT4" ShapeID="_x0000_i1030" DrawAspect="Content" ObjectID="_1468075730" r:id="rId31">
            <o:LockedField>false</o:LockedField>
          </o:OLEObject>
        </w:object>
      </w:r>
      <w:r>
        <w:rPr>
          <w:rFonts w:eastAsia="宋体" w:cs="Times New Roman"/>
          <w:b/>
          <w:bCs/>
        </w:rPr>
        <w:tab/>
      </w:r>
      <w:r>
        <w:rPr>
          <w:rFonts w:hint="eastAsia" w:eastAsia="宋体" w:cs="Times New Roman"/>
        </w:rPr>
        <w:t>(2.1)</w:t>
      </w:r>
    </w:p>
    <w:p w14:paraId="0497117B">
      <w:pPr>
        <w:spacing w:line="400" w:lineRule="exact"/>
        <w:ind w:firstLine="480" w:firstLineChars="200"/>
        <w:rPr>
          <w:rFonts w:eastAsia="宋体" w:cs="Times New Roman"/>
        </w:rPr>
      </w:pPr>
      <w:r>
        <w:rPr>
          <w:rFonts w:hint="eastAsia" w:eastAsia="宋体" w:cs="Times New Roman"/>
        </w:rPr>
        <w:t>进一步地，</w:t>
      </w:r>
      <w:r>
        <w:rPr>
          <w:rFonts w:eastAsia="宋体" w:cs="Times New Roman"/>
        </w:rPr>
        <w:t>第</w:t>
      </w:r>
      <w:r>
        <w:rPr>
          <w:rFonts w:hint="eastAsia" w:eastAsia="宋体" w:cs="Times New Roman"/>
          <w:position w:val="-6"/>
        </w:rPr>
        <w:object>
          <v:shape id="_x0000_i1031" o:spt="75" type="#_x0000_t75" style="height:13.15pt;width:6.4pt;" o:ole="t" filled="f" o:preferrelative="t" stroked="f" coordsize="21600,21600">
            <v:path/>
            <v:fill on="f" focussize="0,0"/>
            <v:stroke on="f" joinstyle="miter"/>
            <v:imagedata r:id="rId28" o:title=""/>
            <o:lock v:ext="edit" aspectratio="t"/>
            <w10:wrap type="none"/>
            <w10:anchorlock/>
          </v:shape>
          <o:OLEObject Type="Embed" ProgID="Equation.DSMT4" ShapeID="_x0000_i1031" DrawAspect="Content" ObjectID="_1468075731" r:id="rId33">
            <o:LockedField>false</o:LockedField>
          </o:OLEObject>
        </w:object>
      </w:r>
      <w:r>
        <w:rPr>
          <w:rFonts w:eastAsia="宋体" w:cs="Times New Roman"/>
        </w:rPr>
        <w:t>个位置的上下文表示</w:t>
      </w:r>
      <w:r>
        <w:rPr>
          <w:rFonts w:hint="eastAsia" w:eastAsia="宋体" w:cs="Times New Roman"/>
        </w:rPr>
        <w:t>如式(2.2)。</w:t>
      </w:r>
    </w:p>
    <w:p w14:paraId="32864C17">
      <w:pPr>
        <w:tabs>
          <w:tab w:val="center" w:pos="4160"/>
          <w:tab w:val="right" w:pos="8300"/>
        </w:tabs>
        <w:spacing w:line="240" w:lineRule="auto"/>
        <w:ind w:firstLine="482" w:firstLineChars="200"/>
        <w:rPr>
          <w:rFonts w:eastAsia="宋体" w:cs="Times New Roman"/>
        </w:rPr>
      </w:pPr>
      <w:r>
        <w:rPr>
          <w:rFonts w:eastAsia="宋体" w:cs="Times New Roman"/>
          <w:b/>
          <w:bCs/>
        </w:rPr>
        <w:tab/>
      </w:r>
      <w:r>
        <w:rPr>
          <w:rFonts w:eastAsia="宋体" w:cs="Times New Roman"/>
          <w:b/>
          <w:bCs/>
          <w:position w:val="-30"/>
        </w:rPr>
        <w:object>
          <v:shape id="_x0000_i1032" o:spt="75" type="#_x0000_t75" style="height:34.9pt;width:61.15pt;" o:ole="t" filled="f" o:preferrelative="t" stroked="f" coordsize="21600,21600">
            <v:path/>
            <v:fill on="f" focussize="0,0"/>
            <v:stroke on="f" joinstyle="miter"/>
            <v:imagedata r:id="rId35" o:title=""/>
            <o:lock v:ext="edit" aspectratio="t"/>
            <w10:wrap type="none"/>
            <w10:anchorlock/>
          </v:shape>
          <o:OLEObject Type="Embed" ProgID="Equation.DSMT4" ShapeID="_x0000_i1032" DrawAspect="Content" ObjectID="_1468075732" r:id="rId34">
            <o:LockedField>false</o:LockedField>
          </o:OLEObject>
        </w:object>
      </w:r>
      <w:r>
        <w:rPr>
          <w:rFonts w:eastAsia="宋体" w:cs="Times New Roman"/>
          <w:b/>
          <w:bCs/>
        </w:rPr>
        <w:tab/>
      </w:r>
      <w:r>
        <w:rPr>
          <w:rFonts w:hint="eastAsia" w:eastAsia="宋体" w:cs="Times New Roman"/>
        </w:rPr>
        <w:t>(2.2)</w:t>
      </w:r>
    </w:p>
    <w:p w14:paraId="6521CEDE">
      <w:pPr>
        <w:spacing w:line="400" w:lineRule="exact"/>
        <w:rPr>
          <w:rFonts w:eastAsia="宋体" w:cs="Times New Roman"/>
        </w:rPr>
      </w:pPr>
      <w:r>
        <w:rPr>
          <w:rFonts w:hint="eastAsia" w:eastAsia="宋体" w:cs="Times New Roman"/>
        </w:rPr>
        <w:t>式</w:t>
      </w:r>
      <w:r>
        <w:rPr>
          <w:rFonts w:eastAsia="宋体" w:cs="Times New Roman"/>
        </w:rPr>
        <w:t>中，</w:t>
      </w:r>
      <w:r>
        <w:rPr>
          <w:rFonts w:hint="eastAsia" w:eastAsia="宋体" w:cs="Times New Roman"/>
          <w:position w:val="-14"/>
        </w:rPr>
        <w:object>
          <v:shape id="_x0000_i1033" o:spt="75" type="#_x0000_t75" style="height:19.15pt;width:15pt;" o:ole="t" filled="f" o:preferrelative="t" stroked="f" coordsize="21600,21600">
            <v:path/>
            <v:fill on="f" focussize="0,0"/>
            <v:stroke on="f" joinstyle="miter"/>
            <v:imagedata r:id="rId37" o:title=""/>
            <o:lock v:ext="edit" aspectratio="t"/>
            <w10:wrap type="none"/>
            <w10:anchorlock/>
          </v:shape>
          <o:OLEObject Type="Embed" ProgID="Equation.DSMT4" ShapeID="_x0000_i1033" DrawAspect="Content" ObjectID="_1468075733" r:id="rId36">
            <o:LockedField>false</o:LockedField>
          </o:OLEObject>
        </w:object>
      </w:r>
      <w:r>
        <w:rPr>
          <w:rFonts w:eastAsia="宋体" w:cs="Times New Roman"/>
        </w:rPr>
        <w:t>表示位置</w:t>
      </w:r>
      <w:r>
        <w:rPr>
          <w:rFonts w:hint="eastAsia" w:eastAsia="宋体" w:cs="Times New Roman"/>
          <w:position w:val="-6"/>
        </w:rPr>
        <w:object>
          <v:shape id="_x0000_i1034" o:spt="75" type="#_x0000_t75" style="height:13.15pt;width:6.4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38">
            <o:LockedField>false</o:LockedField>
          </o:OLEObject>
        </w:object>
      </w:r>
      <w:r>
        <w:rPr>
          <w:rFonts w:eastAsia="宋体" w:cs="Times New Roman"/>
        </w:rPr>
        <w:t>对位置</w:t>
      </w:r>
      <w:r>
        <w:rPr>
          <w:rFonts w:hint="eastAsia" w:eastAsia="宋体" w:cs="Times New Roman"/>
          <w:position w:val="-10"/>
        </w:rPr>
        <w:object>
          <v:shape id="_x0000_i1035" o:spt="75" type="#_x0000_t75" style="height:15pt;width:10.15pt;" o:ole="t" filled="f" o:preferrelative="t" stroked="f" coordsize="21600,21600">
            <v:path/>
            <v:fill on="f" focussize="0,0"/>
            <v:stroke on="f" joinstyle="miter"/>
            <v:imagedata r:id="rId30" o:title=""/>
            <o:lock v:ext="edit" aspectratio="t"/>
            <w10:wrap type="none"/>
            <w10:anchorlock/>
          </v:shape>
          <o:OLEObject Type="Embed" ProgID="Equation.DSMT4" ShapeID="_x0000_i1035" DrawAspect="Content" ObjectID="_1468075735" r:id="rId39">
            <o:LockedField>false</o:LockedField>
          </o:OLEObject>
        </w:object>
      </w:r>
      <w:r>
        <w:rPr>
          <w:rFonts w:eastAsia="宋体" w:cs="Times New Roman"/>
        </w:rPr>
        <w:t>的关注程度，</w:t>
      </w:r>
      <w:r>
        <w:rPr>
          <w:rFonts w:hint="eastAsia" w:eastAsia="宋体" w:cs="Times New Roman"/>
          <w:position w:val="-14"/>
        </w:rPr>
        <w:object>
          <v:shape id="_x0000_i1036" o:spt="75" type="#_x0000_t75" style="height:19.15pt;width:13.15pt;" o:ole="t" filled="f" o:preferrelative="t" stroked="f" coordsize="21600,21600">
            <v:path/>
            <v:fill on="f" focussize="0,0"/>
            <v:stroke on="f" joinstyle="miter"/>
            <v:imagedata r:id="rId41" o:title=""/>
            <o:lock v:ext="edit" aspectratio="t"/>
            <w10:wrap type="none"/>
            <w10:anchorlock/>
          </v:shape>
          <o:OLEObject Type="Embed" ProgID="Equation.DSMT4" ShapeID="_x0000_i1036" DrawAspect="Content" ObjectID="_1468075736" r:id="rId40">
            <o:LockedField>false</o:LockedField>
          </o:OLEObject>
        </w:object>
      </w:r>
      <w:r>
        <w:rPr>
          <w:rFonts w:eastAsia="宋体" w:cs="Times New Roman"/>
        </w:rPr>
        <w:t>表示第</w:t>
      </w:r>
      <w:r>
        <w:rPr>
          <w:rFonts w:hint="eastAsia" w:eastAsia="宋体" w:cs="Times New Roman"/>
          <w:position w:val="-10"/>
        </w:rPr>
        <w:object>
          <v:shape id="_x0000_i1037" o:spt="75" type="#_x0000_t75" style="height:15pt;width:10.1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42">
            <o:LockedField>false</o:LockedField>
          </o:OLEObject>
        </w:object>
      </w:r>
      <w:r>
        <w:rPr>
          <w:rFonts w:eastAsia="宋体" w:cs="Times New Roman"/>
        </w:rPr>
        <w:t>个位置对应的特征表</w:t>
      </w:r>
      <w:r>
        <w:rPr>
          <w:rFonts w:hint="eastAsia" w:eastAsia="宋体" w:cs="Times New Roman"/>
        </w:rPr>
        <w:t>示。</w:t>
      </w:r>
      <w:r>
        <w:rPr>
          <w:rFonts w:eastAsia="宋体" w:cs="Times New Roman"/>
        </w:rPr>
        <w:t>该式</w:t>
      </w:r>
      <w:r>
        <w:rPr>
          <w:rFonts w:hint="eastAsia" w:eastAsia="宋体" w:cs="Times New Roman"/>
        </w:rPr>
        <w:t>表明</w:t>
      </w:r>
      <w:r>
        <w:rPr>
          <w:rFonts w:eastAsia="宋体" w:cs="Times New Roman"/>
        </w:rPr>
        <w:t>，自注意力机制在本质上是通过相关性分配权重，并对全局上下文信息进行加权聚合，从而突出与当前语义最相关的内容。在此基础上，多头注意力机制能够在不同表示子空间中并行提取信息，进一步增强模型对多层次语义关系的建模能力。</w:t>
      </w:r>
    </w:p>
    <w:p w14:paraId="5D0A038C">
      <w:pPr>
        <w:spacing w:line="400" w:lineRule="exact"/>
        <w:ind w:firstLine="480" w:firstLineChars="200"/>
        <w:rPr>
          <w:rFonts w:eastAsia="宋体" w:cs="Times New Roman"/>
        </w:rPr>
      </w:pPr>
      <w:r>
        <w:rPr>
          <w:rFonts w:eastAsia="宋体" w:cs="Times New Roman"/>
        </w:rPr>
        <w:t>在完成上下文建模后，大语言模型通常通过下一词的预测任务进行预训练，其优化目标可表示</w:t>
      </w:r>
      <w:r>
        <w:rPr>
          <w:rFonts w:hint="eastAsia" w:eastAsia="宋体" w:cs="Times New Roman"/>
        </w:rPr>
        <w:t>为</w:t>
      </w:r>
      <w:r>
        <w:rPr>
          <w:rFonts w:eastAsia="宋体" w:cs="Times New Roman"/>
        </w:rPr>
        <w:t>式</w:t>
      </w:r>
      <w:r>
        <w:rPr>
          <w:rFonts w:hint="eastAsia" w:eastAsia="宋体" w:cs="Times New Roman"/>
        </w:rPr>
        <w:t>(2.3)。</w:t>
      </w:r>
    </w:p>
    <w:p w14:paraId="6436F716">
      <w:pPr>
        <w:tabs>
          <w:tab w:val="center" w:pos="4160"/>
          <w:tab w:val="right" w:pos="8300"/>
        </w:tabs>
        <w:ind w:firstLine="482" w:firstLineChars="200"/>
        <w:rPr>
          <w:rFonts w:eastAsia="宋体" w:cs="Times New Roman"/>
        </w:rPr>
      </w:pPr>
      <w:r>
        <w:rPr>
          <w:rFonts w:eastAsia="宋体" w:cs="Times New Roman"/>
          <w:b/>
          <w:bCs/>
        </w:rPr>
        <w:tab/>
      </w:r>
      <w:r>
        <w:rPr>
          <w:rFonts w:eastAsia="宋体" w:cs="Times New Roman"/>
          <w:b/>
          <w:bCs/>
          <w:position w:val="-28"/>
        </w:rPr>
        <w:object>
          <v:shape id="_x0000_i1038" o:spt="75" type="#_x0000_t75" style="height:34.15pt;width:127.15pt;" o:ole="t" filled="f" o:preferrelative="t" stroked="f" coordsize="21600,21600">
            <v:path/>
            <v:fill on="f" focussize="0,0"/>
            <v:stroke on="f" joinstyle="miter"/>
            <v:imagedata r:id="rId44" o:title=""/>
            <o:lock v:ext="edit" aspectratio="t"/>
            <w10:wrap type="none"/>
            <w10:anchorlock/>
          </v:shape>
          <o:OLEObject Type="Embed" ProgID="Equation.DSMT4" ShapeID="_x0000_i1038" DrawAspect="Content" ObjectID="_1468075738" r:id="rId43">
            <o:LockedField>false</o:LockedField>
          </o:OLEObject>
        </w:object>
      </w:r>
      <w:r>
        <w:rPr>
          <w:rFonts w:eastAsia="宋体" w:cs="Times New Roman"/>
          <w:b/>
          <w:bCs/>
        </w:rPr>
        <w:tab/>
      </w:r>
      <w:r>
        <w:rPr>
          <w:rFonts w:hint="eastAsia" w:eastAsia="宋体" w:cs="Times New Roman"/>
        </w:rPr>
        <w:t>(2.3)</w:t>
      </w:r>
    </w:p>
    <w:p w14:paraId="2BB1F00B">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039" o:spt="75" type="#_x0000_t75" style="height:18pt;width:12.4pt;" o:ole="t" filled="f" o:preferrelative="t" stroked="f" coordsize="21600,21600">
            <v:path/>
            <v:fill on="f" focussize="0,0"/>
            <v:stroke on="f" joinstyle="miter"/>
            <v:imagedata r:id="rId46" o:title=""/>
            <o:lock v:ext="edit" aspectratio="t"/>
            <w10:wrap type="none"/>
            <w10:anchorlock/>
          </v:shape>
          <o:OLEObject Type="Embed" ProgID="Equation.DSMT4" ShapeID="_x0000_i1039" DrawAspect="Content" ObjectID="_1468075739" r:id="rId45">
            <o:LockedField>false</o:LockedField>
          </o:OLEObject>
        </w:object>
      </w:r>
      <w:r>
        <w:rPr>
          <w:rFonts w:hint="eastAsia" w:eastAsia="宋体" w:cs="Times New Roman"/>
        </w:rPr>
        <w:t>表示第</w:t>
      </w:r>
      <w:r>
        <w:rPr>
          <w:rFonts w:hint="eastAsia" w:eastAsia="宋体" w:cs="Times New Roman"/>
          <w:position w:val="-6"/>
        </w:rPr>
        <w:object>
          <v:shape id="_x0000_i1040" o:spt="75" type="#_x0000_t75" style="height:12.4pt;width:6.4pt;" o:ole="t" filled="f" o:preferrelative="t" stroked="f" coordsize="21600,21600">
            <v:path/>
            <v:fill on="f" focussize="0,0"/>
            <v:stroke on="f" joinstyle="miter"/>
            <v:imagedata r:id="rId48" o:title=""/>
            <o:lock v:ext="edit" aspectratio="t"/>
            <w10:wrap type="none"/>
            <w10:anchorlock/>
          </v:shape>
          <o:OLEObject Type="Embed" ProgID="Equation.DSMT4" ShapeID="_x0000_i1040" DrawAspect="Content" ObjectID="_1468075740" r:id="rId47">
            <o:LockedField>false</o:LockedField>
          </o:OLEObject>
        </w:object>
      </w:r>
      <w:r>
        <w:rPr>
          <w:rFonts w:hint="eastAsia" w:eastAsia="宋体" w:cs="Times New Roman"/>
        </w:rPr>
        <w:t>个位置的目标token，</w:t>
      </w:r>
      <w:r>
        <w:rPr>
          <w:rFonts w:hint="eastAsia" w:eastAsia="宋体" w:cs="Times New Roman"/>
          <w:position w:val="-12"/>
        </w:rPr>
        <w:object>
          <v:shape id="_x0000_i1041" o:spt="75" type="#_x0000_t75" style="height:18pt;width:16.15pt;" o:ole="t" filled="f" o:preferrelative="t" stroked="f" coordsize="21600,21600">
            <v:path/>
            <v:fill on="f" focussize="0,0"/>
            <v:stroke on="f" joinstyle="miter"/>
            <v:imagedata r:id="rId50" o:title=""/>
            <o:lock v:ext="edit" aspectratio="t"/>
            <w10:wrap type="none"/>
            <w10:anchorlock/>
          </v:shape>
          <o:OLEObject Type="Embed" ProgID="Equation.DSMT4" ShapeID="_x0000_i1041" DrawAspect="Content" ObjectID="_1468075741" r:id="rId49">
            <o:LockedField>false</o:LockedField>
          </o:OLEObject>
        </w:object>
      </w:r>
      <w:r>
        <w:rPr>
          <w:rFonts w:hint="eastAsia" w:eastAsia="宋体" w:cs="Times New Roman"/>
        </w:rPr>
        <w:t>表示其前序上下文，</w:t>
      </w:r>
      <w:r>
        <w:rPr>
          <w:rFonts w:hint="eastAsia" w:eastAsia="宋体" w:cs="Times New Roman"/>
          <w:position w:val="-6"/>
        </w:rPr>
        <w:object>
          <v:shape id="_x0000_i1042" o:spt="75" type="#_x0000_t75" style="height:13.9pt;width:10.15pt;" o:ole="t" filled="f" o:preferrelative="t" stroked="f" coordsize="21600,21600">
            <v:path/>
            <v:fill on="f" focussize="0,0"/>
            <v:stroke on="f" joinstyle="miter"/>
            <v:imagedata r:id="rId52" o:title=""/>
            <o:lock v:ext="edit" aspectratio="t"/>
            <w10:wrap type="none"/>
            <w10:anchorlock/>
          </v:shape>
          <o:OLEObject Type="Embed" ProgID="Equation.DSMT4" ShapeID="_x0000_i1042" DrawAspect="Content" ObjectID="_1468075742" r:id="rId51">
            <o:LockedField>false</o:LockedField>
          </o:OLEObject>
        </w:object>
      </w:r>
      <w:r>
        <w:rPr>
          <w:rFonts w:hint="eastAsia" w:eastAsia="宋体" w:cs="Times New Roman"/>
        </w:rPr>
        <w:t>表示模型参数。该目标函数表明，模型通过最大化真实序列在历史上下文条件下的生成概率，能够不断学习词语之间的</w:t>
      </w:r>
      <w:r>
        <w:rPr>
          <w:rFonts w:eastAsia="宋体" w:cs="Times New Roman"/>
        </w:rPr>
        <w:t>统计规律、语义联系及更高层次的知识结构。随着训练数据规模和模型参数规模的提升，大语言模型逐步表现出较强的上下文理解能力、任务迁移能力以及零样本、少样本条件下的泛化能力。</w:t>
      </w:r>
    </w:p>
    <w:p w14:paraId="6452A2CC">
      <w:pPr>
        <w:ind w:firstLine="480" w:firstLineChars="200"/>
        <w:rPr>
          <w:rFonts w:eastAsia="宋体" w:cs="Times New Roman"/>
        </w:rPr>
      </w:pPr>
      <w:r>
        <w:rPr>
          <w:rFonts w:eastAsia="宋体" w:cs="Times New Roman"/>
        </w:rPr>
        <w:t>在此基础上，当前大语言模型通常还会结合指令微调、偏好对齐等训练方式，进一步提升其任务适应能力与输出稳定性</w:t>
      </w:r>
      <w:r>
        <w:rPr>
          <w:rFonts w:eastAsia="宋体" w:cs="Times New Roman"/>
          <w:vertAlign w:val="superscript"/>
        </w:rPr>
        <w:fldChar w:fldCharType="begin" w:fldLock="1"/>
      </w:r>
      <w:r>
        <w:rPr>
          <w:rFonts w:eastAsia="宋体" w:cs="Times New Roman"/>
          <w:vertAlign w:val="superscript"/>
        </w:rPr>
        <w:instrText xml:space="preserve"> REF _Ref226410308 \r \h  \* MERGEFORMAT </w:instrText>
      </w:r>
      <w:r>
        <w:rPr>
          <w:rFonts w:eastAsia="宋体" w:cs="Times New Roman"/>
          <w:vertAlign w:val="superscript"/>
        </w:rPr>
        <w:fldChar w:fldCharType="separate"/>
      </w:r>
      <w:r>
        <w:rPr>
          <w:rFonts w:eastAsia="宋体" w:cs="Times New Roman"/>
          <w:vertAlign w:val="superscript"/>
        </w:rPr>
        <w:t>[80</w:t>
      </w:r>
      <w:r>
        <w:rPr>
          <w:rFonts w:hint="eastAsia" w:eastAsia="宋体" w:cs="Times New Roman"/>
          <w:vertAlign w:val="superscript"/>
        </w:rPr>
        <w:t>-</w:t>
      </w:r>
      <w:r>
        <w:rPr>
          <w:rFonts w:eastAsia="宋体" w:cs="Times New Roman"/>
          <w:vertAlign w:val="superscript"/>
        </w:rPr>
        <w:fldChar w:fldCharType="end"/>
      </w:r>
      <w:r>
        <w:rPr>
          <w:rFonts w:eastAsia="宋体" w:cs="Times New Roman"/>
          <w:vertAlign w:val="superscript"/>
        </w:rPr>
        <w:fldChar w:fldCharType="begin" w:fldLock="1"/>
      </w:r>
      <w:r>
        <w:rPr>
          <w:rFonts w:eastAsia="宋体" w:cs="Times New Roman"/>
          <w:vertAlign w:val="superscript"/>
        </w:rPr>
        <w:instrText xml:space="preserve"> REF _Ref226556116 \r \h </w:instrText>
      </w:r>
      <w:r>
        <w:rPr>
          <w:rFonts w:eastAsia="宋体" w:cs="Times New Roman"/>
          <w:vertAlign w:val="superscript"/>
        </w:rPr>
        <w:fldChar w:fldCharType="separate"/>
      </w:r>
      <w:r>
        <w:rPr>
          <w:rFonts w:eastAsia="宋体" w:cs="Times New Roman"/>
          <w:vertAlign w:val="superscript"/>
        </w:rPr>
        <w:t>81]</w:t>
      </w:r>
      <w:r>
        <w:rPr>
          <w:rFonts w:eastAsia="宋体" w:cs="Times New Roman"/>
          <w:vertAlign w:val="superscript"/>
        </w:rPr>
        <w:fldChar w:fldCharType="end"/>
      </w:r>
      <w:r>
        <w:rPr>
          <w:rFonts w:eastAsia="宋体" w:cs="Times New Roman"/>
        </w:rPr>
        <w:t>。经此</w:t>
      </w:r>
      <w:r>
        <w:rPr>
          <w:rFonts w:hint="eastAsia" w:eastAsia="宋体" w:cs="Times New Roman"/>
        </w:rPr>
        <w:t>过程</w:t>
      </w:r>
      <w:r>
        <w:rPr>
          <w:rFonts w:eastAsia="宋体" w:cs="Times New Roman"/>
        </w:rPr>
        <w:t>，模型不再局限于一般性的文本续写，而能够在自然语言指令约束下完成摘要、问答、分类、分析与推理等多类任务。这是大语言模型能够在复杂场景中广泛应用的重要原因。</w:t>
      </w:r>
    </w:p>
    <w:p w14:paraId="0F29658C">
      <w:pPr>
        <w:spacing w:line="400" w:lineRule="exact"/>
        <w:ind w:firstLine="480" w:firstLineChars="200"/>
        <w:rPr>
          <w:rFonts w:eastAsia="宋体" w:cs="Times New Roman"/>
        </w:rPr>
      </w:pPr>
      <w:r>
        <w:rPr>
          <w:rFonts w:eastAsia="宋体" w:cs="Times New Roman"/>
        </w:rPr>
        <w:t>目前具有代表性的大语言模型包括Gemini、GPT和Qwen等系列。其中，Gemini系列在复杂推理、长上下文建模以及多源信息综合分析等方面表现较为突出，尤其适合需要结合多类上下文信息进行整体归纳与多步分析的任务；GPT系列在通用语言理解、指令遵循、文本生成稳定性及复杂任务适配方面具有较强优势，因而在多类通用场景中应用广泛；Qwen系列则在中文理解、开源可用性及灵活部署方面具有较好的适用性，能够较好地兼顾推理能力与工程实现需求。</w:t>
      </w:r>
    </w:p>
    <w:p w14:paraId="4D70D58D">
      <w:pPr>
        <w:pStyle w:val="3"/>
      </w:pPr>
      <w:bookmarkStart w:id="30" w:name="_Toc230086345"/>
      <w:r>
        <w:rPr>
          <w:rFonts w:hint="eastAsia"/>
        </w:rPr>
        <w:t>2.3 预测型强化学习</w:t>
      </w:r>
      <w:bookmarkEnd w:id="30"/>
    </w:p>
    <w:p w14:paraId="39BE03A7">
      <w:pPr>
        <w:spacing w:line="400" w:lineRule="exact"/>
        <w:ind w:firstLine="480" w:firstLineChars="200"/>
        <w:rPr>
          <w:rFonts w:eastAsia="宋体" w:cs="Times New Roman"/>
        </w:rPr>
      </w:pPr>
      <w:r>
        <w:rPr>
          <w:rFonts w:eastAsia="宋体" w:cs="Times New Roman"/>
        </w:rPr>
        <w:t>预测型强化学习是在强化学习中引入世界模型的一类方法</w:t>
      </w:r>
      <w:r>
        <w:rPr>
          <w:rFonts w:eastAsia="宋体" w:cs="Times New Roman"/>
          <w:vertAlign w:val="superscript"/>
        </w:rPr>
        <w:fldChar w:fldCharType="begin" w:fldLock="1"/>
      </w:r>
      <w:r>
        <w:rPr>
          <w:rFonts w:eastAsia="宋体" w:cs="Times New Roman"/>
          <w:vertAlign w:val="superscript"/>
        </w:rPr>
        <w:instrText xml:space="preserve"> REF _Ref226556128 \r \h  \* MERGEFORMAT </w:instrText>
      </w:r>
      <w:r>
        <w:rPr>
          <w:rFonts w:eastAsia="宋体" w:cs="Times New Roman"/>
          <w:vertAlign w:val="superscript"/>
        </w:rPr>
        <w:fldChar w:fldCharType="separate"/>
      </w:r>
      <w:r>
        <w:rPr>
          <w:rFonts w:eastAsia="宋体" w:cs="Times New Roman"/>
          <w:vertAlign w:val="superscript"/>
        </w:rPr>
        <w:t>[82]</w:t>
      </w:r>
      <w:r>
        <w:rPr>
          <w:rFonts w:eastAsia="宋体" w:cs="Times New Roman"/>
          <w:vertAlign w:val="superscript"/>
        </w:rPr>
        <w:fldChar w:fldCharType="end"/>
      </w:r>
      <w:r>
        <w:rPr>
          <w:rFonts w:eastAsia="宋体" w:cs="Times New Roman"/>
        </w:rPr>
        <w:t>。其核心思想是，在策略学习过程中，不仅使用智能体与环境交互得到的反馈更新决策策略，还使用世界模型对动作执行后的状态变化进行前瞻预测，并据此辅助当前决策。与仅根据即时奖励进行更新的普通强化学习方法相比，预测型强化学习能够将后续状态演化纳入考虑，因此更适用于需要同时关注当前响应结果及后续影响的任务。</w:t>
      </w:r>
    </w:p>
    <w:p w14:paraId="499EF7BB">
      <w:pPr>
        <w:spacing w:line="400" w:lineRule="exact"/>
        <w:ind w:firstLine="482" w:firstLineChars="200"/>
        <w:rPr>
          <w:rFonts w:eastAsia="宋体" w:cs="Times New Roman"/>
          <w:b/>
          <w:bCs/>
        </w:rPr>
      </w:pPr>
      <w:r>
        <w:rPr>
          <w:rFonts w:eastAsia="宋体" w:cs="Times New Roman"/>
          <w:b/>
          <w:bCs/>
        </w:rPr>
        <w:t>（1）世界模型</w:t>
      </w:r>
    </w:p>
    <w:p w14:paraId="7292A782">
      <w:pPr>
        <w:spacing w:line="400" w:lineRule="exact"/>
        <w:ind w:firstLine="480" w:firstLineChars="200"/>
        <w:rPr>
          <w:rFonts w:eastAsia="宋体" w:cs="Times New Roman"/>
        </w:rPr>
      </w:pPr>
      <w:r>
        <w:rPr>
          <w:rFonts w:eastAsia="宋体" w:cs="Times New Roman"/>
        </w:rPr>
        <w:t>世界模型是一类用于学习环境变化规律的模型</w:t>
      </w:r>
      <w:r>
        <w:rPr>
          <w:rFonts w:hint="eastAsia" w:eastAsia="宋体" w:cs="Times New Roman"/>
        </w:rPr>
        <w:t>。其</w:t>
      </w:r>
      <w:r>
        <w:rPr>
          <w:rFonts w:eastAsia="宋体" w:cs="Times New Roman"/>
        </w:rPr>
        <w:t>作用是学习当前状态、动作与后续环境变化之间的关系，是预测型强化学习能够进行前瞻预测的关键部分</w:t>
      </w:r>
      <w:r>
        <w:rPr>
          <w:rFonts w:eastAsia="宋体" w:cs="Times New Roman"/>
          <w:vertAlign w:val="superscript"/>
        </w:rPr>
        <w:fldChar w:fldCharType="begin" w:fldLock="1"/>
      </w:r>
      <w:r>
        <w:rPr>
          <w:rFonts w:eastAsia="宋体" w:cs="Times New Roman"/>
          <w:vertAlign w:val="superscript"/>
        </w:rPr>
        <w:instrText xml:space="preserve"> REF _Ref226819874 \r \h  \* MERGEFORMAT </w:instrText>
      </w:r>
      <w:r>
        <w:rPr>
          <w:rFonts w:eastAsia="宋体" w:cs="Times New Roman"/>
          <w:vertAlign w:val="superscript"/>
        </w:rPr>
        <w:fldChar w:fldCharType="separate"/>
      </w:r>
      <w:r>
        <w:rPr>
          <w:rFonts w:eastAsia="宋体" w:cs="Times New Roman"/>
          <w:vertAlign w:val="superscript"/>
        </w:rPr>
        <w:t>[83]</w:t>
      </w:r>
      <w:r>
        <w:rPr>
          <w:rFonts w:eastAsia="宋体" w:cs="Times New Roman"/>
          <w:vertAlign w:val="superscript"/>
        </w:rPr>
        <w:fldChar w:fldCharType="end"/>
      </w:r>
      <w:r>
        <w:rPr>
          <w:rFonts w:eastAsia="宋体" w:cs="Times New Roman"/>
        </w:rPr>
        <w:t>。对于给定状态和候选动作，世界模型能够预测下一时刻状态及相关反馈的结果。基于世界模型，智能体在真实执行动作之前，能够首先对不同候选方案可能带来的后续影响进行比较，从而使策略更新不再只依赖当前一步的交互结果。</w:t>
      </w:r>
    </w:p>
    <w:p w14:paraId="7F31199D">
      <w:pPr>
        <w:spacing w:line="400" w:lineRule="exact"/>
        <w:ind w:firstLine="480" w:firstLineChars="200"/>
        <w:rPr>
          <w:rFonts w:eastAsia="宋体" w:cs="Times New Roman"/>
        </w:rPr>
      </w:pPr>
      <w:r>
        <w:rPr>
          <w:rFonts w:eastAsia="宋体" w:cs="Times New Roman"/>
        </w:rPr>
        <w:t>对于复杂动态环境，世界模型的作用主要体现在两个方面：首先，环境交互中获得的历史信息可以进一步用于学习状态变化规律，而不只是用于更新策略；其次，世界模型支持多步预测，使智能体能够分析未来一段时间内的状态变化。由此，预测型强化学习在决策过程中不仅能够考虑当前反馈，也能够结合后续状态演化进行判断。</w:t>
      </w:r>
    </w:p>
    <w:p w14:paraId="19B091C0">
      <w:pPr>
        <w:spacing w:line="400" w:lineRule="exact"/>
        <w:ind w:firstLine="482" w:firstLineChars="200"/>
        <w:rPr>
          <w:rFonts w:eastAsia="宋体" w:cs="Times New Roman"/>
          <w:b/>
          <w:bCs/>
        </w:rPr>
      </w:pPr>
      <w:r>
        <w:rPr>
          <w:rFonts w:eastAsia="宋体" w:cs="Times New Roman"/>
          <w:b/>
          <w:bCs/>
        </w:rPr>
        <w:t>（2）集成动力概率学世界模型</w:t>
      </w:r>
    </w:p>
    <w:p w14:paraId="25D43404">
      <w:pPr>
        <w:spacing w:line="400" w:lineRule="exact"/>
        <w:ind w:firstLine="480" w:firstLineChars="200"/>
        <w:rPr>
          <w:rFonts w:eastAsia="宋体" w:cs="Times New Roman"/>
        </w:rPr>
      </w:pPr>
      <w:r>
        <w:rPr>
          <w:rFonts w:eastAsia="宋体" w:cs="Times New Roman"/>
        </w:rPr>
        <w:t>在实际环境中，状态变化通常会受到噪声、扰动以及未观测因素的影响，因此下一时刻状态通常不是唯一确定的。若仅采用单一模型给出确定性的预测结果，往往难以体现这种不确定性。基于这一考虑，可将状态转移表示为概率分布，并结合多个动力学子模型共同完成预测，由此形成集成动力概率学世界模型</w:t>
      </w:r>
      <w:r>
        <w:rPr>
          <w:rFonts w:eastAsia="宋体" w:cs="Times New Roman"/>
          <w:vertAlign w:val="superscript"/>
        </w:rPr>
        <w:fldChar w:fldCharType="begin" w:fldLock="1"/>
      </w:r>
      <w:r>
        <w:rPr>
          <w:rFonts w:eastAsia="宋体" w:cs="Times New Roman"/>
          <w:vertAlign w:val="superscript"/>
        </w:rPr>
        <w:instrText xml:space="preserve"> REF _Ref226556153 \r \h  \* MERGEFORMAT </w:instrText>
      </w:r>
      <w:r>
        <w:rPr>
          <w:rFonts w:eastAsia="宋体" w:cs="Times New Roman"/>
          <w:vertAlign w:val="superscript"/>
        </w:rPr>
        <w:fldChar w:fldCharType="separate"/>
      </w:r>
      <w:r>
        <w:rPr>
          <w:rFonts w:eastAsia="宋体" w:cs="Times New Roman"/>
          <w:vertAlign w:val="superscript"/>
        </w:rPr>
        <w:t>[84]</w:t>
      </w:r>
      <w:r>
        <w:rPr>
          <w:rFonts w:eastAsia="宋体" w:cs="Times New Roman"/>
          <w:vertAlign w:val="superscript"/>
        </w:rPr>
        <w:fldChar w:fldCharType="end"/>
      </w:r>
      <w:r>
        <w:rPr>
          <w:rFonts w:hint="eastAsia" w:eastAsia="宋体" w:cs="Times New Roman"/>
        </w:rPr>
        <w:t>，其结构如图2.3所示</w:t>
      </w:r>
      <w:r>
        <w:rPr>
          <w:rFonts w:eastAsia="宋体" w:cs="Times New Roman"/>
        </w:rPr>
        <w:t>。</w:t>
      </w:r>
    </w:p>
    <w:p w14:paraId="74B596D9">
      <w:pPr>
        <w:spacing w:line="240" w:lineRule="auto"/>
        <w:jc w:val="center"/>
        <w:rPr>
          <w:rFonts w:eastAsia="宋体" w:cs="Times New Roman"/>
        </w:rPr>
      </w:pPr>
      <w:r>
        <w:rPr>
          <w:rFonts w:eastAsia="宋体" w:cs="Times New Roman"/>
        </w:rPr>
        <w:object>
          <v:shape id="_x0000_i1043" o:spt="75" type="#_x0000_t75" style="height:107.65pt;width:327.4pt;" o:ole="t" filled="f" o:preferrelative="t" stroked="f" coordsize="21600,21600">
            <v:path/>
            <v:fill on="f" focussize="0,0"/>
            <v:stroke on="f" joinstyle="miter"/>
            <v:imagedata r:id="rId54" o:title=""/>
            <o:lock v:ext="edit" aspectratio="t"/>
            <w10:wrap type="none"/>
            <w10:anchorlock/>
          </v:shape>
          <o:OLEObject Type="Embed" ProgID="Visio.Drawing.15" ShapeID="_x0000_i1043" DrawAspect="Content" ObjectID="_1468075743" r:id="rId53">
            <o:LockedField>false</o:LockedField>
          </o:OLEObject>
        </w:object>
      </w:r>
    </w:p>
    <w:p w14:paraId="19F693E3">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2.3</w:t>
      </w:r>
      <w:r>
        <w:rPr>
          <w:rFonts w:cs="Times New Roman"/>
          <w:sz w:val="21"/>
          <w:szCs w:val="21"/>
        </w:rPr>
        <w:t xml:space="preserve"> </w:t>
      </w:r>
      <w:r>
        <w:rPr>
          <w:rFonts w:hint="eastAsia" w:cs="Times New Roman"/>
          <w:sz w:val="21"/>
          <w:szCs w:val="21"/>
        </w:rPr>
        <w:t>集成动力概率学世界模型结构</w:t>
      </w:r>
    </w:p>
    <w:p w14:paraId="58DC38F2">
      <w:pPr>
        <w:spacing w:line="400" w:lineRule="exact"/>
        <w:ind w:firstLine="480" w:firstLineChars="200"/>
        <w:rPr>
          <w:rFonts w:eastAsia="宋体" w:cs="Times New Roman"/>
        </w:rPr>
      </w:pPr>
      <w:r>
        <w:rPr>
          <w:rFonts w:eastAsia="宋体" w:cs="Times New Roman"/>
        </w:rPr>
        <w:t>集成动力概率学世界模型由多个概率动力学子模型构成。每个子模型在给定当前状态和动作后，都会输出下一时刻状态的概率分布。第</w:t>
      </w:r>
      <w:r>
        <w:rPr>
          <w:rFonts w:hint="eastAsia" w:eastAsia="宋体" w:cs="Times New Roman"/>
          <w:position w:val="-6"/>
        </w:rPr>
        <w:object>
          <v:shape id="_x0000_i1044" o:spt="75" type="#_x0000_t75" style="height:10.9pt;width:13.15pt;" o:ole="t" filled="f" o:preferrelative="t" stroked="f" coordsize="21600,21600">
            <v:path/>
            <v:fill on="f" focussize="0,0"/>
            <v:stroke on="f" joinstyle="miter"/>
            <v:imagedata r:id="rId56" o:title=""/>
            <o:lock v:ext="edit" aspectratio="t"/>
            <w10:wrap type="none"/>
            <w10:anchorlock/>
          </v:shape>
          <o:OLEObject Type="Embed" ProgID="Equation.DSMT4" ShapeID="_x0000_i1044" DrawAspect="Content" ObjectID="_1468075744" r:id="rId55">
            <o:LockedField>false</o:LockedField>
          </o:OLEObject>
        </w:object>
      </w:r>
      <w:r>
        <w:rPr>
          <w:rFonts w:eastAsia="宋体" w:cs="Times New Roman"/>
        </w:rPr>
        <w:t>个动力学子模型对下一时刻状态的预测分布为式</w:t>
      </w:r>
      <w:r>
        <w:rPr>
          <w:rFonts w:hint="eastAsia" w:eastAsia="宋体" w:cs="Times New Roman"/>
        </w:rPr>
        <w:t>(2.4)。</w:t>
      </w:r>
    </w:p>
    <w:p w14:paraId="13817E4C">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6"/>
        </w:rPr>
        <w:object>
          <v:shape id="_x0000_i1045" o:spt="75" type="#_x0000_t75" style="height:21pt;width:205.9pt;" o:ole="t" filled="f" o:preferrelative="t" stroked="f" coordsize="21600,21600">
            <v:path/>
            <v:fill on="f" focussize="0,0"/>
            <v:stroke on="f" joinstyle="miter"/>
            <v:imagedata r:id="rId58" o:title=""/>
            <o:lock v:ext="edit" aspectratio="t"/>
            <w10:wrap type="none"/>
            <w10:anchorlock/>
          </v:shape>
          <o:OLEObject Type="Embed" ProgID="Equation.DSMT4" ShapeID="_x0000_i1045" DrawAspect="Content" ObjectID="_1468075745" r:id="rId57">
            <o:LockedField>false</o:LockedField>
          </o:OLEObject>
        </w:object>
      </w:r>
      <w:r>
        <w:rPr>
          <w:rFonts w:eastAsia="宋体" w:cs="Times New Roman"/>
        </w:rPr>
        <w:tab/>
      </w:r>
      <w:r>
        <w:rPr>
          <w:rFonts w:hint="eastAsia" w:eastAsia="宋体" w:cs="Times New Roman"/>
        </w:rPr>
        <w:t>(2.4)</w:t>
      </w:r>
    </w:p>
    <w:p w14:paraId="69D6F00A">
      <w:pPr>
        <w:spacing w:line="400" w:lineRule="exact"/>
        <w:rPr>
          <w:rFonts w:eastAsia="宋体" w:cs="Times New Roman"/>
        </w:rPr>
      </w:pPr>
      <w:r>
        <w:rPr>
          <w:rFonts w:eastAsia="宋体" w:cs="Times New Roman"/>
        </w:rPr>
        <w:t>式中，</w:t>
      </w:r>
      <w:r>
        <w:rPr>
          <w:rFonts w:hint="eastAsia" w:eastAsia="宋体" w:cs="Times New Roman"/>
          <w:position w:val="-12"/>
        </w:rPr>
        <w:object>
          <v:shape id="_x0000_i1046" o:spt="75" type="#_x0000_t75" style="height:18pt;width:48.4pt;" o:ole="t" filled="f" o:preferrelative="t" stroked="f" coordsize="21600,21600">
            <v:path/>
            <v:fill on="f" focussize="0,0"/>
            <v:stroke on="f" joinstyle="miter"/>
            <v:imagedata r:id="rId60" o:title=""/>
            <o:lock v:ext="edit" aspectratio="t"/>
            <w10:wrap type="none"/>
            <w10:anchorlock/>
          </v:shape>
          <o:OLEObject Type="Embed" ProgID="Equation.DSMT4" ShapeID="_x0000_i1046" DrawAspect="Content" ObjectID="_1468075746" r:id="rId59">
            <o:LockedField>false</o:LockedField>
          </o:OLEObject>
        </w:object>
      </w:r>
      <w:r>
        <w:rPr>
          <w:rFonts w:eastAsia="宋体" w:cs="Times New Roman"/>
        </w:rPr>
        <w:t>表示第</w:t>
      </w:r>
      <w:r>
        <w:rPr>
          <w:rFonts w:hint="eastAsia" w:eastAsia="宋体" w:cs="Times New Roman"/>
          <w:position w:val="-6"/>
        </w:rPr>
        <w:object>
          <v:shape id="_x0000_i1047" o:spt="75" type="#_x0000_t75" style="height:10.9pt;width:13.15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7" r:id="rId61">
            <o:LockedField>false</o:LockedField>
          </o:OLEObject>
        </w:object>
      </w:r>
      <w:r>
        <w:rPr>
          <w:rFonts w:eastAsia="宋体" w:cs="Times New Roman"/>
        </w:rPr>
        <w:t>个子模型的状态均值预测，</w:t>
      </w:r>
      <w:r>
        <w:rPr>
          <w:rFonts w:hint="eastAsia" w:eastAsia="宋体" w:cs="Times New Roman"/>
          <w:position w:val="-16"/>
        </w:rPr>
        <w:object>
          <v:shape id="_x0000_i1048" o:spt="75" type="#_x0000_t75" style="height:21pt;width:55.9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rFonts w:eastAsia="宋体" w:cs="Times New Roman"/>
        </w:rPr>
        <w:t>表示相应的不确定性信息，</w:t>
      </w:r>
      <w:r>
        <w:rPr>
          <w:rFonts w:hint="eastAsia" w:eastAsia="宋体" w:cs="Times New Roman"/>
          <w:position w:val="-4"/>
        </w:rPr>
        <w:object>
          <v:shape id="_x0000_i1049" o:spt="75" type="#_x0000_t75" style="height:13.15pt;width:16.15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eastAsia="宋体" w:cs="Times New Roman"/>
        </w:rPr>
        <w:t>表示子模型数量。该式表明，在给定当前状态和动作后，模型输出的不再是单一状态值，而是包含预测中心与波动范围的分布结果。</w:t>
      </w:r>
    </w:p>
    <w:p w14:paraId="75C3A5F1">
      <w:pPr>
        <w:spacing w:line="400" w:lineRule="exact"/>
        <w:ind w:firstLine="480" w:firstLineChars="200"/>
        <w:rPr>
          <w:rFonts w:eastAsia="宋体" w:cs="Times New Roman"/>
        </w:rPr>
      </w:pPr>
      <w:r>
        <w:rPr>
          <w:rFonts w:eastAsia="宋体" w:cs="Times New Roman"/>
        </w:rPr>
        <w:t>在多个子模型共同参与预测时，不同模型会在相同输入下形成多组预测结果。由这些结果可以得到整体预测均值</w:t>
      </w:r>
      <w:r>
        <w:rPr>
          <w:rFonts w:hint="eastAsia" w:eastAsia="宋体" w:cs="Times New Roman"/>
        </w:rPr>
        <w:t>如式(2.5)。</w:t>
      </w:r>
    </w:p>
    <w:p w14:paraId="6DC2077C">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050" o:spt="75" type="#_x0000_t75" style="height:34.15pt;width:67.9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eastAsia="宋体" w:cs="Times New Roman"/>
        </w:rPr>
        <w:tab/>
      </w:r>
      <w:r>
        <w:rPr>
          <w:rFonts w:hint="eastAsia" w:eastAsia="宋体" w:cs="Times New Roman"/>
        </w:rPr>
        <w:t>(2.5)</w:t>
      </w:r>
    </w:p>
    <w:p w14:paraId="47A6007B">
      <w:pPr>
        <w:spacing w:line="400" w:lineRule="exact"/>
        <w:ind w:firstLine="480" w:firstLineChars="200"/>
        <w:rPr>
          <w:rFonts w:eastAsia="宋体" w:cs="Times New Roman"/>
        </w:rPr>
      </w:pPr>
      <w:r>
        <w:rPr>
          <w:rFonts w:eastAsia="宋体" w:cs="Times New Roman"/>
        </w:rPr>
        <w:t>同时，各子模型之间的预测差异能够反映当前结果的一致程度。不同子模型输出越接近，说明模型判断越一致；反之，则表明当前预测具有更高不确定性。因此，集成动力概率学世界模型不仅能够给出后续状态的预测结果，还能够提供相应的不确定性信息，为多步前瞻评估提供支持。</w:t>
      </w:r>
    </w:p>
    <w:p w14:paraId="466D3FD5">
      <w:pPr>
        <w:spacing w:line="400" w:lineRule="exact"/>
        <w:ind w:firstLine="482" w:firstLineChars="200"/>
        <w:rPr>
          <w:rFonts w:eastAsia="宋体" w:cs="Times New Roman"/>
        </w:rPr>
      </w:pPr>
      <w:r>
        <w:rPr>
          <w:rFonts w:eastAsia="宋体" w:cs="Times New Roman"/>
          <w:b/>
          <w:bCs/>
        </w:rPr>
        <w:t>（3）PPO强化学习方法</w:t>
      </w:r>
    </w:p>
    <w:p w14:paraId="68369D5A">
      <w:pPr>
        <w:spacing w:line="400" w:lineRule="exact"/>
        <w:ind w:firstLine="480" w:firstLineChars="200"/>
        <w:rPr>
          <w:rFonts w:eastAsia="宋体" w:cs="Times New Roman"/>
        </w:rPr>
      </w:pPr>
      <w:r>
        <w:rPr>
          <w:rFonts w:eastAsia="宋体" w:cs="Times New Roman"/>
        </w:rPr>
        <w:t>在获得世界模型提供的预测信息后，策略仍需要结合与环境的真实交互结果不断更新。近端策略优化算法（Proximal Policy Optimization，PPO）是强化学习中常用的一种策略优化方法，其核心思想是在推动策略持续改进的同时，对单次更新幅度进行控制，以避免策略变化过快而影响训练稳定性。</w:t>
      </w:r>
    </w:p>
    <w:p w14:paraId="19963742">
      <w:pPr>
        <w:spacing w:line="400" w:lineRule="exact"/>
        <w:ind w:firstLine="480" w:firstLineChars="200"/>
        <w:rPr>
          <w:rFonts w:eastAsia="宋体" w:cs="Times New Roman"/>
        </w:rPr>
      </w:pPr>
      <w:r>
        <w:rPr>
          <w:rFonts w:eastAsia="宋体" w:cs="Times New Roman"/>
        </w:rPr>
        <w:t>PPO以当前策略与环境交互得到的样本为基础，通过价值评估和优势估计判断不同动作的改进方向，再在受限更新条件下调整策略参数。这样既能够利用交互反馈推动策略向更优方向更新，也能够降低大幅更新带来的不稳定问题。因此，PPO在复杂强化学习任务中具有较好的适用性，也为后续检测策略的持续优化提供了基础。</w:t>
      </w:r>
    </w:p>
    <w:p w14:paraId="6626CA76">
      <w:pPr>
        <w:pStyle w:val="3"/>
      </w:pPr>
      <w:bookmarkStart w:id="31" w:name="_Toc230086346"/>
      <w:r>
        <w:rPr>
          <w:rFonts w:hint="eastAsia"/>
        </w:rPr>
        <w:t>2.4 多智能体强化学习</w:t>
      </w:r>
      <w:bookmarkEnd w:id="31"/>
    </w:p>
    <w:p w14:paraId="2B5E16FE">
      <w:pPr>
        <w:spacing w:line="400" w:lineRule="exact"/>
        <w:ind w:firstLine="480" w:firstLineChars="200"/>
        <w:rPr>
          <w:rFonts w:eastAsia="宋体" w:cs="Times New Roman"/>
        </w:rPr>
      </w:pPr>
      <w:r>
        <w:rPr>
          <w:rFonts w:eastAsia="宋体" w:cs="Times New Roman"/>
        </w:rPr>
        <w:t>多智能体强化学习主要研究多个智能体在共享环境中的联合学习与协作决策问题，是跨域协同检测方法的重要基础</w:t>
      </w:r>
      <w:r>
        <w:rPr>
          <w:rFonts w:eastAsia="宋体" w:cs="Times New Roman"/>
          <w:vertAlign w:val="superscript"/>
        </w:rPr>
        <w:fldChar w:fldCharType="begin" w:fldLock="1"/>
      </w:r>
      <w:r>
        <w:rPr>
          <w:rFonts w:eastAsia="宋体" w:cs="Times New Roman"/>
          <w:vertAlign w:val="superscript"/>
        </w:rPr>
        <w:instrText xml:space="preserve"> REF _Ref226410800 \r \h  \* MERGEFORMAT </w:instrText>
      </w:r>
      <w:r>
        <w:rPr>
          <w:rFonts w:eastAsia="宋体" w:cs="Times New Roman"/>
          <w:vertAlign w:val="superscript"/>
        </w:rPr>
        <w:fldChar w:fldCharType="separate"/>
      </w:r>
      <w:r>
        <w:rPr>
          <w:rFonts w:eastAsia="宋体" w:cs="Times New Roman"/>
          <w:vertAlign w:val="superscript"/>
        </w:rPr>
        <w:t>[85]</w:t>
      </w:r>
      <w:r>
        <w:rPr>
          <w:rFonts w:eastAsia="宋体" w:cs="Times New Roman"/>
          <w:vertAlign w:val="superscript"/>
        </w:rPr>
        <w:fldChar w:fldCharType="end"/>
      </w:r>
      <w:r>
        <w:rPr>
          <w:rFonts w:eastAsia="宋体" w:cs="Times New Roman"/>
        </w:rPr>
        <w:t>。在该类方法中，不同智能体根据各自观测信息进行动作选择，多个动作共同作用于环境，并决定后续状态变化及整体收益。</w:t>
      </w:r>
    </w:p>
    <w:p w14:paraId="53A4D501">
      <w:pPr>
        <w:spacing w:line="400" w:lineRule="exact"/>
        <w:ind w:firstLine="482" w:firstLineChars="200"/>
        <w:rPr>
          <w:rFonts w:eastAsia="宋体" w:cs="Times New Roman"/>
        </w:rPr>
      </w:pPr>
      <w:r>
        <w:rPr>
          <w:rFonts w:eastAsia="宋体" w:cs="Times New Roman"/>
          <w:b/>
          <w:bCs/>
        </w:rPr>
        <w:t>（1）多智能体强化学习</w:t>
      </w:r>
    </w:p>
    <w:p w14:paraId="758C732F">
      <w:pPr>
        <w:spacing w:line="400" w:lineRule="exact"/>
        <w:ind w:firstLine="480" w:firstLineChars="200"/>
        <w:rPr>
          <w:rFonts w:eastAsia="宋体" w:cs="Times New Roman"/>
        </w:rPr>
      </w:pPr>
      <w:r>
        <w:rPr>
          <w:rFonts w:eastAsia="宋体" w:cs="Times New Roman"/>
        </w:rPr>
        <w:t>多智能体强化学习是强化学习在多主体场景下的扩展形式，用于体现多个智能体在同一环境中的联合学习过程</w:t>
      </w:r>
      <w:r>
        <w:rPr>
          <w:rFonts w:eastAsia="宋体" w:cs="Times New Roman"/>
          <w:vertAlign w:val="superscript"/>
        </w:rPr>
        <w:fldChar w:fldCharType="begin" w:fldLock="1"/>
      </w:r>
      <w:r>
        <w:rPr>
          <w:rFonts w:eastAsia="宋体" w:cs="Times New Roman"/>
          <w:vertAlign w:val="superscript"/>
        </w:rPr>
        <w:instrText xml:space="preserve"> REF _Ref226819736 \r \h  \* MERGEFORMAT </w:instrText>
      </w:r>
      <w:r>
        <w:rPr>
          <w:rFonts w:eastAsia="宋体" w:cs="Times New Roman"/>
          <w:vertAlign w:val="superscript"/>
        </w:rPr>
        <w:fldChar w:fldCharType="separate"/>
      </w:r>
      <w:r>
        <w:rPr>
          <w:rFonts w:eastAsia="宋体" w:cs="Times New Roman"/>
          <w:vertAlign w:val="superscript"/>
        </w:rPr>
        <w:t>[86]</w:t>
      </w:r>
      <w:r>
        <w:rPr>
          <w:rFonts w:eastAsia="宋体" w:cs="Times New Roman"/>
          <w:vertAlign w:val="superscript"/>
        </w:rPr>
        <w:fldChar w:fldCharType="end"/>
      </w:r>
      <w:r>
        <w:rPr>
          <w:rFonts w:eastAsia="宋体" w:cs="Times New Roman"/>
        </w:rPr>
        <w:t>。在该框架下，各智能体通常根据自身局部观测选择动作，多个动作共同影响环境状态变化和整体收益，因此策略学习不仅包括单个智能体的行为选择，还包括智能体之间的交互关系与协作机制。多智能体强化学习中较常见的训练框架为集中训练、分散执行，即训练阶段利用全局状态、联合观测或共享信息进行学习，执行阶段由各智能体依据本地观测独立完成动作选择</w:t>
      </w:r>
      <w:r>
        <w:rPr>
          <w:rFonts w:eastAsia="宋体" w:cs="Times New Roman"/>
          <w:vertAlign w:val="superscript"/>
        </w:rPr>
        <w:fldChar w:fldCharType="begin" w:fldLock="1"/>
      </w:r>
      <w:r>
        <w:rPr>
          <w:rFonts w:eastAsia="宋体" w:cs="Times New Roman"/>
          <w:vertAlign w:val="superscript"/>
        </w:rPr>
        <w:instrText xml:space="preserve"> REF _Ref226819548 \r \h  \* MERGEFORMAT </w:instrText>
      </w:r>
      <w:r>
        <w:rPr>
          <w:rFonts w:eastAsia="宋体" w:cs="Times New Roman"/>
          <w:vertAlign w:val="superscript"/>
        </w:rPr>
        <w:fldChar w:fldCharType="separate"/>
      </w:r>
      <w:r>
        <w:rPr>
          <w:rFonts w:eastAsia="宋体" w:cs="Times New Roman"/>
          <w:vertAlign w:val="superscript"/>
        </w:rPr>
        <w:t>[87]</w:t>
      </w:r>
      <w:r>
        <w:rPr>
          <w:rFonts w:eastAsia="宋体" w:cs="Times New Roman"/>
          <w:vertAlign w:val="superscript"/>
        </w:rPr>
        <w:fldChar w:fldCharType="end"/>
      </w:r>
      <w:r>
        <w:rPr>
          <w:rFonts w:eastAsia="宋体" w:cs="Times New Roman"/>
        </w:rPr>
        <w:t>。</w:t>
      </w:r>
    </w:p>
    <w:p w14:paraId="282BBA87">
      <w:pPr>
        <w:spacing w:line="400" w:lineRule="exact"/>
        <w:ind w:firstLine="482" w:firstLineChars="200"/>
        <w:rPr>
          <w:rFonts w:eastAsia="宋体" w:cs="Times New Roman"/>
          <w:b/>
          <w:bCs/>
        </w:rPr>
      </w:pPr>
      <w:r>
        <w:rPr>
          <w:rFonts w:eastAsia="宋体" w:cs="Times New Roman"/>
          <w:b/>
          <w:bCs/>
        </w:rPr>
        <w:t>（2）MAPPO方法</w:t>
      </w:r>
    </w:p>
    <w:p w14:paraId="309F889D">
      <w:pPr>
        <w:spacing w:line="400" w:lineRule="exact"/>
        <w:ind w:firstLine="480" w:firstLineChars="200"/>
        <w:rPr>
          <w:rFonts w:eastAsia="宋体" w:cs="Times New Roman"/>
        </w:rPr>
      </w:pPr>
      <w:r>
        <w:rPr>
          <w:rFonts w:eastAsia="宋体" w:cs="Times New Roman"/>
        </w:rPr>
        <w:t>多智能体近端策略优化算法（Multi-Agent Proximal Policy Optimization，MAPPO）是在PPO基础上形成的一种多智能体强化学习方法，也是集中训练、分散执行框架下的典型算法</w:t>
      </w:r>
      <w:r>
        <w:rPr>
          <w:rFonts w:eastAsia="宋体" w:cs="Times New Roman"/>
          <w:vertAlign w:val="superscript"/>
        </w:rPr>
        <w:fldChar w:fldCharType="begin" w:fldLock="1"/>
      </w:r>
      <w:r>
        <w:rPr>
          <w:rFonts w:eastAsia="宋体" w:cs="Times New Roman"/>
          <w:vertAlign w:val="superscript"/>
        </w:rPr>
        <w:instrText xml:space="preserve"> REF _Ref225458907 \r \h  \* MERGEFORMAT </w:instrText>
      </w:r>
      <w:r>
        <w:rPr>
          <w:rFonts w:eastAsia="宋体" w:cs="Times New Roman"/>
          <w:vertAlign w:val="superscript"/>
        </w:rPr>
        <w:fldChar w:fldCharType="separate"/>
      </w:r>
      <w:r>
        <w:rPr>
          <w:rFonts w:eastAsia="宋体" w:cs="Times New Roman"/>
          <w:vertAlign w:val="superscript"/>
        </w:rPr>
        <w:t>[61]</w:t>
      </w:r>
      <w:r>
        <w:rPr>
          <w:rFonts w:eastAsia="宋体" w:cs="Times New Roman"/>
          <w:vertAlign w:val="superscript"/>
        </w:rPr>
        <w:fldChar w:fldCharType="end"/>
      </w:r>
      <w:r>
        <w:rPr>
          <w:rFonts w:eastAsia="宋体" w:cs="Times New Roman"/>
        </w:rPr>
        <w:t>。该方法将PPO的策略优化方式扩展到多智能体场景，在执行阶段保持各智能体基于局部观测独立决策，在训练阶段则使用集中式价值评估方式对联合状态或联合观测进行评估，从而完成多智能体协作策略学习。</w:t>
      </w:r>
    </w:p>
    <w:p w14:paraId="613E33CD">
      <w:pPr>
        <w:spacing w:line="400" w:lineRule="exact"/>
        <w:ind w:firstLine="480" w:firstLineChars="200"/>
        <w:rPr>
          <w:rFonts w:eastAsia="宋体" w:cs="Times New Roman"/>
        </w:rPr>
      </w:pPr>
      <w:r>
        <w:rPr>
          <w:rFonts w:eastAsia="宋体" w:cs="Times New Roman"/>
        </w:rPr>
        <w:t>MAPPO通常由多个智能体策略网络和一个集中式价值网络组成。策略网络分别对应各智能体的动作选择过程，价值网络用于评估当前联合状态或联合行为下的整体收益。基于这一结构，MAPPO能够同时利用局部决策信息和整体环境信息，因此适用于局部观测受限且智能体之间存在明显协作关系的任务场景。</w:t>
      </w:r>
    </w:p>
    <w:p w14:paraId="29F3B749">
      <w:pPr>
        <w:pStyle w:val="3"/>
      </w:pPr>
      <w:bookmarkStart w:id="32" w:name="_Toc230086347"/>
      <w:r>
        <w:rPr>
          <w:rFonts w:hint="eastAsia"/>
        </w:rPr>
        <w:t>2.5 本文方案概述</w:t>
      </w:r>
      <w:bookmarkEnd w:id="32"/>
    </w:p>
    <w:p w14:paraId="6649670F">
      <w:pPr>
        <w:ind w:firstLine="480" w:firstLineChars="200"/>
      </w:pPr>
      <w:r>
        <w:rPr>
          <w:rFonts w:hint="eastAsia"/>
        </w:rPr>
        <w:t>通过前文对新型电力系统及其中APT攻击特点的分析，若检测方法只依赖静态特征、单一时刻判别或局部区域分析，往往难以兼顾异常识别、过程追踪及全局关联。基于此考虑，本文提出一种结合大模型和预测型强化学习的新型电力系统APT检测方法，其整体结构如图2.4所示。</w:t>
      </w:r>
    </w:p>
    <w:p w14:paraId="4EAA3D6F">
      <w:pPr>
        <w:jc w:val="center"/>
      </w:pPr>
      <w:r>
        <w:object>
          <v:shape id="_x0000_i1051" o:spt="75" type="#_x0000_t75" style="height:463.15pt;width:379.15pt;" o:ole="t" filled="f" o:preferrelative="t" stroked="f" coordsize="21600,21600">
            <v:path/>
            <v:fill on="f" focussize="0,0"/>
            <v:stroke on="f" joinstyle="miter"/>
            <v:imagedata r:id="rId69" cropleft="493f" croptop="389f" cropright="398f" cropbottom="4016f" o:title=""/>
            <o:lock v:ext="edit" aspectratio="t"/>
            <w10:wrap type="none"/>
            <w10:anchorlock/>
          </v:shape>
          <o:OLEObject Type="Embed" ProgID="Visio.Drawing.15" ShapeID="_x0000_i1051" DrawAspect="Content" ObjectID="_1468075751" r:id="rId68">
            <o:LockedField>false</o:LockedField>
          </o:OLEObject>
        </w:object>
      </w:r>
    </w:p>
    <w:p w14:paraId="1A2A02D6">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2.4</w:t>
      </w:r>
      <w:r>
        <w:rPr>
          <w:rFonts w:cs="Times New Roman"/>
          <w:sz w:val="21"/>
          <w:szCs w:val="21"/>
        </w:rPr>
        <w:t xml:space="preserve"> </w:t>
      </w:r>
      <w:r>
        <w:rPr>
          <w:rFonts w:hint="eastAsia" w:cs="Times New Roman"/>
          <w:sz w:val="21"/>
          <w:szCs w:val="21"/>
        </w:rPr>
        <w:t>结合大模型和预测型强化学习的新型电力系统APT检测方案概述</w:t>
      </w:r>
    </w:p>
    <w:p w14:paraId="16A4284B">
      <w:pPr>
        <w:ind w:firstLine="480" w:firstLineChars="200"/>
      </w:pPr>
      <w:r>
        <w:rPr>
          <w:rFonts w:hint="eastAsia"/>
        </w:rPr>
        <w:t>首先，针对APT检测中弱标注条件下有效特征难以识别，且</w:t>
      </w:r>
      <w:r>
        <w:t>关键特征会随攻击行为和日志分布变化而动态变化的问题，提出基于性能反馈的自适应掩码特征选择方法。该方法先对多源异构日志进行统一表示，并利用对比学习完成特征预筛选，构建候选特征池；在此基础上，引入强化学习驱动的动态掩码选择</w:t>
      </w:r>
      <w:r>
        <w:rPr>
          <w:rFonts w:hint="eastAsia"/>
        </w:rPr>
        <w:t>方法</w:t>
      </w:r>
      <w:r>
        <w:t>，结合检测性能反馈对特征组合进行自适应调整。</w:t>
      </w:r>
    </w:p>
    <w:p w14:paraId="32AA8623">
      <w:pPr>
        <w:spacing w:line="400" w:lineRule="exact"/>
        <w:ind w:firstLine="480" w:firstLineChars="200"/>
      </w:pPr>
      <w:r>
        <w:t>然后，针对域内APT检测中仅依据当前观测难以</w:t>
      </w:r>
      <w:r>
        <w:rPr>
          <w:rFonts w:hint="eastAsia"/>
        </w:rPr>
        <w:t>准确</w:t>
      </w:r>
      <w:r>
        <w:t>判断攻击状态，且难以比较不同检测方案对后续状态演化、预警及时性及检测收益影响的问题，提出基于大模型先验和预测型强化学习的APT检测方法。该方法利用LLM生成候选检测计划及其先验偏好，并</w:t>
      </w:r>
      <w:r>
        <w:rPr>
          <w:rFonts w:hint="eastAsia"/>
        </w:rPr>
        <w:t>使用</w:t>
      </w:r>
      <w:r>
        <w:t>集成动力概率学世界模型对候选计划进行前瞻评估，进一步结合PPO完成检测策略的后验选择与持续优化。</w:t>
      </w:r>
    </w:p>
    <w:p w14:paraId="1522CEBD">
      <w:pPr>
        <w:ind w:firstLine="480" w:firstLineChars="200"/>
      </w:pPr>
      <w:r>
        <w:t>最后，针对APT攻击跨区域渗透过程中检测线索分散，单一区域检测结果难以支撑全局判断的问题，提出基于大模型先验和多智能体协作的跨域协同检测方法。该方法在多区域检测结果基础上构建统一检测证据表示，结合LLM完成攻击阶段推理、置信校准与协作计划生成，并在先验计划约束下引入多智能体协作决策，以实现</w:t>
      </w:r>
      <w:r>
        <w:rPr>
          <w:rFonts w:hint="eastAsia"/>
        </w:rPr>
        <w:t>对APT攻击的</w:t>
      </w:r>
      <w:r>
        <w:t>跨区域协同检测。</w:t>
      </w:r>
    </w:p>
    <w:p w14:paraId="66F23405">
      <w:pPr>
        <w:ind w:firstLine="480" w:firstLineChars="200"/>
      </w:pPr>
      <w:r>
        <w:t>综上，本文将</w:t>
      </w:r>
      <w:r>
        <w:rPr>
          <w:rFonts w:hint="eastAsia"/>
        </w:rPr>
        <w:t>LLM</w:t>
      </w:r>
      <w:r>
        <w:t>和预测型强化学习引入新型电力系统APT检测，重点解决</w:t>
      </w:r>
      <w:r>
        <w:rPr>
          <w:rFonts w:hint="eastAsia"/>
        </w:rPr>
        <w:t>APT</w:t>
      </w:r>
      <w:r>
        <w:t>弱异常线索难以识别、攻击阶段持续演进以及跨区域协同判断不足等问题。与现有方法主要依据当前观测或单步反馈进行检测判断不同，本文</w:t>
      </w:r>
      <w:r>
        <w:rPr>
          <w:rFonts w:hint="eastAsia"/>
        </w:rPr>
        <w:t>通过LLM生成</w:t>
      </w:r>
      <w:r>
        <w:t>候选计划或协作先验，并进一步结合世界模型前瞻评估、强化学习后验选择和多智能体协作优化，对检测方案的潜在收益、执行代价和协同效果进行综合权衡。以APT早期渗透场景为例，攻击行为可能仅表现为少量异常登录、低频扫描或局部通信异常，传统</w:t>
      </w:r>
      <w:r>
        <w:rPr>
          <w:rFonts w:hint="eastAsia"/>
        </w:rPr>
        <w:t>检测</w:t>
      </w:r>
      <w:r>
        <w:t>方法容易将其视为正常波动；本文方法则能够结合攻击阶段先验和状态演化趋势，进一步判断是否提前预警、补充核验或触发跨域协作，从而提升对APT攻击的及早检测能力。</w:t>
      </w:r>
    </w:p>
    <w:p w14:paraId="50D1D409">
      <w:pPr>
        <w:ind w:firstLine="480" w:firstLineChars="200"/>
      </w:pPr>
      <w:r>
        <w:t>需要说明的是，本文方法以新型电力系统APT检测为主要验证场景，但其并不依赖于特定电力系统拓扑、单一业务场景或某一类固定APT攻击标签。对于具有弱异常线索、阶段持续演进和跨区域关联等特点的其他APT检测场景，可根据具体环境调整状态摘要、动作空间和奖励反馈等内容进行迁移应用</w:t>
      </w:r>
      <w:r>
        <w:rPr>
          <w:rFonts w:hint="eastAsia"/>
        </w:rPr>
        <w:t>。</w:t>
      </w:r>
    </w:p>
    <w:p w14:paraId="2BC74ACA">
      <w:pPr>
        <w:pStyle w:val="3"/>
      </w:pPr>
      <w:bookmarkStart w:id="33" w:name="_Toc230086348"/>
      <w:r>
        <w:rPr>
          <w:rFonts w:hint="eastAsia"/>
        </w:rPr>
        <w:t>2.6 本章小结</w:t>
      </w:r>
      <w:bookmarkEnd w:id="33"/>
    </w:p>
    <w:p w14:paraId="242891F8">
      <w:pPr>
        <w:ind w:firstLine="480" w:firstLineChars="200"/>
      </w:pPr>
      <w:r>
        <w:t>本章首先介绍了新型电力系统面临的网络安全问题，并分析了APT攻击在该场景下的主要特点；然后，对大语言模型、预测型强化学习和多智能体强化学习等相关基础进行了概述；最后，对本文的总体方案进行了简要</w:t>
      </w:r>
      <w:r>
        <w:rPr>
          <w:rFonts w:hint="eastAsia"/>
        </w:rPr>
        <w:t>概述</w:t>
      </w:r>
      <w:r>
        <w:t>，主要包括基于性能反馈的自适应掩码特征选择、基于大模型先验和预测型强化学习的APT检测，以及基于大模型先验和多智能体协作的跨域协同检测。</w:t>
      </w:r>
      <w:r>
        <w:br w:type="page"/>
      </w:r>
    </w:p>
    <w:p w14:paraId="32FFF833">
      <w:pPr>
        <w:pStyle w:val="2"/>
      </w:pPr>
      <w:bookmarkStart w:id="34" w:name="_Toc230086349"/>
      <w:r>
        <w:rPr>
          <w:rFonts w:hint="eastAsia"/>
        </w:rPr>
        <w:t>第三章 基于性能反馈的自适应掩码特征选择方法</w:t>
      </w:r>
      <w:bookmarkEnd w:id="34"/>
    </w:p>
    <w:p w14:paraId="032142AD">
      <w:pPr>
        <w:ind w:firstLine="480" w:firstLineChars="200"/>
      </w:pPr>
      <w:r>
        <w:rPr>
          <w:rFonts w:hint="eastAsia"/>
        </w:rPr>
        <w:t>针对现有特征选择方法在APT检测场景下对弱异常线索和关键特征表征能力不足，且难以随攻击行为和日志分布变化进行自适应调整的问题，本章提出一种基于性能反馈的自适应掩码特征选择方法。首先，对本章方法进行概述；然后，给出基于对比学习的特征预筛选方法，以构建候选特征池；接着，阐述基于综合性能反馈的自适应特征掩码选择方法，以实现关键特征的动态优化与自适应更新；最后，通过实验与分析验证本章方法的有效性，以及其对后续APT检测的支撑作用。</w:t>
      </w:r>
    </w:p>
    <w:p w14:paraId="594AA8CA">
      <w:pPr>
        <w:pStyle w:val="3"/>
      </w:pPr>
      <w:bookmarkStart w:id="35" w:name="_Toc230086350"/>
      <w:r>
        <w:rPr>
          <w:rFonts w:hint="eastAsia"/>
        </w:rPr>
        <w:t>3.1 方法概述</w:t>
      </w:r>
      <w:bookmarkEnd w:id="35"/>
    </w:p>
    <w:p w14:paraId="3D1E0483">
      <w:pPr>
        <w:ind w:firstLine="480" w:firstLineChars="200"/>
      </w:pPr>
      <w:r>
        <w:rPr>
          <w:rFonts w:hint="eastAsia"/>
        </w:rPr>
        <w:t>如2.1节所述，新型电力系统中的APT攻击日志通常具有高维、冗余和异构的特点。不同日志源在特征结构与数据表现形式上存在较大差异，原始输入中会同时包含对攻击识别有作用的关键信息，以及大量冗余特征和噪声信息。若将全部特征输入检测模型，不仅会增加模型训练的时间与推理复杂度，还可能降低模型对关键异常行为的表征能力，从而影响APT检测效果。因此，提出一种有效的特征选择方法对于APT检测至关重要。</w:t>
      </w:r>
    </w:p>
    <w:p w14:paraId="439FDB80">
      <w:pPr>
        <w:ind w:firstLine="480" w:firstLineChars="200"/>
      </w:pPr>
      <w:r>
        <w:rPr>
          <w:rFonts w:hint="eastAsia"/>
        </w:rPr>
        <w:t>现有特征选择方法多在离线阶段依赖监督信号一次性确定特征集合，在静态场景下能够取得一定效果。然而，现有方法针对APT检测仍存在以下不足：1）APT在攻击过程中尤其是早期通常具有较强的隐蔽性，可直接用于训练的有效攻击样本较为稀缺，难以获取高质量标注的样本。因此，若仅依赖监督信号进行特征选择，往往难以取得稳定且可靠的效果。2）APT攻击行为具有持续演进特性，其随攻击策略、日志分布及环境状态变化，对检测起主要作用的关键特征也会随之改变，因此静态特征选择方法难以保持长期适应性，限制了后续模型的检测能力。针对上述问题，</w:t>
      </w:r>
      <w:r>
        <w:t>本章提出一种基于性能反馈的自适应掩码特征选择方法</w:t>
      </w:r>
      <w:r>
        <w:rPr>
          <w:rFonts w:hint="eastAsia"/>
        </w:rPr>
        <w:t>，该方法流程如图3.1所示，主要包括基于对比学习的特征预筛选方法（Contrastive Learning-based Feature Preselection, CL-FP）与基于综合性能反馈的自适应特征掩码选择方法（</w:t>
      </w:r>
      <w:r>
        <w:t>Performance-Feedback-driven Adaptive Feature Mask Selection</w:t>
      </w:r>
      <w:r>
        <w:rPr>
          <w:rFonts w:hint="eastAsia"/>
        </w:rPr>
        <w:t>，</w:t>
      </w:r>
      <w:r>
        <w:t>PF-AFMS</w:t>
      </w:r>
      <w:r>
        <w:rPr>
          <w:rFonts w:hint="eastAsia"/>
        </w:rPr>
        <w:t>）两个部分。</w:t>
      </w:r>
    </w:p>
    <w:p w14:paraId="66B48308">
      <w:pPr>
        <w:ind w:firstLine="480" w:firstLineChars="200"/>
      </w:pPr>
      <w:r>
        <w:rPr>
          <w:rFonts w:hint="eastAsia"/>
        </w:rPr>
        <w:t>1）基于对比学习的特征预筛选方法：首先，对原始异构日志进行特征统一表示，并按照固定时间窗口划分为连续行为片段；然后，采用对比学习方法学习行为片段，并根据特征对结果的影响程度选择出候选特征，构建候选特征池。本方法能够在弱标注情况下完成特征预筛选，减少高维冗余特征对后续检测模型的干扰。</w:t>
      </w:r>
    </w:p>
    <w:p w14:paraId="7D8D9F1D">
      <w:pPr>
        <w:ind w:firstLine="480" w:firstLineChars="200"/>
      </w:pPr>
      <w:r>
        <w:rPr>
          <w:rFonts w:hint="eastAsia"/>
        </w:rPr>
        <w:t>2）基于综合性能反馈的自适应特征掩码选择方法：在特征预筛选方法的基础上，将特征选择转化为强化学习驱动的动态优化过程，通过特征掩码实现特征的保留与舍弃，</w:t>
      </w:r>
      <w:r>
        <w:t>并在轻量检测结果基础上构造预测奖励函数，使策略网络能够持续优化特征组合。</w:t>
      </w:r>
      <w:r>
        <w:rPr>
          <w:rFonts w:hint="eastAsia"/>
        </w:rPr>
        <w:t>本方法能够根据日志分布与攻击行为的变化自适应更新特征集合，</w:t>
      </w:r>
      <w:r>
        <w:t>提升模型对动态环境与APT攻击</w:t>
      </w:r>
      <w:r>
        <w:rPr>
          <w:rFonts w:hint="eastAsia"/>
        </w:rPr>
        <w:t>演进</w:t>
      </w:r>
      <w:r>
        <w:t>的适应能力</w:t>
      </w:r>
      <w:r>
        <w:rPr>
          <w:rFonts w:hint="eastAsia"/>
        </w:rPr>
        <w:t>，从而提升了针对APT攻击的检测效果与及早预警能力。</w:t>
      </w:r>
    </w:p>
    <w:p w14:paraId="793CFB61">
      <w:pPr>
        <w:jc w:val="center"/>
      </w:pPr>
      <w:r>
        <w:object>
          <v:shape id="_x0000_i1052" o:spt="75" type="#_x0000_t75" style="height:221.65pt;width:283.9pt;" o:ole="t" filled="f" o:preferrelative="t" stroked="f" coordsize="21600,21600">
            <v:path/>
            <v:fill on="f" focussize="0,0"/>
            <v:stroke on="f" joinstyle="miter"/>
            <v:imagedata r:id="rId71" cropleft="3562f" croptop="4428f" cropright="3445f" cropbottom="4415f" o:title=""/>
            <o:lock v:ext="edit" aspectratio="t"/>
            <w10:wrap type="none"/>
            <w10:anchorlock/>
          </v:shape>
          <o:OLEObject Type="Embed" ProgID="Visio.Drawing.15" ShapeID="_x0000_i1052" DrawAspect="Content" ObjectID="_1468075752" r:id="rId70">
            <o:LockedField>false</o:LockedField>
          </o:OLEObject>
        </w:object>
      </w:r>
    </w:p>
    <w:p w14:paraId="3EB9599E">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3</w:t>
      </w:r>
      <w:r>
        <w:rPr>
          <w:rFonts w:cs="Times New Roman"/>
          <w:sz w:val="21"/>
          <w:szCs w:val="21"/>
        </w:rPr>
        <w:t>.</w:t>
      </w:r>
      <w:r>
        <w:rPr>
          <w:rFonts w:hint="eastAsia" w:cs="Times New Roman"/>
          <w:sz w:val="21"/>
          <w:szCs w:val="21"/>
        </w:rPr>
        <w:t>1 基于性能反馈的自适应掩码特征选择方法框架</w:t>
      </w:r>
    </w:p>
    <w:p w14:paraId="3F5C9AAE">
      <w:pPr>
        <w:pStyle w:val="3"/>
      </w:pPr>
      <w:bookmarkStart w:id="36" w:name="_Toc230086351"/>
      <w:bookmarkStart w:id="37" w:name="_Toc224238178"/>
      <w:r>
        <w:rPr>
          <w:rFonts w:hint="eastAsia"/>
        </w:rPr>
        <w:t>3.2 基于对比学习的特征预筛选</w:t>
      </w:r>
      <w:bookmarkEnd w:id="36"/>
      <w:bookmarkEnd w:id="37"/>
    </w:p>
    <w:p w14:paraId="7B75AC96">
      <w:pPr>
        <w:ind w:firstLine="480" w:firstLineChars="200"/>
      </w:pPr>
      <w:r>
        <w:rPr>
          <w:rFonts w:hint="eastAsia"/>
        </w:rPr>
        <w:t>针对新型电力系统APT攻击日志具有弱标注、高维冗余及异构的特点，若直接在原始特征空间中进行动态特征选择，易受到大量冗余特征的干扰。因此，本文提出一种基于对比学习的特征预筛选方法，对原始日志特征进行初步筛选，并通过特征统一表示、对比表示学习及特征贡献评估以构建候选特征池，为后续自适应掩码选择提供基础。</w:t>
      </w:r>
    </w:p>
    <w:p w14:paraId="5EA6D6CE">
      <w:pPr>
        <w:pStyle w:val="4"/>
      </w:pPr>
      <w:bookmarkStart w:id="38" w:name="_Toc224238179"/>
      <w:bookmarkStart w:id="39" w:name="_Toc230086352"/>
      <w:r>
        <w:rPr>
          <w:rFonts w:hint="eastAsia"/>
        </w:rPr>
        <w:t>3.2.1 异构行为特征统一</w:t>
      </w:r>
      <w:bookmarkEnd w:id="38"/>
      <w:r>
        <w:rPr>
          <w:rFonts w:hint="eastAsia"/>
        </w:rPr>
        <w:t>编码</w:t>
      </w:r>
      <w:bookmarkEnd w:id="39"/>
    </w:p>
    <w:p w14:paraId="6D83D8FF">
      <w:pPr>
        <w:ind w:firstLine="480" w:firstLineChars="200"/>
      </w:pPr>
      <w:r>
        <w:rPr>
          <w:rFonts w:hint="eastAsia"/>
        </w:rPr>
        <w:t>新型电力系统APT攻击的原始日志通常来源于不同类型的监测设备与安全系统，因此各日志源在字段构成与数据形式等方面存在较大差异。若将这类异构日志直接输入后续模型，不仅会产生字段不统一的问题，还会增加对比表示学习的难度。因此，在对比表示学习之前，需要先对原始日志的特征进行统一表示，将不同来源、不同类型的字段特征转换为结构一致的统一形式，其包含行为片段、异构字段编码及统一特征向量构建三个部分。</w:t>
      </w:r>
    </w:p>
    <w:p w14:paraId="7A6AD588">
      <w:pPr>
        <w:ind w:firstLine="482" w:firstLineChars="200"/>
        <w:rPr>
          <w:b/>
          <w:bCs/>
        </w:rPr>
      </w:pPr>
      <w:bookmarkStart w:id="40" w:name="_Toc224238180"/>
      <w:r>
        <w:rPr>
          <w:rFonts w:hint="eastAsia"/>
          <w:b/>
          <w:bCs/>
        </w:rPr>
        <w:t>（1）</w:t>
      </w:r>
      <w:r>
        <w:rPr>
          <w:b/>
          <w:bCs/>
        </w:rPr>
        <w:t>行为片段划分</w:t>
      </w:r>
    </w:p>
    <w:p w14:paraId="46AFCA4C">
      <w:pPr>
        <w:spacing w:line="400" w:lineRule="exact"/>
        <w:ind w:firstLine="480" w:firstLineChars="200"/>
        <w:rPr>
          <w:rFonts w:eastAsia="宋体" w:cs="Times New Roman"/>
        </w:rPr>
      </w:pPr>
      <w:r>
        <w:rPr>
          <w:rFonts w:eastAsia="宋体" w:cs="Times New Roman"/>
        </w:rPr>
        <w:t>APT攻击中的许多异常行为不会只出现在单一</w:t>
      </w:r>
      <w:r>
        <w:rPr>
          <w:rFonts w:hint="eastAsia" w:eastAsia="宋体" w:cs="Times New Roman"/>
        </w:rPr>
        <w:t>某条</w:t>
      </w:r>
      <w:r>
        <w:rPr>
          <w:rFonts w:eastAsia="宋体" w:cs="Times New Roman"/>
        </w:rPr>
        <w:t>日志</w:t>
      </w:r>
      <w:r>
        <w:rPr>
          <w:rFonts w:hint="eastAsia" w:eastAsia="宋体" w:cs="Times New Roman"/>
        </w:rPr>
        <w:t>中，而是表现为一段时间内缓慢的行为变化过程。若仅对单条日志进行分析，难以反映出APT攻击中的连续性特征变化。针对此问题，本文首先按照时间戳对原始日志进行排序，然后采用</w:t>
      </w:r>
      <w:r>
        <w:rPr>
          <w:rFonts w:hint="eastAsia" w:eastAsia="宋体" w:cs="Times New Roman"/>
          <w:highlight w:val="red"/>
        </w:rPr>
        <w:t>固定时间窗口进行划分，将同一时间窗口内连续出现的日志记录划分为一个行为片段，并将行为片段作为后续对比表示学习的基本单位，本文将第t个行为片段记为</w:t>
      </w:r>
      <w:r>
        <w:rPr>
          <w:rFonts w:eastAsia="宋体" w:cs="Times New Roman"/>
          <w:position w:val="-12"/>
          <w:highlight w:val="red"/>
        </w:rPr>
        <w:object>
          <v:shape id="_x0000_i1053" o:spt="75" type="#_x0000_t75" style="height:18pt;width:13.15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r>
        <w:rPr>
          <w:rFonts w:hint="eastAsia" w:eastAsia="宋体" w:cs="Times New Roman"/>
        </w:rPr>
        <w:t>。与</w:t>
      </w:r>
      <w:r>
        <w:rPr>
          <w:rFonts w:eastAsia="宋体" w:cs="Times New Roman"/>
        </w:rPr>
        <w:t>单</w:t>
      </w:r>
      <w:r>
        <w:rPr>
          <w:rFonts w:hint="eastAsia" w:eastAsia="宋体" w:cs="Times New Roman"/>
        </w:rPr>
        <w:t>条日志相比，行为片段能够更好地保留APT行为的时序上下文信息，也能够减弱少数噪声日志对后续模型的影响。</w:t>
      </w:r>
    </w:p>
    <w:p w14:paraId="5337078F">
      <w:pPr>
        <w:ind w:firstLine="482" w:firstLineChars="200"/>
        <w:rPr>
          <w:b/>
          <w:bCs/>
        </w:rPr>
      </w:pPr>
      <w:r>
        <w:rPr>
          <w:rFonts w:hint="eastAsia"/>
          <w:b/>
          <w:bCs/>
        </w:rPr>
        <w:t>（2）</w:t>
      </w:r>
      <w:r>
        <w:rPr>
          <w:b/>
          <w:bCs/>
        </w:rPr>
        <w:t>异构字段编码</w:t>
      </w:r>
    </w:p>
    <w:p w14:paraId="0129D364">
      <w:pPr>
        <w:ind w:firstLine="480" w:firstLineChars="200"/>
      </w:pPr>
      <w:r>
        <w:rPr>
          <w:rFonts w:hint="eastAsia"/>
        </w:rPr>
        <w:t>在完成行为片段划分后，还需要处理其中不同类型的编码字段。通常APT日志中会同时包含数值字段、类别字段及文本字段，若直接将其拼接，不仅难以将不同类型的字段整合成一致的表示形式，也难以保持日志信息的有效性。因此，本文按照不同字段类型分别进行处理，并在此基础上形成统一表示。</w:t>
      </w:r>
    </w:p>
    <w:p w14:paraId="3C9F6005">
      <w:pPr>
        <w:ind w:firstLine="480" w:firstLineChars="200"/>
      </w:pPr>
      <w:r>
        <w:rPr>
          <w:rFonts w:hint="eastAsia"/>
        </w:rPr>
        <w:t>1）数值字段处理：针对持续时间、字节数等数值字段，本文首先收集其在当前行为片段内的全部取值，然后分别计算其均值、</w:t>
      </w:r>
      <w:r>
        <w:t>标准差、最大值和最小值，并以</w:t>
      </w:r>
      <w:r>
        <w:rPr>
          <w:rFonts w:hint="eastAsia"/>
        </w:rPr>
        <w:t>此四个统计量作为该字段的表示。这种处理方法既可以反映该字段在当前时间窗口内的变化情况，也能够降低少数异常数值带来的负面影响。</w:t>
      </w:r>
    </w:p>
    <w:p w14:paraId="49337E9A">
      <w:pPr>
        <w:ind w:firstLine="480" w:firstLineChars="200"/>
      </w:pPr>
      <w:r>
        <w:rPr>
          <w:rFonts w:hint="eastAsia"/>
        </w:rPr>
        <w:t>2）类别字段处理：针对协议类型、</w:t>
      </w:r>
      <w:r>
        <w:t>连接状态、服务类别</w:t>
      </w:r>
      <w:r>
        <w:rPr>
          <w:rFonts w:hint="eastAsia"/>
        </w:rPr>
        <w:t>等类别字段，本文首</w:t>
      </w:r>
      <w:r>
        <w:t>先</w:t>
      </w:r>
      <w:r>
        <w:rPr>
          <w:rFonts w:hint="eastAsia"/>
        </w:rPr>
        <w:t>根据</w:t>
      </w:r>
      <w:r>
        <w:t>训练数据中出现的取值建立类别编码表</w:t>
      </w:r>
      <w:r>
        <w:rPr>
          <w:rFonts w:hint="eastAsia"/>
        </w:rPr>
        <w:t>，然后将当前行为片段内出现的类别值映射为对应编码，并统计各类别在窗口内的出现情况，以形成固定长度的类别表示。经过本文的处理之后，类别字段能够在保留各自分布信息的同时转换为统一的数值形式。</w:t>
      </w:r>
    </w:p>
    <w:p w14:paraId="578CB6A1">
      <w:pPr>
        <w:ind w:firstLine="480" w:firstLineChars="200"/>
      </w:pPr>
      <w:r>
        <w:rPr>
          <w:rFonts w:hint="eastAsia"/>
        </w:rPr>
        <w:t>3）文本字段处理：针对日志描述、命令片段、告警信息等文本字段，本文首先对文本进行简单预处理，并按照空格、下划线及常见分隔符进行切分；然后，根据训练数据中出现频率较高的关键词构建关键词表，并统计当前行为片段内各关键词的出现情况，以形成固定长度的本文表示。这种处理方法能够在保留关键信息的同时，使不规则的文本转化为可计算的表现形式。</w:t>
      </w:r>
    </w:p>
    <w:p w14:paraId="4C4732C7">
      <w:pPr>
        <w:ind w:firstLine="482" w:firstLineChars="200"/>
        <w:rPr>
          <w:b/>
          <w:bCs/>
        </w:rPr>
      </w:pPr>
      <w:r>
        <w:rPr>
          <w:b/>
          <w:bCs/>
        </w:rPr>
        <w:t>（3）统一特征向量构建</w:t>
      </w:r>
    </w:p>
    <w:p w14:paraId="6273D289">
      <w:pPr>
        <w:ind w:firstLine="480" w:firstLineChars="200"/>
      </w:pPr>
      <w:r>
        <w:rPr>
          <w:rFonts w:hint="eastAsia"/>
        </w:rPr>
        <w:t>在上述处理基础上，可将第</w:t>
      </w:r>
      <w:r>
        <w:rPr>
          <w:rFonts w:hint="eastAsia"/>
          <w:position w:val="-6"/>
        </w:rPr>
        <w:object>
          <v:shape id="_x0000_i1054" o:spt="75" type="#_x0000_t75" style="height:12.4pt;width:6.4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r>
        <w:rPr>
          <w:rFonts w:hint="eastAsia"/>
        </w:rPr>
        <w:t>个行为片段表示为统一的特征向量。其表现形式如式(3.1)。</w:t>
      </w:r>
    </w:p>
    <w:p w14:paraId="1060AE3C">
      <w:pPr>
        <w:pStyle w:val="45"/>
        <w:ind w:firstLineChars="0"/>
        <w:rPr>
          <w:b w:val="0"/>
          <w:bCs w:val="0"/>
        </w:rPr>
      </w:pPr>
      <w:r>
        <w:tab/>
      </w:r>
      <w:r>
        <w:rPr>
          <w:rFonts w:cs="Times New Roman"/>
          <w:position w:val="-12"/>
          <w:szCs w:val="24"/>
        </w:rPr>
        <w:object>
          <v:shape id="_x0000_i1055" o:spt="75" type="#_x0000_t75" style="height:19.15pt;width:91.9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tab/>
      </w:r>
      <w:r>
        <w:rPr>
          <w:rFonts w:hint="eastAsia"/>
          <w:b w:val="0"/>
          <w:bCs w:val="0"/>
        </w:rPr>
        <w:t>(3.1)</w:t>
      </w:r>
    </w:p>
    <w:p w14:paraId="73533808">
      <w:pPr>
        <w:spacing w:line="400" w:lineRule="exact"/>
        <w:rPr>
          <w:rFonts w:eastAsia="宋体" w:cs="Times New Roman"/>
        </w:rPr>
      </w:pPr>
      <w:r>
        <w:rPr>
          <w:rFonts w:eastAsia="宋体" w:cs="Times New Roman"/>
        </w:rPr>
        <w:t>式中，</w:t>
      </w:r>
      <w:r>
        <w:rPr>
          <w:rFonts w:hint="eastAsia"/>
          <w:position w:val="-12"/>
        </w:rPr>
        <w:object>
          <v:shape id="_x0000_i1056" o:spt="75" type="#_x0000_t75" style="height:19.15pt;width:19.9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eastAsia="宋体" w:cs="Times New Roman"/>
        </w:rPr>
        <w:t>、</w:t>
      </w:r>
      <w:r>
        <w:rPr>
          <w:rFonts w:hint="eastAsia"/>
          <w:position w:val="-12"/>
        </w:rPr>
        <w:object>
          <v:shape id="_x0000_i1057" o:spt="75" type="#_x0000_t75" style="height:19.15pt;width:19.15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eastAsia="宋体" w:cs="Times New Roman"/>
        </w:rPr>
        <w:t>和</w:t>
      </w:r>
      <w:r>
        <w:rPr>
          <w:rFonts w:hint="eastAsia"/>
          <w:position w:val="-12"/>
        </w:rPr>
        <w:object>
          <v:shape id="_x0000_i1058" o:spt="75" type="#_x0000_t75" style="height:19.15pt;width:21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int="eastAsia" w:eastAsia="宋体" w:cs="Times New Roman"/>
        </w:rPr>
        <w:t>分别表示数值字段、</w:t>
      </w:r>
      <w:r>
        <w:rPr>
          <w:rFonts w:eastAsia="宋体" w:cs="Times New Roman"/>
        </w:rPr>
        <w:t>类别字段和文本字段对应的编码</w:t>
      </w:r>
      <w:r>
        <w:rPr>
          <w:rFonts w:hint="eastAsia" w:eastAsia="宋体" w:cs="Times New Roman"/>
        </w:rPr>
        <w:t>结果。</w:t>
      </w:r>
    </w:p>
    <w:p w14:paraId="1599176D">
      <w:pPr>
        <w:spacing w:line="400" w:lineRule="exact"/>
        <w:ind w:firstLine="480" w:firstLineChars="200"/>
        <w:rPr>
          <w:rFonts w:eastAsia="宋体" w:cs="Times New Roman"/>
        </w:rPr>
      </w:pPr>
      <w:r>
        <w:rPr>
          <w:rFonts w:hint="eastAsia" w:eastAsia="宋体" w:cs="Times New Roman"/>
        </w:rPr>
        <w:t>对于当前行为片段中未出现的字段，均采用零值填充。经过本文对不同类型字段的处理后，原始异构日志被转换为结构一致、维度固定的输入形式，为后续对比表示学习与特征贡献评估提供了统一的数据基础。</w:t>
      </w:r>
    </w:p>
    <w:p w14:paraId="7280D572">
      <w:pPr>
        <w:pStyle w:val="4"/>
      </w:pPr>
      <w:bookmarkStart w:id="41" w:name="_Toc230086353"/>
      <w:r>
        <w:rPr>
          <w:rFonts w:hint="eastAsia"/>
        </w:rPr>
        <w:t>3.2.2 基于对比学习的行为表示</w:t>
      </w:r>
      <w:bookmarkEnd w:id="41"/>
    </w:p>
    <w:p w14:paraId="294D35DD">
      <w:pPr>
        <w:ind w:firstLine="480" w:firstLineChars="200"/>
      </w:pPr>
      <w:r>
        <w:rPr>
          <w:rFonts w:hint="eastAsia"/>
        </w:rPr>
        <w:t>在特征统一表示后，各行为片段已形成统一的输入形式。针对APT攻击日志数据中缺乏充足且可靠的标签，直接采用监督学习难以获得稳定结果的问题，本节进一步引入对比学习方法，基于行为片段之间的时序关系学习其表示结果。</w:t>
      </w:r>
    </w:p>
    <w:p w14:paraId="12183861">
      <w:pPr>
        <w:ind w:firstLine="482" w:firstLineChars="200"/>
        <w:rPr>
          <w:rFonts w:cs="Times New Roman"/>
          <w:b/>
          <w:bCs/>
        </w:rPr>
      </w:pPr>
      <w:r>
        <w:rPr>
          <w:rFonts w:cs="Times New Roman"/>
          <w:b/>
          <w:bCs/>
        </w:rPr>
        <w:t>（1）行为表示映射</w:t>
      </w:r>
    </w:p>
    <w:p w14:paraId="15C31966">
      <w:pPr>
        <w:spacing w:line="400" w:lineRule="exact"/>
        <w:ind w:firstLine="480" w:firstLineChars="200"/>
        <w:rPr>
          <w:rFonts w:eastAsia="宋体" w:cs="Times New Roman"/>
        </w:rPr>
      </w:pPr>
      <w:r>
        <w:rPr>
          <w:rFonts w:eastAsia="宋体" w:cs="Times New Roman"/>
        </w:rPr>
        <w:t>设第</w:t>
      </w:r>
      <w:r>
        <w:rPr>
          <w:rFonts w:hint="eastAsia"/>
          <w:position w:val="-6"/>
        </w:rPr>
        <w:object>
          <v:shape id="_x0000_i1059" o:spt="75" type="#_x0000_t75" style="height:12.4pt;width:6.4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84">
            <o:LockedField>false</o:LockedField>
          </o:OLEObject>
        </w:object>
      </w:r>
      <w:r>
        <w:rPr>
          <w:rFonts w:eastAsia="宋体" w:cs="Times New Roman"/>
        </w:rPr>
        <w:t>个行为片段的统一特征向量为</w:t>
      </w:r>
      <w:r>
        <w:rPr>
          <w:rFonts w:hint="eastAsia" w:eastAsia="宋体" w:cs="Times New Roman"/>
          <w:position w:val="-12"/>
        </w:rPr>
        <w:object>
          <v:shape id="_x0000_i1060" o:spt="75" type="#_x0000_t75" style="height:18pt;width:12.4pt;" o:ole="t" filled="f" o:preferrelative="t" stroked="f" coordsize="21600,21600">
            <v:path/>
            <v:fill on="f" focussize="0,0"/>
            <v:stroke on="f" joinstyle="miter"/>
            <v:imagedata r:id="rId86" o:title=""/>
            <o:lock v:ext="edit" aspectratio="t"/>
            <w10:wrap type="none"/>
            <w10:anchorlock/>
          </v:shape>
          <o:OLEObject Type="Embed" ProgID="Equation.DSMT4" ShapeID="_x0000_i1060" DrawAspect="Content" ObjectID="_1468075760" r:id="rId85">
            <o:LockedField>false</o:LockedField>
          </o:OLEObject>
        </w:object>
      </w:r>
      <w:r>
        <w:rPr>
          <w:rFonts w:eastAsia="宋体" w:cs="Times New Roman"/>
        </w:rPr>
        <w:t>。</w:t>
      </w:r>
      <w:r>
        <w:rPr>
          <w:rFonts w:hint="eastAsia" w:eastAsia="宋体" w:cs="Times New Roman"/>
        </w:rPr>
        <w:t>本文采用多层感知机作为编码器，将输入的特征映射到低维嵌入空间，得到行</w:t>
      </w:r>
      <w:r>
        <w:rPr>
          <w:rFonts w:hint="eastAsia" w:eastAsia="宋体" w:cs="Times New Roman"/>
          <w:highlight w:val="red"/>
        </w:rPr>
        <w:t>为片段的表示向量</w:t>
      </w:r>
      <w:r>
        <w:rPr>
          <w:rFonts w:hint="eastAsia" w:eastAsia="宋体" w:cs="Times New Roman"/>
        </w:rPr>
        <w:t>，如式(3.2)。</w:t>
      </w:r>
    </w:p>
    <w:p w14:paraId="5D25E417">
      <w:pPr>
        <w:pStyle w:val="45"/>
      </w:pPr>
      <w:r>
        <w:tab/>
      </w:r>
      <w:r>
        <w:rPr>
          <w:position w:val="-12"/>
        </w:rPr>
        <w:object>
          <v:shape id="_x0000_i1061" o:spt="75" type="#_x0000_t75" style="height:18pt;width:51pt;" o:ole="t" filled="f" o:preferrelative="t" stroked="f" coordsize="21600,21600">
            <v:path/>
            <v:fill on="f" focussize="0,0"/>
            <v:stroke on="f" joinstyle="miter"/>
            <v:imagedata r:id="rId88" o:title=""/>
            <o:lock v:ext="edit" aspectratio="t"/>
            <w10:wrap type="none"/>
            <w10:anchorlock/>
          </v:shape>
          <o:OLEObject Type="Embed" ProgID="Equation.DSMT4" ShapeID="_x0000_i1061" DrawAspect="Content" ObjectID="_1468075761" r:id="rId87">
            <o:LockedField>false</o:LockedField>
          </o:OLEObject>
        </w:object>
      </w:r>
      <w:r>
        <w:tab/>
      </w:r>
      <w:r>
        <w:rPr>
          <w:rFonts w:hint="eastAsia"/>
          <w:b w:val="0"/>
          <w:bCs w:val="0"/>
        </w:rPr>
        <w:t>(3.2)</w:t>
      </w:r>
    </w:p>
    <w:p w14:paraId="68ECD5D3">
      <w:pPr>
        <w:spacing w:line="400" w:lineRule="exact"/>
        <w:rPr>
          <w:rFonts w:eastAsia="宋体" w:cs="Times New Roman"/>
        </w:rPr>
      </w:pPr>
      <w:r>
        <w:rPr>
          <w:rFonts w:hint="eastAsia" w:eastAsia="宋体" w:cs="Times New Roman"/>
        </w:rPr>
        <w:t>式中，</w:t>
      </w:r>
      <w:r>
        <w:rPr>
          <w:rFonts w:hint="eastAsia" w:eastAsia="宋体" w:cs="Times New Roman"/>
          <w:position w:val="-10"/>
          <w:highlight w:val="red"/>
        </w:rPr>
        <w:object>
          <v:shape id="_x0000_i1062" o:spt="75" type="#_x0000_t75" style="height:16.15pt;width:23.25pt;" o:ole="t" filled="f" o:preferrelative="t" stroked="f" coordsize="21600,21600">
            <v:path/>
            <v:fill on="f" focussize="0,0"/>
            <v:stroke on="f" joinstyle="miter"/>
            <v:imagedata r:id="rId90" o:title=""/>
            <o:lock v:ext="edit" aspectratio="t"/>
            <w10:wrap type="none"/>
            <w10:anchorlock/>
          </v:shape>
          <o:OLEObject Type="Embed" ProgID="Equation.DSMT4" ShapeID="_x0000_i1062" DrawAspect="Content" ObjectID="_1468075762" r:id="rId89">
            <o:LockedField>false</o:LockedField>
          </o:OLEObject>
        </w:object>
      </w:r>
      <w:r>
        <w:rPr>
          <w:rFonts w:eastAsia="宋体" w:cs="Times New Roman"/>
          <w:highlight w:val="red"/>
        </w:rPr>
        <w:t>表示编码器</w:t>
      </w:r>
      <w:r>
        <w:rPr>
          <w:rFonts w:eastAsia="宋体" w:cs="Times New Roman"/>
        </w:rPr>
        <w:t>，</w:t>
      </w:r>
      <w:r>
        <w:rPr>
          <w:rFonts w:hint="eastAsia"/>
          <w:position w:val="-12"/>
        </w:rPr>
        <w:object>
          <v:shape id="_x0000_i1063" o:spt="75" type="#_x0000_t75" style="height:18pt;width:12.4pt;" o:ole="t" filled="f" o:preferrelative="t" stroked="f" coordsize="21600,21600">
            <v:path/>
            <v:fill on="f" focussize="0,0"/>
            <v:stroke on="f" joinstyle="miter"/>
            <v:imagedata r:id="rId92" o:title=""/>
            <o:lock v:ext="edit" aspectratio="t"/>
            <w10:wrap type="none"/>
            <w10:anchorlock/>
          </v:shape>
          <o:OLEObject Type="Embed" ProgID="Equation.DSMT4" ShapeID="_x0000_i1063" DrawAspect="Content" ObjectID="_1468075763" r:id="rId91">
            <o:LockedField>false</o:LockedField>
          </o:OLEObject>
        </w:object>
      </w:r>
      <w:r>
        <w:rPr>
          <w:rFonts w:eastAsia="宋体" w:cs="Times New Roman"/>
        </w:rPr>
        <w:t>表示行为片段</w:t>
      </w:r>
      <w:r>
        <w:rPr>
          <w:rFonts w:hint="eastAsia"/>
          <w:position w:val="-12"/>
        </w:rPr>
        <w:object>
          <v:shape id="_x0000_i1064" o:spt="75" type="#_x0000_t75" style="height:18pt;width:13.15pt;" o:ole="t" filled="f" o:preferrelative="t" stroked="f" coordsize="21600,21600">
            <v:path/>
            <v:fill on="f" focussize="0,0"/>
            <v:stroke on="f" joinstyle="miter"/>
            <v:imagedata r:id="rId94" o:title=""/>
            <o:lock v:ext="edit" aspectratio="t"/>
            <w10:wrap type="none"/>
            <w10:anchorlock/>
          </v:shape>
          <o:OLEObject Type="Embed" ProgID="Equation.DSMT4" ShapeID="_x0000_i1064" DrawAspect="Content" ObjectID="_1468075764" r:id="rId93">
            <o:LockedField>false</o:LockedField>
          </o:OLEObject>
        </w:object>
      </w:r>
      <w:r>
        <w:rPr>
          <w:rFonts w:eastAsia="宋体" w:cs="Times New Roman"/>
        </w:rPr>
        <w:t>的嵌入表示。</w:t>
      </w:r>
      <w:r>
        <w:rPr>
          <w:rFonts w:hint="eastAsia" w:eastAsia="宋体" w:cs="Times New Roman"/>
        </w:rPr>
        <w:t>相较于直接在高维空间比较样本差异，低维嵌入表示能够更集中地保留样本行为模式中的重要信息，并可以减弱冗余字段及噪声的干扰。</w:t>
      </w:r>
    </w:p>
    <w:p w14:paraId="3BE02993">
      <w:pPr>
        <w:spacing w:line="400" w:lineRule="exact"/>
        <w:ind w:firstLine="480" w:firstLineChars="200"/>
        <w:rPr>
          <w:rFonts w:eastAsia="宋体" w:cs="Times New Roman"/>
        </w:rPr>
      </w:pPr>
      <w:r>
        <w:rPr>
          <w:rFonts w:hint="eastAsia" w:eastAsia="宋体" w:cs="Times New Roman"/>
        </w:rPr>
        <w:t>为进一步提升对比学习过程中的稳定性，本文在编码器输出后引入投影函数，将行为片段的嵌入表示</w:t>
      </w:r>
      <w:r>
        <w:rPr>
          <w:rFonts w:hint="eastAsia" w:eastAsia="宋体" w:cs="Times New Roman"/>
          <w:position w:val="-12"/>
        </w:rPr>
        <w:object>
          <v:shape id="_x0000_i1065" o:spt="75" type="#_x0000_t75" style="height:18pt;width:12.4pt;" o:ole="t" filled="f" o:preferrelative="t" stroked="f" coordsize="21600,21600">
            <v:path/>
            <v:fill on="f" focussize="0,0"/>
            <v:stroke on="f" joinstyle="miter"/>
            <v:imagedata r:id="rId96" o:title=""/>
            <o:lock v:ext="edit" aspectratio="t"/>
            <w10:wrap type="none"/>
            <w10:anchorlock/>
          </v:shape>
          <o:OLEObject Type="Embed" ProgID="Equation.DSMT4" ShapeID="_x0000_i1065" DrawAspect="Content" ObjectID="_1468075765" r:id="rId95">
            <o:LockedField>false</o:LockedField>
          </o:OLEObject>
        </w:object>
      </w:r>
      <w:r>
        <w:rPr>
          <w:rFonts w:hint="eastAsia" w:eastAsia="宋体" w:cs="Times New Roman"/>
        </w:rPr>
        <w:t>映射为对比学习阶段使用的表示</w:t>
      </w:r>
      <w:r>
        <w:rPr>
          <w:rFonts w:hint="eastAsia" w:eastAsia="宋体" w:cs="Times New Roman"/>
          <w:position w:val="-12"/>
        </w:rPr>
        <w:object>
          <v:shape id="_x0000_i1066" o:spt="75" type="#_x0000_t75" style="height:18pt;width:12.4pt;" o:ole="t" filled="f" o:preferrelative="t" stroked="f" coordsize="21600,21600">
            <v:path/>
            <v:fill on="f" focussize="0,0"/>
            <v:stroke on="f" joinstyle="miter"/>
            <v:imagedata r:id="rId98" o:title=""/>
            <o:lock v:ext="edit" aspectratio="t"/>
            <w10:wrap type="none"/>
            <w10:anchorlock/>
          </v:shape>
          <o:OLEObject Type="Embed" ProgID="Equation.DSMT4" ShapeID="_x0000_i1066" DrawAspect="Content" ObjectID="_1468075766" r:id="rId97">
            <o:LockedField>false</o:LockedField>
          </o:OLEObject>
        </w:object>
      </w:r>
      <w:r>
        <w:rPr>
          <w:rFonts w:hint="eastAsia" w:eastAsia="宋体" w:cs="Times New Roman"/>
        </w:rPr>
        <w:t>，如式(3.3)。</w:t>
      </w:r>
    </w:p>
    <w:p w14:paraId="077DBA92">
      <w:pPr>
        <w:pStyle w:val="45"/>
        <w:rPr>
          <w:b w:val="0"/>
          <w:bCs w:val="0"/>
        </w:rPr>
      </w:pPr>
      <w:r>
        <w:tab/>
      </w:r>
      <w:r>
        <w:rPr>
          <w:position w:val="-12"/>
        </w:rPr>
        <w:object>
          <v:shape id="_x0000_i1067" o:spt="75" type="#_x0000_t75" style="height:18pt;width:49.9pt;" o:ole="t" filled="f" o:preferrelative="t" stroked="f" coordsize="21600,21600">
            <v:path/>
            <v:fill on="f" focussize="0,0"/>
            <v:stroke on="f" joinstyle="miter"/>
            <v:imagedata r:id="rId100" o:title=""/>
            <o:lock v:ext="edit" aspectratio="t"/>
            <w10:wrap type="none"/>
            <w10:anchorlock/>
          </v:shape>
          <o:OLEObject Type="Embed" ProgID="Equation.DSMT4" ShapeID="_x0000_i1067" DrawAspect="Content" ObjectID="_1468075767" r:id="rId99">
            <o:LockedField>false</o:LockedField>
          </o:OLEObject>
        </w:object>
      </w:r>
      <w:r>
        <w:tab/>
      </w:r>
      <w:r>
        <w:rPr>
          <w:rFonts w:hint="eastAsia"/>
          <w:b w:val="0"/>
          <w:bCs w:val="0"/>
        </w:rPr>
        <w:t>(3.3)</w:t>
      </w:r>
    </w:p>
    <w:p w14:paraId="30B018D4">
      <w:pPr>
        <w:spacing w:line="400" w:lineRule="exact"/>
        <w:rPr>
          <w:rFonts w:eastAsia="宋体" w:cs="Times New Roman"/>
        </w:rPr>
      </w:pPr>
      <w:r>
        <w:rPr>
          <w:rFonts w:hint="eastAsia" w:eastAsia="宋体" w:cs="Times New Roman"/>
        </w:rPr>
        <w:t>式中，</w:t>
      </w:r>
      <w:r>
        <w:rPr>
          <w:rFonts w:eastAsia="宋体" w:cs="Times New Roman"/>
          <w:highlight w:val="red"/>
        </w:rPr>
        <w:t>为</w:t>
      </w:r>
      <w:r>
        <w:rPr>
          <w:rFonts w:hint="eastAsia" w:eastAsia="宋体" w:cs="Times New Roman"/>
          <w:position w:val="-10"/>
          <w:highlight w:val="red"/>
        </w:rPr>
        <w:object>
          <v:shape id="_x0000_i1068" o:spt="75" type="#_x0000_t75" style="height:16.15pt;width:21.75pt;" o:ole="t" filled="f" o:preferrelative="t" stroked="f" coordsize="21600,21600">
            <v:path/>
            <v:fill on="f" focussize="0,0"/>
            <v:stroke on="f" joinstyle="miter"/>
            <v:imagedata r:id="rId102" o:title=""/>
            <o:lock v:ext="edit" aspectratio="t"/>
            <w10:wrap type="none"/>
            <w10:anchorlock/>
          </v:shape>
          <o:OLEObject Type="Embed" ProgID="Equation.DSMT4" ShapeID="_x0000_i1068" DrawAspect="Content" ObjectID="_1468075768" r:id="rId101">
            <o:LockedField>false</o:LockedField>
          </o:OLEObject>
        </w:object>
      </w:r>
      <w:r>
        <w:rPr>
          <w:rFonts w:eastAsia="宋体" w:cs="Times New Roman"/>
          <w:highlight w:val="red"/>
        </w:rPr>
        <w:t>投影函数</w:t>
      </w:r>
      <w:r>
        <w:rPr>
          <w:rFonts w:eastAsia="宋体" w:cs="Times New Roman"/>
        </w:rPr>
        <w:t>。</w:t>
      </w:r>
      <w:r>
        <w:rPr>
          <w:rFonts w:hint="eastAsia" w:eastAsia="宋体" w:cs="Times New Roman"/>
        </w:rPr>
        <w:t>该映射仅用于本节后续的对比损失计算与优化，字段贡献评估部分仍基于编码器输出的嵌入表示</w:t>
      </w:r>
      <w:r>
        <w:rPr>
          <w:rFonts w:hint="eastAsia" w:eastAsia="宋体" w:cs="Times New Roman"/>
          <w:position w:val="-12"/>
        </w:rPr>
        <w:object>
          <v:shape id="_x0000_i1069" o:spt="75" type="#_x0000_t75" style="height:18pt;width:12.4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103">
            <o:LockedField>false</o:LockedField>
          </o:OLEObject>
        </w:object>
      </w:r>
      <w:r>
        <w:rPr>
          <w:rFonts w:hint="eastAsia" w:eastAsia="宋体" w:cs="Times New Roman"/>
        </w:rPr>
        <w:t>进行。</w:t>
      </w:r>
    </w:p>
    <w:p w14:paraId="10F0FBCE">
      <w:pPr>
        <w:ind w:firstLine="482" w:firstLineChars="200"/>
        <w:rPr>
          <w:rFonts w:cs="Times New Roman"/>
          <w:b/>
          <w:bCs/>
        </w:rPr>
      </w:pPr>
      <w:r>
        <w:rPr>
          <w:rFonts w:cs="Times New Roman"/>
          <w:b/>
          <w:bCs/>
        </w:rPr>
        <w:t>（</w:t>
      </w:r>
      <w:r>
        <w:rPr>
          <w:rFonts w:hint="eastAsia" w:cs="Times New Roman"/>
          <w:b/>
          <w:bCs/>
        </w:rPr>
        <w:t>2</w:t>
      </w:r>
      <w:r>
        <w:rPr>
          <w:rFonts w:cs="Times New Roman"/>
          <w:b/>
          <w:bCs/>
        </w:rPr>
        <w:t>）正负样本构造</w:t>
      </w:r>
    </w:p>
    <w:p w14:paraId="5A61E7A8">
      <w:pPr>
        <w:ind w:firstLine="480" w:firstLineChars="200"/>
      </w:pPr>
      <w:r>
        <w:rPr>
          <w:rFonts w:hint="eastAsia"/>
        </w:rPr>
        <w:t>APT攻击行为在时间上通常具有一定的连续性，为利用行为片段之间的时序关系进行对比学习，本文进一步设计了正负样本对构造方法。本文将</w:t>
      </w:r>
      <w:r>
        <w:rPr>
          <w:rFonts w:hint="eastAsia"/>
          <w:highlight w:val="red"/>
        </w:rPr>
        <w:t>时间上相邻的行为片段作为正样本</w:t>
      </w:r>
      <w:r>
        <w:rPr>
          <w:rFonts w:hint="eastAsia"/>
        </w:rPr>
        <w:t>对，将</w:t>
      </w:r>
      <w:r>
        <w:rPr>
          <w:rFonts w:hint="eastAsia"/>
          <w:highlight w:val="red"/>
        </w:rPr>
        <w:t>同批次中不相邻的样本对作为负样本</w:t>
      </w:r>
      <w:r>
        <w:rPr>
          <w:rFonts w:hint="eastAsia"/>
        </w:rPr>
        <w:t>。这种构造方式无需依赖人工标签，其使用日志序列的时序关系刻画行为之间的相似性，使相邻行为片段在表示空间中更接近，差异较大的行为片段在空间中相互区分。通过这种方式，模型能够在弱标注的情况下学习更具区分性的行为表示。</w:t>
      </w:r>
    </w:p>
    <w:p w14:paraId="33093E23">
      <w:pPr>
        <w:ind w:firstLine="482" w:firstLineChars="200"/>
        <w:rPr>
          <w:rFonts w:cs="Times New Roman"/>
          <w:b/>
          <w:bCs/>
        </w:rPr>
      </w:pPr>
      <w:r>
        <w:rPr>
          <w:rFonts w:cs="Times New Roman"/>
          <w:b/>
          <w:bCs/>
        </w:rPr>
        <w:t>（</w:t>
      </w:r>
      <w:r>
        <w:rPr>
          <w:rFonts w:hint="eastAsia" w:cs="Times New Roman"/>
          <w:b/>
          <w:bCs/>
        </w:rPr>
        <w:t>3</w:t>
      </w:r>
      <w:r>
        <w:rPr>
          <w:rFonts w:cs="Times New Roman"/>
          <w:b/>
          <w:bCs/>
        </w:rPr>
        <w:t>）对比学习目标</w:t>
      </w:r>
    </w:p>
    <w:p w14:paraId="19B70649">
      <w:pPr>
        <w:ind w:firstLine="480" w:firstLineChars="200"/>
      </w:pPr>
      <w:r>
        <w:rPr>
          <w:rFonts w:hint="eastAsia"/>
        </w:rPr>
        <w:t>在完成正负样本构造后，本文采用对比学习中常用的NT-Xent损失函数作为训练目标。对于样本</w:t>
      </w:r>
      <w:r>
        <w:rPr>
          <w:position w:val="-12"/>
        </w:rPr>
        <w:object>
          <v:shape id="_x0000_i1070" o:spt="75" type="#_x0000_t75" style="height:18pt;width:12.4pt;" o:ole="t" filled="f" o:preferrelative="t" stroked="f" coordsize="21600,21600">
            <v:path/>
            <v:fill on="f" focussize="0,0"/>
            <v:stroke on="f" joinstyle="miter"/>
            <v:imagedata r:id="rId105" o:title=""/>
            <o:lock v:ext="edit" aspectratio="t"/>
            <w10:wrap type="none"/>
            <w10:anchorlock/>
          </v:shape>
          <o:OLEObject Type="Embed" ProgID="Equation.DSMT4" ShapeID="_x0000_i1070" DrawAspect="Content" ObjectID="_1468075770" r:id="rId104">
            <o:LockedField>false</o:LockedField>
          </o:OLEObject>
        </w:object>
      </w:r>
      <w:r>
        <w:rPr>
          <w:rFonts w:hint="eastAsia"/>
        </w:rPr>
        <w:t>及其对应的正样本</w:t>
      </w:r>
      <w:r>
        <w:rPr>
          <w:position w:val="-12"/>
        </w:rPr>
        <w:object>
          <v:shape id="_x0000_i1071" o:spt="75" type="#_x0000_t75" style="height:18pt;width:19.15pt;" o:ole="t" filled="f" o:preferrelative="t" stroked="f" coordsize="21600,21600">
            <v:path/>
            <v:fill on="f" focussize="0,0"/>
            <v:stroke on="f" joinstyle="miter"/>
            <v:imagedata r:id="rId107" o:title=""/>
            <o:lock v:ext="edit" aspectratio="t"/>
            <w10:wrap type="none"/>
            <w10:anchorlock/>
          </v:shape>
          <o:OLEObject Type="Embed" ProgID="Equation.DSMT4" ShapeID="_x0000_i1071" DrawAspect="Content" ObjectID="_1468075771" r:id="rId106">
            <o:LockedField>false</o:LockedField>
          </o:OLEObject>
        </w:object>
      </w:r>
      <w:r>
        <w:rPr>
          <w:rFonts w:hint="eastAsia"/>
        </w:rPr>
        <w:t>，其对比学习损失可表示为式(3.4)。</w:t>
      </w:r>
    </w:p>
    <w:p w14:paraId="1D78E3FB">
      <w:pPr>
        <w:pStyle w:val="45"/>
        <w:spacing w:line="240" w:lineRule="auto"/>
      </w:pPr>
      <w:r>
        <w:tab/>
      </w:r>
      <w:r>
        <w:rPr>
          <w:position w:val="-50"/>
        </w:rPr>
        <w:object>
          <v:shape id="_x0000_i1072" o:spt="75" type="#_x0000_t75" style="height:43.9pt;width:157.9pt;" o:ole="t" filled="f" o:preferrelative="t" stroked="f" coordsize="21600,21600">
            <v:path/>
            <v:fill on="f" focussize="0,0"/>
            <v:stroke on="f" joinstyle="miter"/>
            <v:imagedata r:id="rId109" o:title=""/>
            <o:lock v:ext="edit" aspectratio="t"/>
            <w10:wrap type="none"/>
            <w10:anchorlock/>
          </v:shape>
          <o:OLEObject Type="Embed" ProgID="Equation.DSMT4" ShapeID="_x0000_i1072" DrawAspect="Content" ObjectID="_1468075772" r:id="rId108">
            <o:LockedField>false</o:LockedField>
          </o:OLEObject>
        </w:object>
      </w:r>
      <w:r>
        <w:tab/>
      </w:r>
      <w:r>
        <w:rPr>
          <w:rFonts w:hint="eastAsia"/>
          <w:b w:val="0"/>
          <w:bCs w:val="0"/>
        </w:rPr>
        <w:t>(3.4)</w:t>
      </w:r>
    </w:p>
    <w:p w14:paraId="3128827D">
      <w:pPr>
        <w:spacing w:line="400" w:lineRule="exact"/>
        <w:rPr>
          <w:rFonts w:eastAsia="宋体" w:cs="Times New Roman"/>
        </w:rPr>
      </w:pPr>
      <w:r>
        <w:rPr>
          <w:rFonts w:hint="eastAsia" w:eastAsia="宋体" w:cs="Times New Roman"/>
        </w:rPr>
        <w:t>式</w:t>
      </w:r>
      <w:r>
        <w:rPr>
          <w:rFonts w:eastAsia="宋体" w:cs="Times New Roman"/>
        </w:rPr>
        <w:t>中，</w:t>
      </w:r>
      <w:r>
        <w:rPr>
          <w:rFonts w:hint="eastAsia" w:eastAsia="宋体" w:cs="Times New Roman"/>
          <w:position w:val="-10"/>
        </w:rPr>
        <w:object>
          <v:shape id="_x0000_i1073" o:spt="75" type="#_x0000_t75" style="height:16.15pt;width:31.15pt;" o:ole="t" filled="f" o:preferrelative="t" stroked="f" coordsize="21600,21600">
            <v:path/>
            <v:fill on="f" focussize="0,0"/>
            <v:stroke on="f" joinstyle="miter"/>
            <v:imagedata r:id="rId111" o:title=""/>
            <o:lock v:ext="edit" aspectratio="t"/>
            <w10:wrap type="none"/>
            <w10:anchorlock/>
          </v:shape>
          <o:OLEObject Type="Embed" ProgID="Equation.DSMT4" ShapeID="_x0000_i1073" DrawAspect="Content" ObjectID="_1468075773" r:id="rId110">
            <o:LockedField>false</o:LockedField>
          </o:OLEObject>
        </w:object>
      </w:r>
      <w:r>
        <w:rPr>
          <w:rFonts w:eastAsia="宋体" w:cs="Times New Roman"/>
        </w:rPr>
        <w:t>表示余弦相似度，</w:t>
      </w:r>
      <w:r>
        <w:rPr>
          <w:rFonts w:hint="eastAsia"/>
          <w:position w:val="-6"/>
        </w:rPr>
        <w:object>
          <v:shape id="_x0000_i1074" o:spt="75" type="#_x0000_t75" style="height:10.9pt;width:10.15pt;" o:ole="t" filled="f" o:preferrelative="t" stroked="f" coordsize="21600,21600">
            <v:path/>
            <v:fill on="f" focussize="0,0"/>
            <v:stroke on="f" joinstyle="miter"/>
            <v:imagedata r:id="rId113" o:title=""/>
            <o:lock v:ext="edit" aspectratio="t"/>
            <w10:wrap type="none"/>
            <w10:anchorlock/>
          </v:shape>
          <o:OLEObject Type="Embed" ProgID="Equation.DSMT4" ShapeID="_x0000_i1074" DrawAspect="Content" ObjectID="_1468075774" r:id="rId112">
            <o:LockedField>false</o:LockedField>
          </o:OLEObject>
        </w:object>
      </w:r>
      <w:r>
        <w:rPr>
          <w:rFonts w:eastAsia="宋体" w:cs="Times New Roman"/>
        </w:rPr>
        <w:t>为温度参数，</w:t>
      </w:r>
      <w:r>
        <w:rPr>
          <w:rFonts w:hint="eastAsia" w:eastAsia="宋体" w:cs="Times New Roman"/>
          <w:position w:val="-12"/>
        </w:rPr>
        <w:object>
          <v:shape id="_x0000_i1075" o:spt="75" type="#_x0000_t75" style="height:18pt;width:16.15pt;" o:ole="t" filled="f" o:preferrelative="t" stroked="f" coordsize="21600,21600">
            <v:path/>
            <v:fill on="f" focussize="0,0"/>
            <v:stroke on="f" joinstyle="miter"/>
            <v:imagedata r:id="rId115" o:title=""/>
            <o:lock v:ext="edit" aspectratio="t"/>
            <w10:wrap type="none"/>
            <w10:anchorlock/>
          </v:shape>
          <o:OLEObject Type="Embed" ProgID="Equation.DSMT4" ShapeID="_x0000_i1075" DrawAspect="Content" ObjectID="_1468075775" r:id="rId114">
            <o:LockedField>false</o:LockedField>
          </o:OLEObject>
        </w:object>
      </w:r>
      <w:r>
        <w:rPr>
          <w:rFonts w:eastAsia="宋体" w:cs="Times New Roman"/>
        </w:rPr>
        <w:t>表示与样本</w:t>
      </w:r>
      <w:r>
        <w:rPr>
          <w:rFonts w:eastAsia="宋体" w:cs="Times New Roman"/>
          <w:position w:val="-12"/>
        </w:rPr>
        <w:object>
          <v:shape id="_x0000_i1076" o:spt="75" type="#_x0000_t75" style="height:18pt;width:12.4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16">
            <o:LockedField>false</o:LockedField>
          </o:OLEObject>
        </w:object>
      </w:r>
      <w:r>
        <w:rPr>
          <w:rFonts w:eastAsia="宋体" w:cs="Times New Roman"/>
        </w:rPr>
        <w:t>在同一批次中参与对比的样本集合。</w:t>
      </w:r>
    </w:p>
    <w:p w14:paraId="209BCE35">
      <w:pPr>
        <w:ind w:firstLine="480" w:firstLineChars="200"/>
      </w:pPr>
      <w:r>
        <w:rPr>
          <w:rFonts w:hint="eastAsia"/>
        </w:rPr>
        <w:t>该损失函数通过提高正样本对之间的相似度及降低负样本对之间的相似度，使时序上相邻的行为片段在表示空间中更接近，而差异较大的行为片段保持分离。经过上述训练，编码器能够学习更具区分性的行为表示。</w:t>
      </w:r>
    </w:p>
    <w:bookmarkEnd w:id="40"/>
    <w:p w14:paraId="22F7C71C">
      <w:pPr>
        <w:pStyle w:val="4"/>
      </w:pPr>
      <w:bookmarkStart w:id="42" w:name="_Toc224238181"/>
      <w:bookmarkStart w:id="43" w:name="_Toc230086354"/>
      <w:r>
        <w:rPr>
          <w:rFonts w:hint="eastAsia"/>
        </w:rPr>
        <w:t>3.2.3 特征贡献评估</w:t>
      </w:r>
      <w:bookmarkEnd w:id="42"/>
      <w:r>
        <w:rPr>
          <w:rFonts w:hint="eastAsia"/>
        </w:rPr>
        <w:t>与筛选</w:t>
      </w:r>
      <w:bookmarkEnd w:id="43"/>
    </w:p>
    <w:p w14:paraId="6900684B">
      <w:pPr>
        <w:spacing w:line="400" w:lineRule="exact"/>
        <w:ind w:firstLine="480" w:firstLineChars="200"/>
        <w:rPr>
          <w:rFonts w:eastAsia="宋体" w:cs="Times New Roman"/>
        </w:rPr>
      </w:pPr>
      <w:r>
        <w:rPr>
          <w:rFonts w:hint="eastAsia" w:eastAsia="宋体" w:cs="Times New Roman"/>
        </w:rPr>
        <w:t>在完成行为片段的对比表示学习后，需进一步评估不同特征对表示结果的影响程度。本文设计了一种特征贡献评估方法，通过比较特征移除前后对行为片段表示结果的影响，以实现对各特征贡献大小的评估，并在此基础上构建特征候选池。</w:t>
      </w:r>
    </w:p>
    <w:p w14:paraId="4FADFEB4">
      <w:pPr>
        <w:spacing w:line="400" w:lineRule="exact"/>
        <w:ind w:firstLine="482" w:firstLineChars="200"/>
        <w:rPr>
          <w:rFonts w:eastAsia="宋体" w:cs="Times New Roman"/>
          <w:b/>
          <w:bCs/>
        </w:rPr>
      </w:pPr>
      <w:r>
        <w:rPr>
          <w:rFonts w:eastAsia="宋体" w:cs="Times New Roman"/>
          <w:b/>
          <w:bCs/>
        </w:rPr>
        <w:t>（1）</w:t>
      </w:r>
      <w:r>
        <w:rPr>
          <w:rFonts w:hint="eastAsia" w:eastAsia="宋体" w:cs="Times New Roman"/>
          <w:b/>
          <w:bCs/>
        </w:rPr>
        <w:t>特征移除表示</w:t>
      </w:r>
    </w:p>
    <w:p w14:paraId="61112A16">
      <w:pPr>
        <w:spacing w:line="400" w:lineRule="exact"/>
        <w:ind w:firstLine="480" w:firstLineChars="200"/>
        <w:rPr>
          <w:rFonts w:eastAsia="宋体" w:cs="Times New Roman"/>
        </w:rPr>
      </w:pPr>
      <w:r>
        <w:rPr>
          <w:rFonts w:hint="eastAsia" w:eastAsia="宋体" w:cs="Times New Roman"/>
        </w:rPr>
        <w:t>设原始特征集合为</w:t>
      </w:r>
      <w:r>
        <w:rPr>
          <w:rFonts w:eastAsia="宋体" w:cs="Times New Roman"/>
          <w:position w:val="-12"/>
        </w:rPr>
        <w:object>
          <v:shape id="_x0000_i1077" o:spt="75" type="#_x0000_t75" style="height:18pt;width:90pt;" o:ole="t" filled="f" o:preferrelative="t" stroked="f" coordsize="21600,21600">
            <v:path/>
            <v:fill on="f" focussize="0,0"/>
            <v:stroke on="f" joinstyle="miter"/>
            <v:imagedata r:id="rId118" o:title=""/>
            <o:lock v:ext="edit" aspectratio="t"/>
            <w10:wrap type="none"/>
            <w10:anchorlock/>
          </v:shape>
          <o:OLEObject Type="Embed" ProgID="Equation.DSMT4" ShapeID="_x0000_i1077" DrawAspect="Content" ObjectID="_1468075777" r:id="rId117">
            <o:LockedField>false</o:LockedField>
          </o:OLEObject>
        </w:object>
      </w:r>
      <w:r>
        <w:rPr>
          <w:rFonts w:eastAsia="宋体" w:cs="Times New Roman"/>
        </w:rPr>
        <w:t>，</w:t>
      </w:r>
      <w:r>
        <w:rPr>
          <w:rFonts w:hint="eastAsia" w:eastAsia="宋体" w:cs="Times New Roman"/>
        </w:rPr>
        <w:t>行为片段总数为</w:t>
      </w:r>
      <w:r>
        <w:rPr>
          <w:rFonts w:hint="eastAsia" w:eastAsia="宋体" w:cs="Times New Roman"/>
          <w:position w:val="-4"/>
        </w:rPr>
        <w:object>
          <v:shape id="_x0000_i1078" o:spt="75" type="#_x0000_t75" style="height:13.15pt;width:10.9pt;" o:ole="t" filled="f" o:preferrelative="t" stroked="f" coordsize="21600,21600">
            <v:path/>
            <v:fill on="f" focussize="0,0"/>
            <v:stroke on="f" joinstyle="miter"/>
            <v:imagedata r:id="rId120" o:title=""/>
            <o:lock v:ext="edit" aspectratio="t"/>
            <w10:wrap type="none"/>
            <w10:anchorlock/>
          </v:shape>
          <o:OLEObject Type="Embed" ProgID="Equation.DSMT4" ShapeID="_x0000_i1078" DrawAspect="Content" ObjectID="_1468075778" r:id="rId119">
            <o:LockedField>false</o:LockedField>
          </o:OLEObject>
        </w:object>
      </w:r>
      <w:r>
        <w:rPr>
          <w:rFonts w:hint="eastAsia" w:eastAsia="宋体" w:cs="Times New Roman"/>
        </w:rPr>
        <w:t>。经过3.2.2</w:t>
      </w:r>
      <w:r>
        <w:rPr>
          <w:rFonts w:eastAsia="宋体" w:cs="Times New Roman"/>
        </w:rPr>
        <w:t>节训练</w:t>
      </w:r>
      <w:r>
        <w:rPr>
          <w:rFonts w:hint="eastAsia" w:eastAsia="宋体" w:cs="Times New Roman"/>
        </w:rPr>
        <w:t>之后，编码器能够为各行为片段生成对应的嵌入表示</w:t>
      </w:r>
      <w:r>
        <w:rPr>
          <w:rFonts w:hint="eastAsia" w:eastAsia="宋体" w:cs="Times New Roman"/>
          <w:position w:val="-12"/>
        </w:rPr>
        <w:object>
          <v:shape id="_x0000_i1079" o:spt="75" type="#_x0000_t75" style="height:18pt;width:12.4pt;" o:ole="t" filled="f" o:preferrelative="t" stroked="f" coordsize="21600,21600">
            <v:path/>
            <v:fill on="f" focussize="0,0"/>
            <v:stroke on="f" joinstyle="miter"/>
            <v:imagedata r:id="rId122" o:title=""/>
            <o:lock v:ext="edit" aspectratio="t"/>
            <w10:wrap type="none"/>
            <w10:anchorlock/>
          </v:shape>
          <o:OLEObject Type="Embed" ProgID="Equation.DSMT4" ShapeID="_x0000_i1079" DrawAspect="Content" ObjectID="_1468075779" r:id="rId121">
            <o:LockedField>false</o:LockedField>
          </o:OLEObject>
        </w:object>
      </w:r>
      <w:r>
        <w:rPr>
          <w:rFonts w:eastAsia="宋体" w:cs="Times New Roman"/>
        </w:rPr>
        <w:t>。对于任意</w:t>
      </w:r>
      <w:r>
        <w:rPr>
          <w:rFonts w:hint="eastAsia" w:eastAsia="宋体" w:cs="Times New Roman"/>
        </w:rPr>
        <w:t>特征</w:t>
      </w:r>
      <w:r>
        <w:rPr>
          <w:rFonts w:hint="eastAsia" w:eastAsia="宋体" w:cs="Times New Roman"/>
          <w:position w:val="-12"/>
        </w:rPr>
        <w:object>
          <v:shape id="_x0000_i1080" o:spt="75" type="#_x0000_t75" style="height:18pt;width:12.4pt;" o:ole="t" filled="f" o:preferrelative="t" stroked="f" coordsize="21600,21600">
            <v:path/>
            <v:fill on="f" focussize="0,0"/>
            <v:stroke on="f" joinstyle="miter"/>
            <v:imagedata r:id="rId124" o:title=""/>
            <o:lock v:ext="edit" aspectratio="t"/>
            <w10:wrap type="none"/>
            <w10:anchorlock/>
          </v:shape>
          <o:OLEObject Type="Embed" ProgID="Equation.DSMT4" ShapeID="_x0000_i1080" DrawAspect="Content" ObjectID="_1468075780" r:id="rId123">
            <o:LockedField>false</o:LockedField>
          </o:OLEObject>
        </w:object>
      </w:r>
      <w:r>
        <w:rPr>
          <w:rFonts w:eastAsia="宋体" w:cs="Times New Roman"/>
        </w:rPr>
        <w:t>，根据其在统一特征向量中</w:t>
      </w:r>
      <w:r>
        <w:rPr>
          <w:rFonts w:hint="eastAsia" w:eastAsia="宋体" w:cs="Times New Roman"/>
        </w:rPr>
        <w:t>的对应位置，将该特征对应的维度置为零，便可以得到移除该特征后的输入表示</w:t>
      </w:r>
      <w:r>
        <w:rPr>
          <w:rFonts w:eastAsia="宋体" w:cs="Times New Roman"/>
          <w:position w:val="-12"/>
        </w:rPr>
        <w:object>
          <v:shape id="_x0000_i1081" o:spt="75" type="#_x0000_t75" style="height:19.15pt;width:22.15pt;" o:ole="t" filled="f" o:preferrelative="t" stroked="f" coordsize="21600,21600">
            <v:path/>
            <v:fill on="f" focussize="0,0"/>
            <v:stroke on="f" joinstyle="miter"/>
            <v:imagedata r:id="rId126" o:title=""/>
            <o:lock v:ext="edit" aspectratio="t"/>
            <w10:wrap type="none"/>
            <w10:anchorlock/>
          </v:shape>
          <o:OLEObject Type="Embed" ProgID="Equation.DSMT4" ShapeID="_x0000_i1081" DrawAspect="Content" ObjectID="_1468075781" r:id="rId125">
            <o:LockedField>false</o:LockedField>
          </o:OLEObject>
        </w:object>
      </w:r>
      <w:r>
        <w:rPr>
          <w:rFonts w:hint="eastAsia" w:eastAsia="宋体" w:cs="Times New Roman"/>
        </w:rPr>
        <w:t>。随后，将</w:t>
      </w:r>
      <w:r>
        <w:rPr>
          <w:rFonts w:eastAsia="宋体" w:cs="Times New Roman"/>
          <w:position w:val="-12"/>
        </w:rPr>
        <w:object>
          <v:shape id="_x0000_i1082" o:spt="75" type="#_x0000_t75" style="height:19.15pt;width:22.15pt;" o:ole="t" filled="f" o:preferrelative="t" stroked="f" coordsize="21600,21600">
            <v:path/>
            <v:fill on="f" focussize="0,0"/>
            <v:stroke on="f" joinstyle="miter"/>
            <v:imagedata r:id="rId128" o:title=""/>
            <o:lock v:ext="edit" aspectratio="t"/>
            <w10:wrap type="none"/>
            <w10:anchorlock/>
          </v:shape>
          <o:OLEObject Type="Embed" ProgID="Equation.DSMT4" ShapeID="_x0000_i1082" DrawAspect="Content" ObjectID="_1468075782" r:id="rId127">
            <o:LockedField>false</o:LockedField>
          </o:OLEObject>
        </w:object>
      </w:r>
      <w:r>
        <w:rPr>
          <w:rFonts w:hint="eastAsia" w:eastAsia="宋体" w:cs="Times New Roman"/>
        </w:rPr>
        <w:t>输入训练完成后的编码器，可得出该特征移除后的嵌入表示如式(3.5)。</w:t>
      </w:r>
    </w:p>
    <w:p w14:paraId="6A888101">
      <w:pPr>
        <w:tabs>
          <w:tab w:val="center" w:pos="4160"/>
          <w:tab w:val="right" w:pos="8300"/>
        </w:tabs>
        <w:spacing w:line="400" w:lineRule="exact"/>
        <w:rPr>
          <w:rFonts w:eastAsia="宋体" w:cs="Times New Roman"/>
        </w:rPr>
      </w:pPr>
      <w:r>
        <w:rPr>
          <w:rFonts w:eastAsia="宋体" w:cs="Times New Roman"/>
        </w:rPr>
        <w:tab/>
      </w:r>
      <w:r>
        <w:rPr>
          <w:rFonts w:eastAsia="宋体" w:cs="Times New Roman"/>
          <w:position w:val="-12"/>
        </w:rPr>
        <w:object>
          <v:shape id="_x0000_i1083" o:spt="75" type="#_x0000_t75" style="height:19.15pt;width:74.65pt;" o:ole="t" filled="f" o:preferrelative="t" stroked="f" coordsize="21600,21600">
            <v:path/>
            <v:fill on="f" focussize="0,0"/>
            <v:stroke on="f" joinstyle="miter"/>
            <v:imagedata r:id="rId130" o:title=""/>
            <o:lock v:ext="edit" aspectratio="t"/>
            <w10:wrap type="none"/>
            <w10:anchorlock/>
          </v:shape>
          <o:OLEObject Type="Embed" ProgID="Equation.DSMT4" ShapeID="_x0000_i1083" DrawAspect="Content" ObjectID="_1468075783" r:id="rId129">
            <o:LockedField>false</o:LockedField>
          </o:OLEObject>
        </w:object>
      </w:r>
      <w:r>
        <w:rPr>
          <w:rFonts w:eastAsia="宋体" w:cs="Times New Roman"/>
        </w:rPr>
        <w:tab/>
      </w:r>
      <w:r>
        <w:rPr>
          <w:rFonts w:hint="eastAsia" w:eastAsia="宋体" w:cs="Times New Roman"/>
        </w:rPr>
        <w:t>(3.5)</w:t>
      </w:r>
    </w:p>
    <w:p w14:paraId="11C9FC9A">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084" o:spt="75" type="#_x0000_t75" style="height:18pt;width:25.9pt;" o:ole="t" filled="f" o:preferrelative="t" stroked="f" coordsize="21600,21600">
            <v:path/>
            <v:fill on="f" focussize="0,0"/>
            <v:stroke on="f" joinstyle="miter"/>
            <v:imagedata r:id="rId132" o:title=""/>
            <o:lock v:ext="edit" aspectratio="t"/>
            <w10:wrap type="none"/>
            <w10:anchorlock/>
          </v:shape>
          <o:OLEObject Type="Embed" ProgID="Equation.DSMT4" ShapeID="_x0000_i1084" DrawAspect="Content" ObjectID="_1468075784" r:id="rId131">
            <o:LockedField>false</o:LockedField>
          </o:OLEObject>
        </w:object>
      </w:r>
      <w:r>
        <w:rPr>
          <w:rFonts w:eastAsia="宋体" w:cs="Times New Roman"/>
        </w:rPr>
        <w:t>表示训练完成后的编码器。</w:t>
      </w:r>
      <w:r>
        <w:rPr>
          <w:rFonts w:hint="eastAsia" w:eastAsia="宋体" w:cs="Times New Roman"/>
        </w:rPr>
        <w:t>由此可以得到特征移除前后的两组行为表示，为下节贡献评估提供基础。</w:t>
      </w:r>
    </w:p>
    <w:p w14:paraId="0CEC4F61">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2</w:t>
      </w:r>
      <w:r>
        <w:rPr>
          <w:rFonts w:eastAsia="宋体" w:cs="Times New Roman"/>
          <w:b/>
          <w:bCs/>
        </w:rPr>
        <w:t>）</w:t>
      </w:r>
      <w:r>
        <w:rPr>
          <w:rFonts w:hint="eastAsia" w:eastAsia="宋体" w:cs="Times New Roman"/>
          <w:b/>
          <w:bCs/>
        </w:rPr>
        <w:t>特征</w:t>
      </w:r>
      <w:r>
        <w:rPr>
          <w:rFonts w:eastAsia="宋体" w:cs="Times New Roman"/>
          <w:b/>
          <w:bCs/>
        </w:rPr>
        <w:t>贡献度评估</w:t>
      </w:r>
    </w:p>
    <w:p w14:paraId="60ADEEE3">
      <w:pPr>
        <w:spacing w:line="400" w:lineRule="exact"/>
        <w:ind w:firstLine="480" w:firstLineChars="200"/>
        <w:rPr>
          <w:rFonts w:eastAsia="宋体" w:cs="Times New Roman"/>
        </w:rPr>
      </w:pPr>
      <w:r>
        <w:rPr>
          <w:rFonts w:hint="eastAsia" w:eastAsia="宋体" w:cs="Times New Roman"/>
        </w:rPr>
        <w:t>在得到特征的原始表示</w:t>
      </w:r>
      <w:r>
        <w:rPr>
          <w:rFonts w:hint="eastAsia" w:eastAsia="宋体" w:cs="Times New Roman"/>
          <w:position w:val="-12"/>
        </w:rPr>
        <w:object>
          <v:shape id="_x0000_i1085" o:spt="75" type="#_x0000_t75" style="height:18pt;width:12.4pt;" o:ole="t" filled="f" o:preferrelative="t" stroked="f" coordsize="21600,21600">
            <v:path/>
            <v:fill on="f" focussize="0,0"/>
            <v:stroke on="f" joinstyle="miter"/>
            <v:imagedata r:id="rId134" o:title=""/>
            <o:lock v:ext="edit" aspectratio="t"/>
            <w10:wrap type="none"/>
            <w10:anchorlock/>
          </v:shape>
          <o:OLEObject Type="Embed" ProgID="Equation.DSMT4" ShapeID="_x0000_i1085" DrawAspect="Content" ObjectID="_1468075785" r:id="rId133">
            <o:LockedField>false</o:LockedField>
          </o:OLEObject>
        </w:object>
      </w:r>
      <w:r>
        <w:rPr>
          <w:rFonts w:hint="eastAsia" w:eastAsia="宋体" w:cs="Times New Roman"/>
        </w:rPr>
        <w:t>与特征移除后的表示</w:t>
      </w:r>
      <w:r>
        <w:rPr>
          <w:rFonts w:hint="eastAsia" w:eastAsia="宋体" w:cs="Times New Roman"/>
          <w:position w:val="-12"/>
        </w:rPr>
        <w:object>
          <v:shape id="_x0000_i1086" o:spt="75" type="#_x0000_t75" style="height:19.15pt;width:22.15pt;" o:ole="t" filled="f" o:preferrelative="t" stroked="f" coordsize="21600,21600">
            <v:path/>
            <v:fill on="f" focussize="0,0"/>
            <v:stroke on="f" joinstyle="miter"/>
            <v:imagedata r:id="rId136" o:title=""/>
            <o:lock v:ext="edit" aspectratio="t"/>
            <w10:wrap type="none"/>
            <w10:anchorlock/>
          </v:shape>
          <o:OLEObject Type="Embed" ProgID="Equation.DSMT4" ShapeID="_x0000_i1086" DrawAspect="Content" ObjectID="_1468075786" r:id="rId135">
            <o:LockedField>false</o:LockedField>
          </o:OLEObject>
        </w:object>
      </w:r>
      <w:r>
        <w:rPr>
          <w:rFonts w:hint="eastAsia" w:eastAsia="宋体" w:cs="Times New Roman"/>
        </w:rPr>
        <w:t>后，本文以二者之间的差异评估特征</w:t>
      </w:r>
      <w:r>
        <w:rPr>
          <w:rFonts w:hint="eastAsia" w:eastAsia="宋体" w:cs="Times New Roman"/>
          <w:position w:val="-12"/>
        </w:rPr>
        <w:object>
          <v:shape id="_x0000_i1087" o:spt="75" type="#_x0000_t75" style="height:18pt;width:12.4pt;" o:ole="t" filled="f" o:preferrelative="t" stroked="f" coordsize="21600,21600">
            <v:path/>
            <v:fill on="f" focussize="0,0"/>
            <v:stroke on="f" joinstyle="miter"/>
            <v:imagedata r:id="rId124" o:title=""/>
            <o:lock v:ext="edit" aspectratio="t"/>
            <w10:wrap type="none"/>
            <w10:anchorlock/>
          </v:shape>
          <o:OLEObject Type="Embed" ProgID="Equation.DSMT4" ShapeID="_x0000_i1087" DrawAspect="Content" ObjectID="_1468075787" r:id="rId137">
            <o:LockedField>false</o:LockedField>
          </o:OLEObject>
        </w:object>
      </w:r>
      <w:r>
        <w:rPr>
          <w:rFonts w:eastAsia="宋体" w:cs="Times New Roman"/>
        </w:rPr>
        <w:t>的贡献</w:t>
      </w:r>
      <w:r>
        <w:rPr>
          <w:rFonts w:hint="eastAsia" w:eastAsia="宋体" w:cs="Times New Roman"/>
        </w:rPr>
        <w:t>度，其贡献度计算方式如式(3.6)。</w:t>
      </w:r>
    </w:p>
    <w:p w14:paraId="0BB27294">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28"/>
        </w:rPr>
        <w:object>
          <v:shape id="_x0000_i1088" o:spt="75" type="#_x0000_t75" style="height:34.15pt;width:99.75pt;" o:ole="t" filled="f" o:preferrelative="t" stroked="f" coordsize="21600,21600">
            <v:path/>
            <v:fill on="f" focussize="0,0"/>
            <v:stroke on="f" joinstyle="miter"/>
            <v:imagedata r:id="rId139" o:title=""/>
            <o:lock v:ext="edit" aspectratio="t"/>
            <w10:wrap type="none"/>
            <w10:anchorlock/>
          </v:shape>
          <o:OLEObject Type="Embed" ProgID="Equation.DSMT4" ShapeID="_x0000_i1088" DrawAspect="Content" ObjectID="_1468075788" r:id="rId138">
            <o:LockedField>false</o:LockedField>
          </o:OLEObject>
        </w:object>
      </w:r>
      <w:r>
        <w:rPr>
          <w:rFonts w:eastAsia="宋体" w:cs="Times New Roman"/>
        </w:rPr>
        <w:tab/>
      </w:r>
      <w:r>
        <w:rPr>
          <w:rFonts w:hint="eastAsia" w:eastAsia="宋体" w:cs="Times New Roman"/>
        </w:rPr>
        <w:t>(3.6)</w:t>
      </w:r>
    </w:p>
    <w:p w14:paraId="57E251C2">
      <w:pPr>
        <w:spacing w:line="400" w:lineRule="exact"/>
        <w:rPr>
          <w:rFonts w:eastAsia="宋体" w:cs="Times New Roman"/>
        </w:rPr>
      </w:pPr>
      <w:r>
        <w:rPr>
          <w:rFonts w:hint="eastAsia" w:eastAsia="宋体" w:cs="Times New Roman"/>
        </w:rPr>
        <w:t>式中，</w:t>
      </w:r>
      <w:r>
        <w:rPr>
          <w:rFonts w:hint="eastAsia" w:eastAsia="宋体" w:cs="Times New Roman"/>
          <w:position w:val="-14"/>
        </w:rPr>
        <w:object>
          <v:shape id="_x0000_i1089" o:spt="75" type="#_x0000_t75" style="height:19.9pt;width:16.9pt;" o:ole="t" filled="f" o:preferrelative="t" stroked="f" coordsize="21600,21600">
            <v:path/>
            <v:fill on="f" focussize="0,0"/>
            <v:stroke on="f" joinstyle="miter"/>
            <v:imagedata r:id="rId141" o:title=""/>
            <o:lock v:ext="edit" aspectratio="t"/>
            <w10:wrap type="none"/>
            <w10:anchorlock/>
          </v:shape>
          <o:OLEObject Type="Embed" ProgID="Equation.DSMT4" ShapeID="_x0000_i1089" DrawAspect="Content" ObjectID="_1468075789" r:id="rId140">
            <o:LockedField>false</o:LockedField>
          </o:OLEObject>
        </w:object>
      </w:r>
      <w:r>
        <w:rPr>
          <w:rFonts w:hint="eastAsia" w:eastAsia="宋体" w:cs="Times New Roman"/>
        </w:rPr>
        <w:t>表示欧式范数。</w:t>
      </w:r>
      <w:r>
        <w:rPr>
          <w:rFonts w:hint="eastAsia" w:eastAsia="宋体" w:cs="Times New Roman"/>
          <w:position w:val="-12"/>
        </w:rPr>
        <w:object>
          <v:shape id="_x0000_i1090" o:spt="75" type="#_x0000_t75" style="height:18pt;width:10.9pt;" o:ole="t" filled="f" o:preferrelative="t" stroked="f" coordsize="21600,21600">
            <v:path/>
            <v:fill on="f" focussize="0,0"/>
            <v:stroke on="f" joinstyle="miter"/>
            <v:imagedata r:id="rId143" o:title=""/>
            <o:lock v:ext="edit" aspectratio="t"/>
            <w10:wrap type="none"/>
            <w10:anchorlock/>
          </v:shape>
          <o:OLEObject Type="Embed" ProgID="Equation.DSMT4" ShapeID="_x0000_i1090" DrawAspect="Content" ObjectID="_1468075790" r:id="rId142">
            <o:LockedField>false</o:LockedField>
          </o:OLEObject>
        </w:object>
      </w:r>
      <w:r>
        <w:rPr>
          <w:rFonts w:hint="eastAsia" w:eastAsia="宋体" w:cs="Times New Roman"/>
        </w:rPr>
        <w:t>越大，表明移除特征</w:t>
      </w:r>
      <w:r>
        <w:rPr>
          <w:rFonts w:hint="eastAsia" w:eastAsia="宋体" w:cs="Times New Roman"/>
          <w:position w:val="-12"/>
        </w:rPr>
        <w:object>
          <v:shape id="_x0000_i1091" o:spt="75" type="#_x0000_t75" style="height:18pt;width:12.4pt;" o:ole="t" filled="f" o:preferrelative="t" stroked="f" coordsize="21600,21600">
            <v:path/>
            <v:fill on="f" focussize="0,0"/>
            <v:stroke on="f" joinstyle="miter"/>
            <v:imagedata r:id="rId124" o:title=""/>
            <o:lock v:ext="edit" aspectratio="t"/>
            <w10:wrap type="none"/>
            <w10:anchorlock/>
          </v:shape>
          <o:OLEObject Type="Embed" ProgID="Equation.DSMT4" ShapeID="_x0000_i1091" DrawAspect="Content" ObjectID="_1468075791" r:id="rId144">
            <o:LockedField>false</o:LockedField>
          </o:OLEObject>
        </w:object>
      </w:r>
      <w:r>
        <w:rPr>
          <w:rFonts w:hint="eastAsia" w:eastAsia="宋体" w:cs="Times New Roman"/>
        </w:rPr>
        <w:t>后行为表示变化越明显，反映该特征包含的信息更多及对整体表示结果的作用更大；而</w:t>
      </w:r>
      <w:r>
        <w:rPr>
          <w:rFonts w:hint="eastAsia" w:eastAsia="宋体" w:cs="Times New Roman"/>
          <w:position w:val="-12"/>
        </w:rPr>
        <w:object>
          <v:shape id="_x0000_i1092" o:spt="75" type="#_x0000_t75" style="height:18pt;width:10.9pt;" o:ole="t" filled="f" o:preferrelative="t" stroked="f" coordsize="21600,21600">
            <v:path/>
            <v:fill on="f" focussize="0,0"/>
            <v:stroke on="f" joinstyle="miter"/>
            <v:imagedata r:id="rId146" o:title=""/>
            <o:lock v:ext="edit" aspectratio="t"/>
            <w10:wrap type="none"/>
            <w10:anchorlock/>
          </v:shape>
          <o:OLEObject Type="Embed" ProgID="Equation.DSMT4" ShapeID="_x0000_i1092" DrawAspect="Content" ObjectID="_1468075792" r:id="rId145">
            <o:LockedField>false</o:LockedField>
          </o:OLEObject>
        </w:object>
      </w:r>
      <w:r>
        <w:rPr>
          <w:rFonts w:hint="eastAsia" w:eastAsia="宋体" w:cs="Times New Roman"/>
        </w:rPr>
        <w:t>越小，则表明该特征移除后对表示结果的影响较小，其更有可能是冗余特征。相较于依据标签进行评分，本方法更关注特征对行为表示的影响，因此更适用于新型电力系统APT弱标注的场景。</w:t>
      </w:r>
    </w:p>
    <w:p w14:paraId="20676FF2">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3</w:t>
      </w:r>
      <w:r>
        <w:rPr>
          <w:rFonts w:eastAsia="宋体" w:cs="Times New Roman"/>
          <w:b/>
          <w:bCs/>
        </w:rPr>
        <w:t>）候选特征池构建</w:t>
      </w:r>
    </w:p>
    <w:p w14:paraId="4EE5329A">
      <w:pPr>
        <w:spacing w:line="400" w:lineRule="exact"/>
        <w:ind w:firstLine="480" w:firstLineChars="200"/>
        <w:rPr>
          <w:rFonts w:eastAsia="宋体" w:cs="Times New Roman"/>
        </w:rPr>
      </w:pPr>
      <w:r>
        <w:rPr>
          <w:rFonts w:eastAsia="宋体" w:cs="Times New Roman"/>
        </w:rPr>
        <w:t>在</w:t>
      </w:r>
      <w:r>
        <w:rPr>
          <w:rFonts w:hint="eastAsia" w:eastAsia="宋体" w:cs="Times New Roman"/>
        </w:rPr>
        <w:t>完成所有特征贡献度评估后，按照贡献度</w:t>
      </w:r>
      <w:r>
        <w:rPr>
          <w:rFonts w:hint="eastAsia" w:eastAsia="宋体" w:cs="Times New Roman"/>
          <w:position w:val="-12"/>
        </w:rPr>
        <w:object>
          <v:shape id="_x0000_i1093" o:spt="75" type="#_x0000_t75" style="height:18pt;width:10.9pt;" o:ole="t" filled="f" o:preferrelative="t" stroked="f" coordsize="21600,21600">
            <v:path/>
            <v:fill on="f" focussize="0,0"/>
            <v:stroke on="f" joinstyle="miter"/>
            <v:imagedata r:id="rId148" o:title=""/>
            <o:lock v:ext="edit" aspectratio="t"/>
            <w10:wrap type="none"/>
            <w10:anchorlock/>
          </v:shape>
          <o:OLEObject Type="Embed" ProgID="Equation.DSMT4" ShapeID="_x0000_i1093" DrawAspect="Content" ObjectID="_1468075793" r:id="rId147">
            <o:LockedField>false</o:LockedField>
          </o:OLEObject>
        </w:object>
      </w:r>
      <w:r>
        <w:rPr>
          <w:rFonts w:hint="eastAsia" w:eastAsia="宋体" w:cs="Times New Roman"/>
        </w:rPr>
        <w:t>大小对特征进行排序，并保留贡献度较高的特征，形成候选特征池。经过上述处理</w:t>
      </w:r>
      <w:r>
        <w:rPr>
          <w:rFonts w:eastAsia="宋体" w:cs="Times New Roman"/>
        </w:rPr>
        <w:t>，</w:t>
      </w:r>
      <w:r>
        <w:rPr>
          <w:rFonts w:hint="eastAsia" w:eastAsia="宋体" w:cs="Times New Roman"/>
        </w:rPr>
        <w:t>原始高维特征由此被压缩为维度较低但信息更集中的候选特征空间，从而减少了冗余特征对后续模型的干扰。</w:t>
      </w:r>
    </w:p>
    <w:p w14:paraId="265914CC">
      <w:pPr>
        <w:pStyle w:val="3"/>
      </w:pPr>
      <w:bookmarkStart w:id="44" w:name="_Toc224238182"/>
      <w:bookmarkStart w:id="45" w:name="_Toc230086355"/>
      <w:r>
        <w:rPr>
          <w:rFonts w:hint="eastAsia"/>
        </w:rPr>
        <w:t>3.3 基于综合性能反馈的自适应特征掩码选择</w:t>
      </w:r>
      <w:bookmarkEnd w:id="44"/>
      <w:bookmarkEnd w:id="45"/>
    </w:p>
    <w:p w14:paraId="0A2F9FD6">
      <w:pPr>
        <w:ind w:firstLine="480" w:firstLineChars="200"/>
      </w:pPr>
      <w:r>
        <w:rPr>
          <w:rFonts w:hint="eastAsia"/>
        </w:rPr>
        <w:t>在完成上述特征预筛选及得到维度较低、信息集中的特征候选池之后，本节需在此基础上进一步选择最适用于当前环境及后续模型的特征组合。针对新型电力系统中APT攻击及日志分布随时间不断变化，固定特征组合难以始终保持较优检测效果的问题，本节提出一种基于综合性能反馈的自适应特征掩码选择方法，</w:t>
      </w:r>
      <w:r>
        <w:t>通过</w:t>
      </w:r>
      <w:r>
        <w:rPr>
          <w:highlight w:val="red"/>
        </w:rPr>
        <w:t>特征掩码构建</w:t>
      </w:r>
      <w:r>
        <w:t>与</w:t>
      </w:r>
      <w:r>
        <w:rPr>
          <w:highlight w:val="red"/>
        </w:rPr>
        <w:t>轻量预检测</w:t>
      </w:r>
      <w:r>
        <w:t>获得当前</w:t>
      </w:r>
      <w:r>
        <w:rPr>
          <w:highlight w:val="red"/>
        </w:rPr>
        <w:t>特征组合的检测反馈</w:t>
      </w:r>
      <w:r>
        <w:t>，并基于该反馈对特征掩码策略进行更新，</w:t>
      </w:r>
      <w:r>
        <w:rPr>
          <w:rFonts w:hint="eastAsia"/>
        </w:rPr>
        <w:t>使模型能够在执行过程中调整优化特征组合，从而提升对环境的动态适应能力。</w:t>
      </w:r>
    </w:p>
    <w:p w14:paraId="02AC8D6C">
      <w:pPr>
        <w:pStyle w:val="4"/>
      </w:pPr>
      <w:bookmarkStart w:id="46" w:name="_Toc230086356"/>
      <w:r>
        <w:rPr>
          <w:rFonts w:hint="eastAsia"/>
        </w:rPr>
        <w:t>3.3.1 特征掩码构建</w:t>
      </w:r>
      <w:bookmarkEnd w:id="46"/>
    </w:p>
    <w:p w14:paraId="476BEAC5">
      <w:pPr>
        <w:ind w:firstLine="480" w:firstLineChars="200"/>
      </w:pPr>
      <w:r>
        <w:t>在特征候选池的基础上，还需进一步设计特征的保留与屏蔽方式，以便将特征选择过程表示为可优化的动态决策过程。与离线阶段一次性选择固定特征集合不同，本文在特征候选池的基础上，将候选特征的保留与屏蔽统一表示为可学习的特征掩码，使特征组合能够随当前环境状态动态调整。</w:t>
      </w:r>
    </w:p>
    <w:p w14:paraId="2C011D38">
      <w:pPr>
        <w:ind w:firstLine="480" w:firstLineChars="200"/>
      </w:pPr>
      <w:r>
        <w:t>为对候选特征池中各特征的保留与屏蔽进行统一表示，本文将每个时间步的特征选择结果定义为与候选特征池维度</w:t>
      </w:r>
      <m:oMath>
        <m:r>
          <m:rPr/>
          <w:rPr>
            <w:rFonts w:ascii="Cambria Math" w:hAnsi="Cambria Math"/>
          </w:rPr>
          <m:t>K</m:t>
        </m:r>
      </m:oMath>
      <w:r>
        <w:t>一致的二值向量，如式</w:t>
      </w:r>
      <w:r>
        <w:rPr>
          <w:rFonts w:hint="eastAsia"/>
        </w:rPr>
        <w:t>(3.7)</w:t>
      </w:r>
      <w:r>
        <w:t>。</w:t>
      </w:r>
    </w:p>
    <w:p w14:paraId="6CEB5AEC">
      <w:pPr>
        <w:pStyle w:val="45"/>
        <w:rPr>
          <w:b w:val="0"/>
          <w:bCs w:val="0"/>
        </w:rPr>
      </w:pPr>
      <w:r>
        <w:tab/>
      </w:r>
      <w:r>
        <w:rPr>
          <w:b w:val="0"/>
          <w:bCs w:val="0"/>
          <w:position w:val="-12"/>
        </w:rPr>
        <w:object>
          <v:shape id="_x0000_i1094" o:spt="75" type="#_x0000_t75" style="height:19.15pt;width:168pt;" o:ole="t" filled="f" o:preferrelative="t" stroked="f" coordsize="21600,21600">
            <v:path/>
            <v:fill on="f" focussize="0,0"/>
            <v:stroke on="f" joinstyle="miter"/>
            <v:imagedata r:id="rId150" o:title=""/>
            <o:lock v:ext="edit" aspectratio="t"/>
            <w10:wrap type="none"/>
            <w10:anchorlock/>
          </v:shape>
          <o:OLEObject Type="Embed" ProgID="Equation.DSMT4" ShapeID="_x0000_i1094" DrawAspect="Content" ObjectID="_1468075794" r:id="rId149">
            <o:LockedField>false</o:LockedField>
          </o:OLEObject>
        </w:object>
      </w:r>
      <w:r>
        <w:rPr>
          <w:b w:val="0"/>
          <w:bCs w:val="0"/>
        </w:rPr>
        <w:tab/>
      </w:r>
      <w:r>
        <w:rPr>
          <w:rFonts w:hint="eastAsia"/>
          <w:b w:val="0"/>
          <w:bCs w:val="0"/>
        </w:rPr>
        <w:t>(3.7)</w:t>
      </w:r>
    </w:p>
    <w:p w14:paraId="78BA4B92">
      <w:pPr>
        <w:spacing w:line="400" w:lineRule="exact"/>
        <w:rPr>
          <w:rFonts w:eastAsia="宋体" w:cs="Times New Roman"/>
        </w:rPr>
      </w:pPr>
      <w:r>
        <w:rPr>
          <w:rFonts w:hint="eastAsia" w:eastAsia="宋体" w:cs="Times New Roman"/>
        </w:rPr>
        <w:t>式中，</w:t>
      </w:r>
      <w:r>
        <w:rPr>
          <w:rFonts w:hint="eastAsia" w:eastAsia="宋体" w:cs="Times New Roman"/>
          <w:position w:val="-12"/>
        </w:rPr>
        <w:object>
          <v:shape id="_x0000_i1095" o:spt="75" type="#_x0000_t75" style="height:19.15pt;width:19.9pt;" o:ole="t" filled="f" o:preferrelative="t" stroked="f" coordsize="21600,21600">
            <v:path/>
            <v:fill on="f" focussize="0,0"/>
            <v:stroke on="f" joinstyle="miter"/>
            <v:imagedata r:id="rId152" o:title=""/>
            <o:lock v:ext="edit" aspectratio="t"/>
            <w10:wrap type="none"/>
            <w10:anchorlock/>
          </v:shape>
          <o:OLEObject Type="Embed" ProgID="Equation.DSMT4" ShapeID="_x0000_i1095" DrawAspect="Content" ObjectID="_1468075795" r:id="rId151">
            <o:LockedField>false</o:LockedField>
          </o:OLEObject>
        </w:object>
      </w:r>
      <w:r>
        <w:rPr>
          <w:rFonts w:hint="eastAsia" w:eastAsia="宋体" w:cs="Times New Roman"/>
        </w:rPr>
        <w:t>为1</w:t>
      </w:r>
      <w:r>
        <w:rPr>
          <w:rFonts w:eastAsia="宋体" w:cs="Times New Roman"/>
        </w:rPr>
        <w:t>表示保留第j</w:t>
      </w:r>
      <w:r>
        <w:rPr>
          <w:rFonts w:hint="eastAsia" w:eastAsia="宋体" w:cs="Times New Roman"/>
        </w:rPr>
        <w:t>个候选特征，为0</w:t>
      </w:r>
      <w:r>
        <w:rPr>
          <w:rFonts w:eastAsia="宋体" w:cs="Times New Roman"/>
        </w:rPr>
        <w:t>表示</w:t>
      </w:r>
      <w:r>
        <w:rPr>
          <w:rFonts w:hint="eastAsia" w:eastAsia="宋体" w:cs="Times New Roman"/>
        </w:rPr>
        <w:t>屏蔽该特征。</w:t>
      </w:r>
    </w:p>
    <w:p w14:paraId="7C823689">
      <w:pPr>
        <w:ind w:firstLine="480" w:firstLineChars="200"/>
      </w:pPr>
      <w:r>
        <w:t>当前时刻的动作向量即为该时刻的特征掩码，并与式</w:t>
      </w:r>
      <w:r>
        <w:rPr>
          <w:rFonts w:hint="eastAsia"/>
        </w:rPr>
        <w:t>(3.8)</w:t>
      </w:r>
      <w:r>
        <w:t>共同决定了检测器的输入形式。由此，候选特征的保留与屏蔽能够被统一表示为强化学习过程中的动作选择，为后续轻量预检测与特征掩码策略优化提供了基础。</w:t>
      </w:r>
    </w:p>
    <w:p w14:paraId="427FAC94">
      <w:pPr>
        <w:pStyle w:val="4"/>
      </w:pPr>
      <w:bookmarkStart w:id="47" w:name="_Toc230086357"/>
      <w:bookmarkStart w:id="48" w:name="_Toc224238183"/>
      <w:r>
        <w:rPr>
          <w:rFonts w:hint="eastAsia"/>
        </w:rPr>
        <w:t>3.3.2 轻量预检测</w:t>
      </w:r>
      <w:bookmarkEnd w:id="47"/>
      <w:bookmarkEnd w:id="48"/>
    </w:p>
    <w:p w14:paraId="7198C965">
      <w:pPr>
        <w:spacing w:line="400" w:lineRule="exact"/>
        <w:ind w:firstLine="480" w:firstLineChars="200"/>
        <w:rPr>
          <w:rFonts w:eastAsia="宋体" w:cs="Times New Roman"/>
        </w:rPr>
      </w:pPr>
      <w:r>
        <w:t>在完成特征掩码构建后，还需进一步</w:t>
      </w:r>
      <w:r>
        <w:rPr>
          <w:rFonts w:hint="eastAsia"/>
        </w:rPr>
        <w:t>构建能</w:t>
      </w:r>
      <w:r>
        <w:rPr>
          <w:rFonts w:hint="eastAsia" w:eastAsia="宋体" w:cs="Times New Roman"/>
        </w:rPr>
        <w:t>够为策略优化提供稳定反馈的轻量检测器，其不作为APT检测模型，而是用于对当前特征掩码下的输入进行判定，输出后续奖励计算与策略更新所需的信息。本文选择逻辑回归模型作为轻量检测器，因其能够快速计算出样本属于异常类别的概率，便于体现特征变化对检测结果的影响；且其结构相对轻量，相较于参数规模大、训练推理开销高的非线性分类模型能够更好地满足特征掩码动态调整过程中对反馈效率的需求。在此基础上，轻量检测器的构建包含掩码输入与判定输出及训练目标设计两个部分。</w:t>
      </w:r>
    </w:p>
    <w:p w14:paraId="0D7317B6">
      <w:pPr>
        <w:spacing w:line="400" w:lineRule="exact"/>
        <w:ind w:firstLine="482" w:firstLineChars="200"/>
        <w:rPr>
          <w:rFonts w:eastAsia="宋体" w:cs="Times New Roman"/>
          <w:b/>
          <w:bCs/>
        </w:rPr>
      </w:pPr>
      <w:r>
        <w:rPr>
          <w:rFonts w:eastAsia="宋体" w:cs="Times New Roman"/>
          <w:b/>
          <w:bCs/>
        </w:rPr>
        <w:t>（1）掩码输入与判定输出</w:t>
      </w:r>
    </w:p>
    <w:p w14:paraId="136169E0">
      <w:pPr>
        <w:spacing w:line="400" w:lineRule="exact"/>
        <w:ind w:firstLine="480" w:firstLineChars="200"/>
        <w:rPr>
          <w:rFonts w:eastAsia="宋体" w:cs="Times New Roman"/>
        </w:rPr>
      </w:pPr>
      <w:r>
        <w:rPr>
          <w:rFonts w:hint="eastAsia" w:eastAsia="宋体" w:cs="Times New Roman"/>
        </w:rPr>
        <w:t>设候选特征池的维度为K，第t个行为片段的输入表示为</w:t>
      </w:r>
      <w:r>
        <w:rPr>
          <w:rFonts w:eastAsia="宋体" w:cs="Times New Roman"/>
          <w:position w:val="-12"/>
        </w:rPr>
        <w:object>
          <v:shape id="_x0000_i1096" o:spt="75" type="#_x0000_t75" style="height:19.15pt;width:38.65pt;" o:ole="t" filled="f" o:preferrelative="t" stroked="f" coordsize="21600,21600">
            <v:path/>
            <v:fill on="f" focussize="0,0"/>
            <v:stroke on="f" joinstyle="miter"/>
            <v:imagedata r:id="rId154" o:title=""/>
            <o:lock v:ext="edit" aspectratio="t"/>
            <w10:wrap type="none"/>
            <w10:anchorlock/>
          </v:shape>
          <o:OLEObject Type="Embed" ProgID="Equation.DSMT4" ShapeID="_x0000_i1096" DrawAspect="Content" ObjectID="_1468075796" r:id="rId153">
            <o:LockedField>false</o:LockedField>
          </o:OLEObject>
        </w:object>
      </w:r>
      <w:r>
        <w:rPr>
          <w:rFonts w:eastAsia="宋体" w:cs="Times New Roman"/>
        </w:rPr>
        <w:t>，当前特征掩码为</w:t>
      </w:r>
      <w:r>
        <w:rPr>
          <w:rFonts w:eastAsia="宋体" w:cs="Times New Roman"/>
          <w:position w:val="-12"/>
        </w:rPr>
        <w:object>
          <v:shape id="_x0000_i1097" o:spt="75" type="#_x0000_t75" style="height:19.15pt;width:55.9pt;" o:ole="t" filled="f" o:preferrelative="t" stroked="f" coordsize="21600,21600">
            <v:path/>
            <v:fill on="f" focussize="0,0"/>
            <v:stroke on="f" joinstyle="miter"/>
            <v:imagedata r:id="rId156" o:title=""/>
            <o:lock v:ext="edit" aspectratio="t"/>
            <w10:wrap type="none"/>
            <w10:anchorlock/>
          </v:shape>
          <o:OLEObject Type="Embed" ProgID="Equation.DSMT4" ShapeID="_x0000_i1097" DrawAspect="Content" ObjectID="_1468075797" r:id="rId155">
            <o:LockedField>false</o:LockedField>
          </o:OLEObject>
        </w:object>
      </w:r>
      <w:r>
        <w:rPr>
          <w:rFonts w:eastAsia="宋体" w:cs="Times New Roman"/>
        </w:rPr>
        <w:t>，则经过掩码选择后的</w:t>
      </w:r>
      <w:r>
        <w:rPr>
          <w:rFonts w:hint="eastAsia" w:eastAsia="宋体" w:cs="Times New Roman"/>
        </w:rPr>
        <w:t>输入可表示为式(3.8)。</w:t>
      </w:r>
    </w:p>
    <w:p w14:paraId="1B27782A">
      <w:pPr>
        <w:tabs>
          <w:tab w:val="center" w:pos="4160"/>
          <w:tab w:val="right" w:pos="8300"/>
        </w:tabs>
        <w:spacing w:line="400" w:lineRule="exact"/>
        <w:rPr>
          <w:rFonts w:eastAsia="宋体" w:cs="Times New Roman"/>
        </w:rPr>
      </w:pPr>
      <w:r>
        <w:rPr>
          <w:rFonts w:eastAsia="宋体" w:cs="Times New Roman"/>
        </w:rPr>
        <w:tab/>
      </w:r>
      <w:r>
        <w:rPr>
          <w:rFonts w:eastAsia="宋体" w:cs="Times New Roman"/>
          <w:position w:val="-12"/>
        </w:rPr>
        <w:object>
          <v:shape id="_x0000_i1098" o:spt="75" type="#_x0000_t75" style="height:25.15pt;width:58.15pt;" o:ole="t" filled="f" o:preferrelative="t" stroked="f" coordsize="21600,21600">
            <v:path/>
            <v:fill on="f" focussize="0,0"/>
            <v:stroke on="f" joinstyle="miter"/>
            <v:imagedata r:id="rId158" o:title=""/>
            <o:lock v:ext="edit" aspectratio="t"/>
            <w10:wrap type="none"/>
            <w10:anchorlock/>
          </v:shape>
          <o:OLEObject Type="Embed" ProgID="Equation.DSMT4" ShapeID="_x0000_i1098" DrawAspect="Content" ObjectID="_1468075798" r:id="rId157">
            <o:LockedField>false</o:LockedField>
          </o:OLEObject>
        </w:object>
      </w:r>
      <w:r>
        <w:rPr>
          <w:rFonts w:eastAsia="宋体" w:cs="Times New Roman"/>
        </w:rPr>
        <w:tab/>
      </w:r>
      <w:r>
        <w:rPr>
          <w:rFonts w:hint="eastAsia" w:eastAsia="宋体" w:cs="Times New Roman"/>
        </w:rPr>
        <w:t>(3.8)</w:t>
      </w:r>
    </w:p>
    <w:p w14:paraId="5439A92A">
      <w:pPr>
        <w:spacing w:line="400" w:lineRule="exact"/>
        <w:rPr>
          <w:rFonts w:eastAsia="宋体" w:cs="Times New Roman"/>
        </w:rPr>
      </w:pPr>
      <w:r>
        <w:rPr>
          <w:rFonts w:hint="eastAsia" w:eastAsia="宋体" w:cs="Times New Roman"/>
        </w:rPr>
        <w:t>式中，</w:t>
      </w:r>
      <w:r>
        <w:rPr>
          <w:rFonts w:eastAsia="宋体" w:cs="Times New Roman"/>
          <w:position w:val="-8"/>
        </w:rPr>
        <w:object>
          <v:shape id="_x0000_i1099" o:spt="75" type="#_x0000_t75" style="height:13.9pt;width:13.15pt;" o:ole="t" filled="f" o:preferrelative="t" stroked="f" coordsize="21600,21600">
            <v:path/>
            <v:fill on="f" focussize="0,0"/>
            <v:stroke on="f" joinstyle="miter"/>
            <v:imagedata r:id="rId160" o:title=""/>
            <o:lock v:ext="edit" aspectratio="t"/>
            <w10:wrap type="none"/>
            <w10:anchorlock/>
          </v:shape>
          <o:OLEObject Type="Embed" ProgID="Equation.DSMT4" ShapeID="_x0000_i1099" DrawAspect="Content" ObjectID="_1468075799" r:id="rId159">
            <o:LockedField>false</o:LockedField>
          </o:OLEObject>
        </w:object>
      </w:r>
      <w:r>
        <w:rPr>
          <w:rFonts w:eastAsia="宋体" w:cs="Times New Roman"/>
        </w:rPr>
        <w:t>表示元素相乘</w:t>
      </w:r>
      <w:r>
        <w:rPr>
          <w:rFonts w:hint="eastAsia" w:eastAsia="宋体" w:cs="Times New Roman"/>
        </w:rPr>
        <w:t>。由(3.8)可知，只有当前被掩码保留的特征会参与后续计算，因此检测器的输出可以直接反映当前特征组合对判定结果的影响。</w:t>
      </w:r>
    </w:p>
    <w:p w14:paraId="431B9C28">
      <w:pPr>
        <w:spacing w:line="400" w:lineRule="exact"/>
        <w:ind w:firstLine="480" w:firstLineChars="200"/>
        <w:rPr>
          <w:rFonts w:eastAsia="宋体" w:cs="Times New Roman"/>
        </w:rPr>
      </w:pPr>
      <w:r>
        <w:rPr>
          <w:rFonts w:eastAsia="宋体" w:cs="Times New Roman"/>
        </w:rPr>
        <w:t>对于</w:t>
      </w:r>
      <w:r>
        <w:rPr>
          <w:rFonts w:hint="eastAsia" w:eastAsia="宋体" w:cs="Times New Roman"/>
        </w:rPr>
        <w:t>输入</w:t>
      </w:r>
      <w:r>
        <w:rPr>
          <w:rFonts w:eastAsia="宋体" w:cs="Times New Roman"/>
          <w:position w:val="-12"/>
        </w:rPr>
        <w:object>
          <v:shape id="_x0000_i1100" o:spt="75" type="#_x0000_t75" style="height:25.15pt;width:13.15pt;" o:ole="t" filled="f" o:preferrelative="t" stroked="f" coordsize="21600,21600">
            <v:path/>
            <v:fill on="f" focussize="0,0"/>
            <v:stroke on="f" joinstyle="miter"/>
            <v:imagedata r:id="rId162" o:title=""/>
            <o:lock v:ext="edit" aspectratio="t"/>
            <w10:wrap type="none"/>
            <w10:anchorlock/>
          </v:shape>
          <o:OLEObject Type="Embed" ProgID="Equation.DSMT4" ShapeID="_x0000_i1100" DrawAspect="Content" ObjectID="_1468075800" r:id="rId161">
            <o:LockedField>false</o:LockedField>
          </o:OLEObject>
        </w:object>
      </w:r>
      <w:r>
        <w:rPr>
          <w:rFonts w:eastAsia="宋体" w:cs="Times New Roman"/>
        </w:rPr>
        <w:t>，检测器</w:t>
      </w:r>
      <w:r>
        <w:rPr>
          <w:rFonts w:hint="eastAsia" w:eastAsia="宋体" w:cs="Times New Roman"/>
        </w:rPr>
        <w:t>通过式(3.9)的方式计算其属于异常类别的预测概率，并进一步根据设定阈值产生判定结果如式(3.9)。</w:t>
      </w:r>
    </w:p>
    <w:p w14:paraId="15427397">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32"/>
        </w:rPr>
        <w:object>
          <v:shape id="_x0000_i1101" o:spt="75" type="#_x0000_t75" style="height:37.9pt;width:163.5pt;" o:ole="t" filled="f" o:preferrelative="t" stroked="f" coordsize="21600,21600">
            <v:path/>
            <v:fill on="f" focussize="0,0"/>
            <v:stroke on="f" joinstyle="miter"/>
            <v:imagedata r:id="rId164" o:title=""/>
            <o:lock v:ext="edit" aspectratio="t"/>
            <w10:wrap type="none"/>
            <w10:anchorlock/>
          </v:shape>
          <o:OLEObject Type="Embed" ProgID="Equation.DSMT4" ShapeID="_x0000_i1101" DrawAspect="Content" ObjectID="_1468075801" r:id="rId163">
            <o:LockedField>false</o:LockedField>
          </o:OLEObject>
        </w:object>
      </w:r>
      <w:r>
        <w:rPr>
          <w:rFonts w:eastAsia="宋体" w:cs="Times New Roman"/>
        </w:rPr>
        <w:tab/>
      </w:r>
      <w:r>
        <w:rPr>
          <w:rFonts w:hint="eastAsia" w:eastAsia="宋体" w:cs="Times New Roman"/>
        </w:rPr>
        <w:t>(3.9)</w:t>
      </w:r>
    </w:p>
    <w:p w14:paraId="368DC1B1">
      <w:pPr>
        <w:spacing w:line="400" w:lineRule="exact"/>
        <w:rPr>
          <w:rFonts w:eastAsia="宋体" w:cs="Times New Roman"/>
        </w:rPr>
      </w:pPr>
      <w:r>
        <w:rPr>
          <w:rFonts w:hint="eastAsia" w:eastAsia="宋体" w:cs="Times New Roman"/>
        </w:rPr>
        <w:t>式中，</w:t>
      </w:r>
      <w:r>
        <w:rPr>
          <w:rFonts w:hint="eastAsia" w:eastAsia="宋体" w:cs="Times New Roman"/>
          <w:position w:val="-6"/>
        </w:rPr>
        <w:object>
          <v:shape id="_x0000_i1102" o:spt="75" type="#_x0000_t75" style="height:10.9pt;width:12.4pt;" o:ole="t" filled="f" o:preferrelative="t" stroked="f" coordsize="21600,21600">
            <v:path/>
            <v:fill on="f" focussize="0,0"/>
            <v:stroke on="f" joinstyle="miter"/>
            <v:imagedata r:id="rId166" o:title=""/>
            <o:lock v:ext="edit" aspectratio="t"/>
            <w10:wrap type="none"/>
            <w10:anchorlock/>
          </v:shape>
          <o:OLEObject Type="Embed" ProgID="Equation.DSMT4" ShapeID="_x0000_i1102" DrawAspect="Content" ObjectID="_1468075802" r:id="rId165">
            <o:LockedField>false</o:LockedField>
          </o:OLEObject>
        </w:object>
      </w:r>
      <w:r>
        <w:rPr>
          <w:rFonts w:hint="eastAsia" w:eastAsia="宋体" w:cs="Times New Roman"/>
        </w:rPr>
        <w:t>为模型参数向量，</w:t>
      </w:r>
      <w:r>
        <w:rPr>
          <w:rFonts w:hint="eastAsia" w:eastAsia="宋体" w:cs="Times New Roman"/>
          <w:position w:val="-6"/>
        </w:rPr>
        <w:object>
          <v:shape id="_x0000_i1103" o:spt="75" type="#_x0000_t75" style="height:13.9pt;width:10.15pt;" o:ole="t" filled="f" o:preferrelative="t" stroked="f" coordsize="21600,21600">
            <v:path/>
            <v:fill on="f" focussize="0,0"/>
            <v:stroke on="f" joinstyle="miter"/>
            <v:imagedata r:id="rId168" o:title=""/>
            <o:lock v:ext="edit" aspectratio="t"/>
            <w10:wrap type="none"/>
            <w10:anchorlock/>
          </v:shape>
          <o:OLEObject Type="Embed" ProgID="Equation.DSMT4" ShapeID="_x0000_i1103" DrawAspect="Content" ObjectID="_1468075803" r:id="rId167">
            <o:LockedField>false</o:LockedField>
          </o:OLEObject>
        </w:object>
      </w:r>
      <w:r>
        <w:rPr>
          <w:rFonts w:hint="eastAsia" w:eastAsia="宋体" w:cs="Times New Roman"/>
        </w:rPr>
        <w:t>为偏置项，</w:t>
      </w:r>
      <w:r>
        <w:rPr>
          <w:rFonts w:hint="eastAsia" w:eastAsia="宋体" w:cs="Times New Roman"/>
          <w:position w:val="-10"/>
        </w:rPr>
        <w:object>
          <v:shape id="_x0000_i1104" o:spt="75" type="#_x0000_t75" style="height:16.15pt;width:22.15pt;" o:ole="t" filled="f" o:preferrelative="t" stroked="f" coordsize="21600,21600">
            <v:path/>
            <v:fill on="f" focussize="0,0"/>
            <v:stroke on="f" joinstyle="miter"/>
            <v:imagedata r:id="rId170" o:title=""/>
            <o:lock v:ext="edit" aspectratio="t"/>
            <w10:wrap type="none"/>
            <w10:anchorlock/>
          </v:shape>
          <o:OLEObject Type="Embed" ProgID="Equation.DSMT4" ShapeID="_x0000_i1104" DrawAspect="Content" ObjectID="_1468075804" r:id="rId169">
            <o:LockedField>false</o:LockedField>
          </o:OLEObject>
        </w:object>
      </w:r>
      <w:r>
        <w:rPr>
          <w:rFonts w:hint="eastAsia" w:eastAsia="宋体" w:cs="Times New Roman"/>
        </w:rPr>
        <w:t>为Sigmoid函数，</w:t>
      </w:r>
      <w:r>
        <w:rPr>
          <w:rFonts w:hint="eastAsia" w:eastAsia="宋体" w:cs="Times New Roman"/>
          <w:position w:val="-6"/>
        </w:rPr>
        <w:object>
          <v:shape id="_x0000_i1105" o:spt="75" type="#_x0000_t75" style="height:10.9pt;width:10.15pt;" o:ole="t" filled="f" o:preferrelative="t" stroked="f" coordsize="21600,21600">
            <v:path/>
            <v:fill on="f" focussize="0,0"/>
            <v:stroke on="f" joinstyle="miter"/>
            <v:imagedata r:id="rId172" o:title=""/>
            <o:lock v:ext="edit" aspectratio="t"/>
            <w10:wrap type="none"/>
            <w10:anchorlock/>
          </v:shape>
          <o:OLEObject Type="Embed" ProgID="Equation.DSMT4" ShapeID="_x0000_i1105" DrawAspect="Content" ObjectID="_1468075805" r:id="rId171">
            <o:LockedField>false</o:LockedField>
          </o:OLEObject>
        </w:object>
      </w:r>
      <w:r>
        <w:rPr>
          <w:rFonts w:hint="eastAsia" w:eastAsia="宋体" w:cs="Times New Roman"/>
        </w:rPr>
        <w:t>为判定阈值。当</w:t>
      </w:r>
      <w:r>
        <w:rPr>
          <w:rFonts w:hint="eastAsia" w:eastAsia="宋体" w:cs="Times New Roman"/>
          <w:position w:val="-12"/>
        </w:rPr>
        <w:object>
          <v:shape id="_x0000_i1106" o:spt="75" type="#_x0000_t75" style="height:18pt;width:13.9pt;" o:ole="t" filled="f" o:preferrelative="t" stroked="f" coordsize="21600,21600">
            <v:path/>
            <v:fill on="f" focussize="0,0"/>
            <v:stroke on="f" joinstyle="miter"/>
            <v:imagedata r:id="rId174" o:title=""/>
            <o:lock v:ext="edit" aspectratio="t"/>
            <w10:wrap type="none"/>
            <w10:anchorlock/>
          </v:shape>
          <o:OLEObject Type="Embed" ProgID="Equation.DSMT4" ShapeID="_x0000_i1106" DrawAspect="Content" ObjectID="_1468075806" r:id="rId173">
            <o:LockedField>false</o:LockedField>
          </o:OLEObject>
        </w:object>
      </w:r>
      <w:r>
        <w:rPr>
          <w:rFonts w:hint="eastAsia" w:eastAsia="宋体" w:cs="Times New Roman"/>
        </w:rPr>
        <w:t>较大时，表明当前行为片段更可能是异常类别；反之则表明其可能更接近正常行为。</w:t>
      </w:r>
    </w:p>
    <w:p w14:paraId="31591F27">
      <w:pPr>
        <w:spacing w:line="400" w:lineRule="exact"/>
        <w:ind w:firstLine="480" w:firstLineChars="200"/>
        <w:rPr>
          <w:rFonts w:eastAsia="宋体" w:cs="Times New Roman"/>
        </w:rPr>
      </w:pPr>
      <w:r>
        <w:rPr>
          <w:rFonts w:hint="eastAsia" w:eastAsia="宋体" w:cs="Times New Roman"/>
        </w:rPr>
        <w:t>通过式(3.9)，检测器模型同时产生预测概率与判定结果，前者能够表现异常程度的连续变化，后者可以形成离散的判定输出，二者共同</w:t>
      </w:r>
      <w:r>
        <w:rPr>
          <w:rFonts w:eastAsia="宋体" w:cs="Times New Roman"/>
        </w:rPr>
        <w:t>为后续性能反馈构造与策略优化提供基础</w:t>
      </w:r>
      <w:r>
        <w:rPr>
          <w:rFonts w:hint="eastAsia" w:eastAsia="宋体" w:cs="Times New Roman"/>
        </w:rPr>
        <w:t>。</w:t>
      </w:r>
    </w:p>
    <w:p w14:paraId="430CF6F5">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2</w:t>
      </w:r>
      <w:r>
        <w:rPr>
          <w:rFonts w:eastAsia="宋体" w:cs="Times New Roman"/>
          <w:b/>
          <w:bCs/>
        </w:rPr>
        <w:t>）训练目标设计</w:t>
      </w:r>
    </w:p>
    <w:p w14:paraId="636ADC09">
      <w:pPr>
        <w:spacing w:line="400" w:lineRule="exact"/>
        <w:ind w:firstLine="480" w:firstLineChars="200"/>
        <w:rPr>
          <w:rFonts w:eastAsia="宋体" w:cs="Times New Roman"/>
        </w:rPr>
      </w:pPr>
      <w:r>
        <w:rPr>
          <w:rFonts w:hint="eastAsia" w:eastAsia="宋体" w:cs="Times New Roman"/>
        </w:rPr>
        <w:t>在定义了检测器模型的输出形式之后，需进一步设计模型的训练目标，完成检测模型的参数优化，才能够在后续更准确地评估特征组合的检测效果。在新型电力系统中，APT攻击样本在整体数据中通常占比较低，若直接采用普通交叉熵损失函数训练检测器，模型易偏向多数样本，从而减弱了针对异常行为的识别能力</w:t>
      </w:r>
      <w:r>
        <w:rPr>
          <w:rFonts w:eastAsia="宋体" w:cs="Times New Roman"/>
          <w:vertAlign w:val="superscript"/>
        </w:rPr>
        <w:fldChar w:fldCharType="begin" w:fldLock="1"/>
      </w:r>
      <w:r>
        <w:rPr>
          <w:rFonts w:eastAsia="宋体" w:cs="Times New Roman"/>
          <w:vertAlign w:val="superscript"/>
        </w:rPr>
        <w:instrText xml:space="preserve"> </w:instrText>
      </w:r>
      <w:r>
        <w:rPr>
          <w:rFonts w:hint="eastAsia" w:eastAsia="宋体" w:cs="Times New Roman"/>
          <w:vertAlign w:val="superscript"/>
        </w:rPr>
        <w:instrText xml:space="preserve">REF _Ref226404402 \r \h</w:instrText>
      </w:r>
      <w:r>
        <w:rPr>
          <w:rFonts w:eastAsia="宋体" w:cs="Times New Roman"/>
          <w:vertAlign w:val="superscript"/>
        </w:rPr>
        <w:instrText xml:space="preserve">  \* MERGEFORMAT </w:instrText>
      </w:r>
      <w:r>
        <w:rPr>
          <w:rFonts w:eastAsia="宋体" w:cs="Times New Roman"/>
          <w:vertAlign w:val="superscript"/>
        </w:rPr>
        <w:fldChar w:fldCharType="separate"/>
      </w:r>
      <w:r>
        <w:rPr>
          <w:rFonts w:eastAsia="宋体" w:cs="Times New Roman"/>
          <w:vertAlign w:val="superscript"/>
        </w:rPr>
        <w:t>[88]</w:t>
      </w:r>
      <w:r>
        <w:rPr>
          <w:rFonts w:eastAsia="宋体" w:cs="Times New Roman"/>
          <w:vertAlign w:val="superscript"/>
        </w:rPr>
        <w:fldChar w:fldCharType="end"/>
      </w:r>
      <w:r>
        <w:rPr>
          <w:rFonts w:hint="eastAsia" w:eastAsia="宋体" w:cs="Times New Roman"/>
        </w:rPr>
        <w:t>。针对此问题，本文采用基于类别权重的交叉熵损失函数对逻辑回归检测器进行训练，定义目标函数如式(3.10)。</w:t>
      </w:r>
    </w:p>
    <w:p w14:paraId="1588269B">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28"/>
        </w:rPr>
        <w:object>
          <v:shape id="_x0000_i1107" o:spt="75" type="#_x0000_t75" style="height:34.15pt;width:214.9pt;" o:ole="t" filled="f" o:preferrelative="t" stroked="f" coordsize="21600,21600">
            <v:path/>
            <v:fill on="f" focussize="0,0"/>
            <v:stroke on="f" joinstyle="miter"/>
            <v:imagedata r:id="rId176" o:title=""/>
            <o:lock v:ext="edit" aspectratio="t"/>
            <w10:wrap type="none"/>
            <w10:anchorlock/>
          </v:shape>
          <o:OLEObject Type="Embed" ProgID="Equation.DSMT4" ShapeID="_x0000_i1107" DrawAspect="Content" ObjectID="_1468075807" r:id="rId175">
            <o:LockedField>false</o:LockedField>
          </o:OLEObject>
        </w:object>
      </w:r>
      <w:r>
        <w:rPr>
          <w:rFonts w:eastAsia="宋体" w:cs="Times New Roman"/>
        </w:rPr>
        <w:tab/>
      </w:r>
      <w:r>
        <w:rPr>
          <w:rFonts w:hint="eastAsia" w:eastAsia="宋体" w:cs="Times New Roman"/>
        </w:rPr>
        <w:t>(3.10)</w:t>
      </w:r>
    </w:p>
    <w:p w14:paraId="5B49C3A7">
      <w:pPr>
        <w:spacing w:line="400" w:lineRule="exact"/>
        <w:rPr>
          <w:rFonts w:eastAsia="宋体" w:cs="Times New Roman"/>
        </w:rPr>
      </w:pPr>
      <w:bookmarkStart w:id="49" w:name="_Toc224238184"/>
      <w:r>
        <w:rPr>
          <w:rFonts w:hint="eastAsia" w:eastAsia="宋体" w:cs="Times New Roman"/>
        </w:rPr>
        <w:t>式中，N表示样本数量，</w:t>
      </w:r>
      <w:r>
        <w:rPr>
          <w:rFonts w:hint="eastAsia" w:eastAsia="宋体" w:cs="Times New Roman"/>
          <w:position w:val="-12"/>
        </w:rPr>
        <w:object>
          <v:shape id="_x0000_i1108" o:spt="75" type="#_x0000_t75" style="height:18pt;width:46.9pt;" o:ole="t" filled="f" o:preferrelative="t" stroked="f" coordsize="21600,21600">
            <v:path/>
            <v:fill on="f" focussize="0,0"/>
            <v:stroke on="f" joinstyle="miter"/>
            <v:imagedata r:id="rId178" o:title=""/>
            <o:lock v:ext="edit" aspectratio="t"/>
            <w10:wrap type="none"/>
            <w10:anchorlock/>
          </v:shape>
          <o:OLEObject Type="Embed" ProgID="Equation.DSMT4" ShapeID="_x0000_i1108" DrawAspect="Content" ObjectID="_1468075808" r:id="rId177">
            <o:LockedField>false</o:LockedField>
          </o:OLEObject>
        </w:object>
      </w:r>
      <w:r>
        <w:rPr>
          <w:rFonts w:hint="eastAsia" w:eastAsia="宋体" w:cs="Times New Roman"/>
        </w:rPr>
        <w:t>为第i个样本的类别标签，</w:t>
      </w:r>
      <w:r>
        <w:rPr>
          <w:rFonts w:hint="eastAsia" w:eastAsia="宋体" w:cs="Times New Roman"/>
          <w:position w:val="-12"/>
        </w:rPr>
        <w:object>
          <v:shape id="_x0000_i1109" o:spt="75" type="#_x0000_t75" style="height:18pt;width:13.15pt;" o:ole="t" filled="f" o:preferrelative="t" stroked="f" coordsize="21600,21600">
            <v:path/>
            <v:fill on="f" focussize="0,0"/>
            <v:stroke on="f" joinstyle="miter"/>
            <v:imagedata r:id="rId180" o:title=""/>
            <o:lock v:ext="edit" aspectratio="t"/>
            <w10:wrap type="none"/>
            <w10:anchorlock/>
          </v:shape>
          <o:OLEObject Type="Embed" ProgID="Equation.DSMT4" ShapeID="_x0000_i1109" DrawAspect="Content" ObjectID="_1468075809" r:id="rId179">
            <o:LockedField>false</o:LockedField>
          </o:OLEObject>
        </w:object>
      </w:r>
      <w:r>
        <w:rPr>
          <w:rFonts w:eastAsia="宋体" w:cs="Times New Roman"/>
        </w:rPr>
        <w:t>为检测器输出的异常概率，</w:t>
      </w:r>
      <w:r>
        <w:rPr>
          <w:rFonts w:hint="eastAsia" w:eastAsia="宋体" w:cs="Times New Roman"/>
          <w:position w:val="-6"/>
        </w:rPr>
        <w:object>
          <v:shape id="_x0000_i1110" o:spt="75" type="#_x0000_t75" style="height:10.9pt;width:12.4pt;" o:ole="t" filled="f" o:preferrelative="t" stroked="f" coordsize="21600,21600">
            <v:path/>
            <v:fill on="f" focussize="0,0"/>
            <v:stroke on="f" joinstyle="miter"/>
            <v:imagedata r:id="rId182" o:title=""/>
            <o:lock v:ext="edit" aspectratio="t"/>
            <w10:wrap type="none"/>
            <w10:anchorlock/>
          </v:shape>
          <o:OLEObject Type="Embed" ProgID="Equation.DSMT4" ShapeID="_x0000_i1110" DrawAspect="Content" ObjectID="_1468075810" r:id="rId181">
            <o:LockedField>false</o:LockedField>
          </o:OLEObject>
        </w:object>
      </w:r>
      <w:r>
        <w:rPr>
          <w:rFonts w:hint="eastAsia" w:eastAsia="宋体" w:cs="Times New Roman"/>
        </w:rPr>
        <w:t>为异常类别对应的权重系数。</w:t>
      </w:r>
    </w:p>
    <w:p w14:paraId="4AA684F6">
      <w:pPr>
        <w:spacing w:line="400" w:lineRule="exact"/>
        <w:ind w:firstLine="480" w:firstLineChars="200"/>
      </w:pPr>
      <w:r>
        <w:rPr>
          <w:rFonts w:hint="eastAsia"/>
        </w:rPr>
        <w:t>由此，本方法通过提高异常样本在损失函数中的权重，能够缓解类别不平衡对模型训练的影响，使得检测器可以更有效地评估特征组合的检测效果，也为后续掩码策略优化提供可靠反馈。</w:t>
      </w:r>
    </w:p>
    <w:bookmarkEnd w:id="49"/>
    <w:p w14:paraId="73E87C96">
      <w:pPr>
        <w:pStyle w:val="4"/>
      </w:pPr>
      <w:bookmarkStart w:id="50" w:name="_Toc230086358"/>
      <w:bookmarkStart w:id="51" w:name="_Toc224238185"/>
      <w:r>
        <w:rPr>
          <w:rFonts w:hint="eastAsia"/>
        </w:rPr>
        <w:t>3.3.3 基于综合性能反馈的特征选择策略优化</w:t>
      </w:r>
      <w:bookmarkEnd w:id="50"/>
      <w:bookmarkEnd w:id="51"/>
    </w:p>
    <w:p w14:paraId="00669F2A">
      <w:pPr>
        <w:spacing w:line="400" w:lineRule="exact"/>
        <w:ind w:firstLine="480" w:firstLineChars="200"/>
        <w:rPr>
          <w:rFonts w:eastAsia="宋体" w:cs="Times New Roman"/>
        </w:rPr>
      </w:pPr>
      <w:r>
        <w:rPr>
          <w:rFonts w:eastAsia="宋体" w:cs="Times New Roman"/>
        </w:rPr>
        <w:t>在完成动作掩码构建并得到轻量检测结果后，还需进一步将检测结果转化为可用于策略更新的奖励信号，并据此对特征掩码策略进行优化，使模型能够在候选特征池中学习更合理的特征保留与屏蔽方法。针对本文奖励信号同时包含检测结果、误报惩罚、特征维度约束及预警及时性等多重因素，训练过程中易出现策略更新不稳定的问题，本文采用强化学习中的近端策略优化算法（Proximal Policy Optimization, PPO）对特征掩码策略进行迭代更新。相较于其他无约束的策略梯度更新方法，PPO通过限制单次策略更新的幅度，能够缓解训练过程中因奖励波动而产生的不稳定性问题，因此更适用于作为本文动态特征掩码策略优化方法。本节特征掩码策略优化方法包含预测奖励设计、掩码策略建模及PPO优化目标设计三个部分。</w:t>
      </w:r>
    </w:p>
    <w:p w14:paraId="5EEB1F60">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1</w:t>
      </w:r>
      <w:r>
        <w:rPr>
          <w:rFonts w:eastAsia="宋体" w:cs="Times New Roman"/>
          <w:b/>
          <w:bCs/>
        </w:rPr>
        <w:t>）</w:t>
      </w:r>
      <w:r>
        <w:rPr>
          <w:rFonts w:hint="eastAsia" w:eastAsia="宋体" w:cs="Times New Roman"/>
          <w:b/>
          <w:bCs/>
        </w:rPr>
        <w:t>预测奖励设计</w:t>
      </w:r>
    </w:p>
    <w:p w14:paraId="7D1F863B">
      <w:pPr>
        <w:spacing w:line="400" w:lineRule="exact"/>
        <w:ind w:firstLine="480" w:firstLineChars="200"/>
        <w:rPr>
          <w:rFonts w:eastAsia="宋体" w:cs="Times New Roman"/>
        </w:rPr>
      </w:pPr>
      <w:r>
        <w:rPr>
          <w:rFonts w:eastAsia="宋体" w:cs="Times New Roman"/>
        </w:rPr>
        <w:t>在轻量检测器输出预测概率与判定结果后，还需进一步将当前特征组合对应的检测结果转化为强化学习中的奖励信号。为此，本文在检测器输出的基础上设计奖励函数。</w:t>
      </w:r>
      <w:r>
        <w:rPr>
          <w:rFonts w:hint="eastAsia" w:eastAsia="宋体" w:cs="Times New Roman"/>
        </w:rPr>
        <w:t>本文的奖励设计不只以减少特征数量为目标，而是在保证检测有效性的基础上，同时考虑预警及时性、误报控制等目标。具体而言，为评估检测器对当前特征组合判定结果的有效性，本节首先引入判定增益项，其计算方式如式(3.11)。</w:t>
      </w:r>
    </w:p>
    <w:p w14:paraId="3D6D75E7">
      <w:pPr>
        <w:tabs>
          <w:tab w:val="center" w:pos="4160"/>
          <w:tab w:val="right" w:pos="8300"/>
        </w:tabs>
        <w:spacing w:line="400" w:lineRule="exact"/>
        <w:rPr>
          <w:rFonts w:eastAsia="宋体" w:cs="Times New Roman"/>
        </w:rPr>
      </w:pPr>
      <w:r>
        <w:rPr>
          <w:rFonts w:eastAsia="宋体" w:cs="Times New Roman"/>
        </w:rPr>
        <w:tab/>
      </w:r>
      <w:r>
        <w:rPr>
          <w:rFonts w:eastAsia="宋体" w:cs="Times New Roman"/>
          <w:position w:val="-12"/>
        </w:rPr>
        <w:object>
          <v:shape id="_x0000_i1111" o:spt="75" type="#_x0000_t75" style="height:18pt;width:129pt;" o:ole="t" filled="f" o:preferrelative="t" stroked="f" coordsize="21600,21600">
            <v:path/>
            <v:fill on="f" focussize="0,0"/>
            <v:stroke on="f" joinstyle="miter"/>
            <v:imagedata r:id="rId184" o:title=""/>
            <o:lock v:ext="edit" aspectratio="t"/>
            <w10:wrap type="none"/>
            <w10:anchorlock/>
          </v:shape>
          <o:OLEObject Type="Embed" ProgID="Equation.DSMT4" ShapeID="_x0000_i1111" DrawAspect="Content" ObjectID="_1468075811" r:id="rId183">
            <o:LockedField>false</o:LockedField>
          </o:OLEObject>
        </w:object>
      </w:r>
      <w:r>
        <w:rPr>
          <w:rFonts w:eastAsia="宋体" w:cs="Times New Roman"/>
        </w:rPr>
        <w:tab/>
      </w:r>
      <w:r>
        <w:rPr>
          <w:rFonts w:hint="eastAsia" w:eastAsia="宋体" w:cs="Times New Roman"/>
        </w:rPr>
        <w:t>(3.11)</w:t>
      </w:r>
    </w:p>
    <w:p w14:paraId="2B50EB1F">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112" o:spt="75" type="#_x0000_t75" style="height:18pt;width:47.65pt;" o:ole="t" filled="f" o:preferrelative="t" stroked="f" coordsize="21600,21600">
            <v:path/>
            <v:fill on="f" focussize="0,0"/>
            <v:stroke on="f" joinstyle="miter"/>
            <v:imagedata r:id="rId186" o:title=""/>
            <o:lock v:ext="edit" aspectratio="t"/>
            <w10:wrap type="none"/>
            <w10:anchorlock/>
          </v:shape>
          <o:OLEObject Type="Embed" ProgID="Equation.DSMT4" ShapeID="_x0000_i1112" DrawAspect="Content" ObjectID="_1468075812" r:id="rId185">
            <o:LockedField>false</o:LockedField>
          </o:OLEObject>
        </w:object>
      </w:r>
      <w:r>
        <w:rPr>
          <w:rFonts w:hint="eastAsia" w:eastAsia="宋体" w:cs="Times New Roman"/>
        </w:rPr>
        <w:t>表示第t个行为片段的类别标签，</w:t>
      </w:r>
      <w:r>
        <w:rPr>
          <w:rFonts w:hint="eastAsia" w:eastAsia="宋体" w:cs="Times New Roman"/>
          <w:position w:val="-12"/>
        </w:rPr>
        <w:object>
          <v:shape id="_x0000_i1113" o:spt="75" type="#_x0000_t75" style="height:18pt;width:13.9pt;" o:ole="t" filled="f" o:preferrelative="t" stroked="f" coordsize="21600,21600">
            <v:path/>
            <v:fill on="f" focussize="0,0"/>
            <v:stroke on="f" joinstyle="miter"/>
            <v:imagedata r:id="rId188" o:title=""/>
            <o:lock v:ext="edit" aspectratio="t"/>
            <w10:wrap type="none"/>
            <w10:anchorlock/>
          </v:shape>
          <o:OLEObject Type="Embed" ProgID="Equation.DSMT4" ShapeID="_x0000_i1113" DrawAspect="Content" ObjectID="_1468075813" r:id="rId187">
            <o:LockedField>false</o:LockedField>
          </o:OLEObject>
        </w:object>
      </w:r>
      <w:r>
        <w:rPr>
          <w:rFonts w:hint="eastAsia" w:eastAsia="宋体" w:cs="Times New Roman"/>
        </w:rPr>
        <w:t>为检测器输出的异常概率。当样本属于异常类别时，</w:t>
      </w:r>
      <w:r>
        <w:rPr>
          <w:rFonts w:hint="eastAsia" w:eastAsia="宋体" w:cs="Times New Roman"/>
          <w:position w:val="-12"/>
        </w:rPr>
        <w:object>
          <v:shape id="_x0000_i1114" o:spt="75" type="#_x0000_t75" style="height:18pt;width:13.9pt;" o:ole="t" filled="f" o:preferrelative="t" stroked="f" coordsize="21600,21600">
            <v:path/>
            <v:fill on="f" focussize="0,0"/>
            <v:stroke on="f" joinstyle="miter"/>
            <v:imagedata r:id="rId188" o:title=""/>
            <o:lock v:ext="edit" aspectratio="t"/>
            <w10:wrap type="none"/>
            <w10:anchorlock/>
          </v:shape>
          <o:OLEObject Type="Embed" ProgID="Equation.DSMT4" ShapeID="_x0000_i1114" DrawAspect="Content" ObjectID="_1468075814" r:id="rId189">
            <o:LockedField>false</o:LockedField>
          </o:OLEObject>
        </w:object>
      </w:r>
      <w:r>
        <w:rPr>
          <w:rFonts w:hint="eastAsia" w:eastAsia="宋体" w:cs="Times New Roman"/>
        </w:rPr>
        <w:t>越大，则</w:t>
      </w:r>
      <w:r>
        <w:rPr>
          <w:rFonts w:hint="eastAsia" w:eastAsia="宋体" w:cs="Times New Roman"/>
          <w:position w:val="-12"/>
        </w:rPr>
        <w:object>
          <v:shape id="_x0000_i1115" o:spt="75" type="#_x0000_t75" style="height:18pt;width:19.15pt;" o:ole="t" filled="f" o:preferrelative="t" stroked="f" coordsize="21600,21600">
            <v:path/>
            <v:fill on="f" focussize="0,0"/>
            <v:stroke on="f" joinstyle="miter"/>
            <v:imagedata r:id="rId191" o:title=""/>
            <o:lock v:ext="edit" aspectratio="t"/>
            <w10:wrap type="none"/>
            <w10:anchorlock/>
          </v:shape>
          <o:OLEObject Type="Embed" ProgID="Equation.DSMT4" ShapeID="_x0000_i1115" DrawAspect="Content" ObjectID="_1468075815" r:id="rId190">
            <o:LockedField>false</o:LockedField>
          </o:OLEObject>
        </w:object>
      </w:r>
      <w:r>
        <w:rPr>
          <w:rFonts w:hint="eastAsia" w:eastAsia="宋体" w:cs="Times New Roman"/>
        </w:rPr>
        <w:t>越大；反之，当样本属于正常类别时，</w:t>
      </w:r>
      <w:r>
        <w:rPr>
          <w:rFonts w:hint="eastAsia" w:eastAsia="宋体" w:cs="Times New Roman"/>
          <w:position w:val="-12"/>
        </w:rPr>
        <w:object>
          <v:shape id="_x0000_i1116" o:spt="75" type="#_x0000_t75" style="height:18pt;width:13.9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92">
            <o:LockedField>false</o:LockedField>
          </o:OLEObject>
        </w:object>
      </w:r>
      <w:r>
        <w:rPr>
          <w:rFonts w:hint="eastAsia" w:eastAsia="宋体" w:cs="Times New Roman"/>
        </w:rPr>
        <w:t>越小，则</w:t>
      </w:r>
      <w:r>
        <w:rPr>
          <w:rFonts w:hint="eastAsia" w:eastAsia="宋体" w:cs="Times New Roman"/>
          <w:position w:val="-12"/>
        </w:rPr>
        <w:object>
          <v:shape id="_x0000_i1117" o:spt="75" type="#_x0000_t75" style="height:18pt;width:19.15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3">
            <o:LockedField>false</o:LockedField>
          </o:OLEObject>
        </w:object>
      </w:r>
      <w:r>
        <w:rPr>
          <w:rFonts w:hint="eastAsia" w:eastAsia="宋体" w:cs="Times New Roman"/>
        </w:rPr>
        <w:t>越大。由此，</w:t>
      </w:r>
      <w:r>
        <w:rPr>
          <w:rFonts w:hint="eastAsia" w:eastAsia="宋体" w:cs="Times New Roman"/>
          <w:position w:val="-12"/>
        </w:rPr>
        <w:object>
          <v:shape id="_x0000_i1118" o:spt="75" type="#_x0000_t75" style="height:18pt;width:19.15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4">
            <o:LockedField>false</o:LockedField>
          </o:OLEObject>
        </w:object>
      </w:r>
      <w:r>
        <w:rPr>
          <w:rFonts w:hint="eastAsia" w:eastAsia="宋体" w:cs="Times New Roman"/>
        </w:rPr>
        <w:t>能够较为直接地体现当前特征组合判定结果的有效性。</w:t>
      </w:r>
    </w:p>
    <w:p w14:paraId="5A58D3AF">
      <w:pPr>
        <w:spacing w:line="400" w:lineRule="exact"/>
        <w:ind w:firstLine="480" w:firstLineChars="200"/>
        <w:rPr>
          <w:rFonts w:eastAsia="宋体" w:cs="Times New Roman"/>
        </w:rPr>
      </w:pPr>
      <w:r>
        <w:rPr>
          <w:rFonts w:hint="eastAsia" w:eastAsia="宋体" w:cs="Times New Roman"/>
        </w:rPr>
        <w:t>为</w:t>
      </w:r>
      <w:r>
        <w:rPr>
          <w:rFonts w:eastAsia="宋体" w:cs="Times New Roman"/>
        </w:rPr>
        <w:t>进一步</w:t>
      </w:r>
      <w:r>
        <w:rPr>
          <w:rFonts w:hint="eastAsia" w:eastAsia="宋体" w:cs="Times New Roman"/>
        </w:rPr>
        <w:t>综合考虑特征选择维度约束、误报惩罚及预警延迟惩罚，本节设计了包含上述因素的奖励函数，其计算方式如式(3.12)。</w:t>
      </w:r>
    </w:p>
    <w:p w14:paraId="1CBDCF19">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24"/>
        </w:rPr>
        <w:object>
          <v:shape id="_x0000_i1119" o:spt="75" type="#_x0000_t75" style="height:34.15pt;width:157.9pt;" o:ole="t" filled="f" o:preferrelative="t" stroked="f" coordsize="21600,21600">
            <v:path/>
            <v:fill on="f" focussize="0,0"/>
            <v:stroke on="f" joinstyle="miter"/>
            <v:imagedata r:id="rId196" o:title=""/>
            <o:lock v:ext="edit" aspectratio="t"/>
            <w10:wrap type="none"/>
            <w10:anchorlock/>
          </v:shape>
          <o:OLEObject Type="Embed" ProgID="Equation.DSMT4" ShapeID="_x0000_i1119" DrawAspect="Content" ObjectID="_1468075819" r:id="rId195">
            <o:LockedField>false</o:LockedField>
          </o:OLEObject>
        </w:object>
      </w:r>
      <w:r>
        <w:rPr>
          <w:rFonts w:eastAsia="宋体" w:cs="Times New Roman"/>
        </w:rPr>
        <w:tab/>
      </w:r>
      <w:r>
        <w:rPr>
          <w:rFonts w:hint="eastAsia" w:eastAsia="宋体" w:cs="Times New Roman"/>
        </w:rPr>
        <w:t>(3.12)</w:t>
      </w:r>
    </w:p>
    <w:p w14:paraId="38BEA27D">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120" o:spt="75" type="#_x0000_t75" style="height:18pt;width:13.15pt;" o:ole="t" filled="f" o:preferrelative="t" stroked="f" coordsize="21600,21600">
            <v:path/>
            <v:fill on="f" focussize="0,0"/>
            <v:stroke on="f" joinstyle="miter"/>
            <v:imagedata r:id="rId198" o:title=""/>
            <o:lock v:ext="edit" aspectratio="t"/>
            <w10:wrap type="none"/>
            <w10:anchorlock/>
          </v:shape>
          <o:OLEObject Type="Embed" ProgID="Equation.DSMT4" ShapeID="_x0000_i1120" DrawAspect="Content" ObjectID="_1468075820" r:id="rId197">
            <o:LockedField>false</o:LockedField>
          </o:OLEObject>
        </w:object>
      </w:r>
      <w:r>
        <w:rPr>
          <w:rFonts w:hint="eastAsia" w:eastAsia="宋体" w:cs="Times New Roman"/>
        </w:rPr>
        <w:t>表示误报惩罚项，</w:t>
      </w:r>
      <w:r>
        <w:rPr>
          <w:rFonts w:hint="eastAsia" w:eastAsia="宋体" w:cs="Times New Roman"/>
          <w:position w:val="-14"/>
        </w:rPr>
        <w:object>
          <v:shape id="_x0000_i1121" o:spt="75" type="#_x0000_t75" style="height:19.9pt;width:45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rPr>
          <w:rFonts w:hint="eastAsia" w:eastAsia="宋体" w:cs="Times New Roman"/>
        </w:rPr>
        <w:t>表示当前在特征候选池中保留特征的比例，</w:t>
      </w:r>
      <w:r>
        <w:rPr>
          <w:rFonts w:hint="eastAsia" w:eastAsia="宋体" w:cs="Times New Roman"/>
          <w:position w:val="-12"/>
        </w:rPr>
        <w:object>
          <v:shape id="_x0000_i1122" o:spt="75" type="#_x0000_t75" style="height:18pt;width:13.15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rPr>
          <w:rFonts w:hint="eastAsia" w:eastAsia="宋体" w:cs="Times New Roman"/>
        </w:rPr>
        <w:t>表示预警延迟惩罚项，</w:t>
      </w:r>
      <w:r>
        <w:rPr>
          <w:rFonts w:hint="eastAsia" w:eastAsia="宋体" w:cs="Times New Roman"/>
          <w:position w:val="-12"/>
        </w:rPr>
        <w:object>
          <v:shape id="_x0000_i1123" o:spt="75" type="#_x0000_t75" style="height:18pt;width:12.4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rPr>
          <w:rFonts w:hint="eastAsia" w:eastAsia="宋体" w:cs="Times New Roman"/>
        </w:rPr>
        <w:t>至</w:t>
      </w:r>
      <w:r>
        <w:rPr>
          <w:rFonts w:hint="eastAsia" w:eastAsia="宋体" w:cs="Times New Roman"/>
          <w:position w:val="-12"/>
        </w:rPr>
        <w:object>
          <v:shape id="_x0000_i1124" o:spt="75" type="#_x0000_t75" style="height:18pt;width:13.9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rPr>
          <w:rFonts w:hint="eastAsia" w:eastAsia="宋体" w:cs="Times New Roman"/>
        </w:rPr>
        <w:t>为各部分对应的权重系数。</w:t>
      </w:r>
    </w:p>
    <w:p w14:paraId="7233480A">
      <w:pPr>
        <w:spacing w:line="400" w:lineRule="exact"/>
        <w:ind w:firstLine="480" w:firstLineChars="200"/>
        <w:rPr>
          <w:rFonts w:eastAsia="宋体" w:cs="Times New Roman"/>
        </w:rPr>
      </w:pPr>
      <w:r>
        <w:rPr>
          <w:rFonts w:eastAsia="宋体" w:cs="Times New Roman"/>
        </w:rPr>
        <w:t>由此，</w:t>
      </w:r>
      <w:r>
        <w:rPr>
          <w:rFonts w:hint="eastAsia" w:eastAsia="宋体" w:cs="Times New Roman"/>
        </w:rPr>
        <w:t>当前时刻的检测结果便可转化为强化学习中的奖励信号。该奖励函数在有效地评估了当前特征组合判定效果的同时，对误报增加、特征选择过多、预警延迟加以惩罚，从而使得模型能够在检测性能、降维效果与及早预警之间取得平衡。</w:t>
      </w:r>
    </w:p>
    <w:p w14:paraId="5C5A31B6">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2</w:t>
      </w:r>
      <w:r>
        <w:rPr>
          <w:rFonts w:eastAsia="宋体" w:cs="Times New Roman"/>
          <w:b/>
          <w:bCs/>
        </w:rPr>
        <w:t>）</w:t>
      </w:r>
      <w:r>
        <w:rPr>
          <w:rFonts w:hint="eastAsia" w:eastAsia="宋体" w:cs="Times New Roman"/>
          <w:b/>
          <w:bCs/>
        </w:rPr>
        <w:t>掩码策略建模</w:t>
      </w:r>
    </w:p>
    <w:p w14:paraId="0B31EAC9">
      <w:pPr>
        <w:spacing w:line="400" w:lineRule="exact"/>
        <w:ind w:firstLine="480" w:firstLineChars="200"/>
        <w:rPr>
          <w:rFonts w:eastAsia="宋体" w:cs="Times New Roman"/>
        </w:rPr>
      </w:pPr>
      <w:r>
        <w:rPr>
          <w:rFonts w:hint="eastAsia" w:eastAsia="宋体" w:cs="Times New Roman"/>
        </w:rPr>
        <w:t>本文特征掩码策略优化方法不直接在原始高维特征空间上展开，而是在特征候选池上进行。这既保留了前文预筛选部分对冗余信息的压缩作用，也能够使得后续强化学习可以聚焦于对检测更可能起重要作用的特征集合。</w:t>
      </w:r>
    </w:p>
    <w:p w14:paraId="1508E86E">
      <w:pPr>
        <w:spacing w:line="400" w:lineRule="exact"/>
        <w:ind w:firstLine="480" w:firstLineChars="200"/>
        <w:rPr>
          <w:rFonts w:eastAsia="宋体" w:cs="Times New Roman"/>
        </w:rPr>
      </w:pPr>
      <w:r>
        <w:rPr>
          <w:rFonts w:hint="eastAsia" w:eastAsia="宋体" w:cs="Times New Roman"/>
        </w:rPr>
        <w:t>设当前时刻的状态为</w:t>
      </w:r>
      <w:r>
        <w:rPr>
          <w:rFonts w:eastAsia="宋体" w:cs="Times New Roman"/>
          <w:position w:val="-12"/>
        </w:rPr>
        <w:object>
          <v:shape id="_x0000_i1125" o:spt="75" type="#_x0000_t75" style="height:18pt;width:10.9pt;" o:ole="t" filled="f" o:preferrelative="t" stroked="f" coordsize="21600,21600">
            <v:path/>
            <v:fill on="f" focussize="0,0"/>
            <v:stroke on="f" joinstyle="miter"/>
            <v:imagedata r:id="rId208" o:title=""/>
            <o:lock v:ext="edit" aspectratio="t"/>
            <w10:wrap type="none"/>
            <w10:anchorlock/>
          </v:shape>
          <o:OLEObject Type="Embed" ProgID="Equation.DSMT4" ShapeID="_x0000_i1125" DrawAspect="Content" ObjectID="_1468075825" r:id="rId207">
            <o:LockedField>false</o:LockedField>
          </o:OLEObject>
        </w:object>
      </w:r>
      <w:r>
        <w:rPr>
          <w:rFonts w:eastAsia="宋体" w:cs="Times New Roman"/>
        </w:rPr>
        <w:t>，</w:t>
      </w:r>
      <w:r>
        <w:rPr>
          <w:rFonts w:hint="eastAsia" w:eastAsia="宋体" w:cs="Times New Roman"/>
        </w:rPr>
        <w:t>其包含前文已经定义的当前行为片段的特征表示、当前掩码状态及检测器对应的预测信息。在状态</w:t>
      </w:r>
      <w:r>
        <w:rPr>
          <w:rFonts w:eastAsia="宋体" w:cs="Times New Roman"/>
          <w:position w:val="-12"/>
        </w:rPr>
        <w:object>
          <v:shape id="_x0000_i1126" o:spt="75" type="#_x0000_t75" style="height:18pt;width:10.9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9">
            <o:LockedField>false</o:LockedField>
          </o:OLEObject>
        </w:object>
      </w:r>
      <w:r>
        <w:rPr>
          <w:rFonts w:eastAsia="宋体" w:cs="Times New Roman"/>
        </w:rPr>
        <w:t>下，</w:t>
      </w:r>
      <w:r>
        <w:rPr>
          <w:rFonts w:hint="eastAsia" w:eastAsia="宋体" w:cs="Times New Roman"/>
        </w:rPr>
        <w:t>模型对候选特征的保留与屏蔽进行联合决策，并生成对应的二值掩码动作</w:t>
      </w:r>
      <w:r>
        <w:rPr>
          <w:rFonts w:eastAsia="宋体" w:cs="Times New Roman"/>
          <w:position w:val="-12"/>
        </w:rPr>
        <w:object>
          <v:shape id="_x0000_i1127" o:spt="75" type="#_x0000_t75" style="height:18pt;width:12.4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hint="eastAsia" w:eastAsia="宋体" w:cs="Times New Roman"/>
        </w:rPr>
        <w:t>。由于每一候选特征仅存在保留与屏蔽两种状态，因此整体动作</w:t>
      </w:r>
      <w:r>
        <w:rPr>
          <w:rFonts w:eastAsia="宋体" w:cs="Times New Roman"/>
          <w:position w:val="-12"/>
        </w:rPr>
        <w:object>
          <v:shape id="_x0000_i1128" o:spt="75" type="#_x0000_t75" style="height:18pt;width:12.4pt;" o:ole="t" filled="f" o:preferrelative="t" stroked="f" coordsize="21600,21600">
            <v:path/>
            <v:fill on="f" focussize="0,0"/>
            <v:stroke on="f" joinstyle="miter"/>
            <v:imagedata r:id="rId211" o:title=""/>
            <o:lock v:ext="edit" aspectratio="t"/>
            <w10:wrap type="none"/>
            <w10:anchorlock/>
          </v:shape>
          <o:OLEObject Type="Embed" ProgID="Equation.DSMT4" ShapeID="_x0000_i1128" DrawAspect="Content" ObjectID="_1468075828" r:id="rId212">
            <o:LockedField>false</o:LockedField>
          </o:OLEObject>
        </w:object>
      </w:r>
      <w:r>
        <w:rPr>
          <w:rFonts w:eastAsia="宋体" w:cs="Times New Roman"/>
        </w:rPr>
        <w:t>可以表示为状态</w:t>
      </w:r>
      <w:r>
        <w:rPr>
          <w:rFonts w:eastAsia="宋体" w:cs="Times New Roman"/>
          <w:position w:val="-12"/>
        </w:rPr>
        <w:object>
          <v:shape id="_x0000_i1129" o:spt="75" type="#_x0000_t75" style="height:18pt;width:10.9pt;" o:ole="t" filled="f" o:preferrelative="t" stroked="f" coordsize="21600,21600">
            <v:path/>
            <v:fill on="f" focussize="0,0"/>
            <v:stroke on="f" joinstyle="miter"/>
            <v:imagedata r:id="rId208" o:title=""/>
            <o:lock v:ext="edit" aspectratio="t"/>
            <w10:wrap type="none"/>
            <w10:anchorlock/>
          </v:shape>
          <o:OLEObject Type="Embed" ProgID="Equation.DSMT4" ShapeID="_x0000_i1129" DrawAspect="Content" ObjectID="_1468075829" r:id="rId213">
            <o:LockedField>false</o:LockedField>
          </o:OLEObject>
        </w:object>
      </w:r>
      <w:r>
        <w:rPr>
          <w:rFonts w:eastAsia="宋体" w:cs="Times New Roman"/>
        </w:rPr>
        <w:t>下关于二值掩码向量的条件概率分布</w:t>
      </w:r>
      <w:r>
        <w:rPr>
          <w:rFonts w:hint="eastAsia" w:eastAsia="宋体" w:cs="Times New Roman"/>
        </w:rPr>
        <w:t>如式(3.13)。</w:t>
      </w:r>
    </w:p>
    <w:p w14:paraId="11C97B69">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32"/>
        </w:rPr>
        <w:object>
          <v:shape id="_x0000_i1130" o:spt="75" type="#_x0000_t75" style="height:36pt;width:177pt;" o:ole="t" filled="f" o:preferrelative="t" stroked="f" coordsize="21600,21600">
            <v:path/>
            <v:fill on="f" focussize="0,0"/>
            <v:stroke on="f" joinstyle="miter"/>
            <v:imagedata r:id="rId215" o:title=""/>
            <o:lock v:ext="edit" aspectratio="t"/>
            <w10:wrap type="none"/>
            <w10:anchorlock/>
          </v:shape>
          <o:OLEObject Type="Embed" ProgID="Equation.DSMT4" ShapeID="_x0000_i1130" DrawAspect="Content" ObjectID="_1468075830" r:id="rId214">
            <o:LockedField>false</o:LockedField>
          </o:OLEObject>
        </w:object>
      </w:r>
      <w:r>
        <w:rPr>
          <w:rFonts w:eastAsia="宋体" w:cs="Times New Roman"/>
        </w:rPr>
        <w:tab/>
      </w:r>
      <w:r>
        <w:rPr>
          <w:rFonts w:hint="eastAsia" w:eastAsia="宋体" w:cs="Times New Roman"/>
        </w:rPr>
        <w:t>(3.13)</w:t>
      </w:r>
    </w:p>
    <w:p w14:paraId="79902E80">
      <w:pPr>
        <w:spacing w:line="400" w:lineRule="exact"/>
        <w:rPr>
          <w:rFonts w:eastAsia="宋体" w:cs="Times New Roman"/>
        </w:rPr>
      </w:pPr>
      <w:r>
        <w:rPr>
          <w:rFonts w:eastAsia="宋体" w:cs="Times New Roman"/>
        </w:rPr>
        <w:t>式</w:t>
      </w:r>
      <w:r>
        <w:rPr>
          <w:rFonts w:hint="eastAsia" w:eastAsia="宋体" w:cs="Times New Roman"/>
        </w:rPr>
        <w:t>中，</w:t>
      </w:r>
      <w:r>
        <w:rPr>
          <w:rFonts w:eastAsia="宋体" w:cs="Times New Roman"/>
          <w:position w:val="-6"/>
        </w:rPr>
        <w:object>
          <v:shape id="_x0000_i1131" o:spt="75" type="#_x0000_t75" style="height:13.9pt;width:10.15pt;" o:ole="t" filled="f" o:preferrelative="t" stroked="f" coordsize="21600,21600">
            <v:path/>
            <v:fill on="f" focussize="0,0"/>
            <v:stroke on="f" joinstyle="miter"/>
            <v:imagedata r:id="rId217" o:title=""/>
            <o:lock v:ext="edit" aspectratio="t"/>
            <w10:wrap type="none"/>
            <w10:anchorlock/>
          </v:shape>
          <o:OLEObject Type="Embed" ProgID="Equation.DSMT4" ShapeID="_x0000_i1131" DrawAspect="Content" ObjectID="_1468075831" r:id="rId216">
            <o:LockedField>false</o:LockedField>
          </o:OLEObject>
        </w:object>
      </w:r>
      <w:r>
        <w:rPr>
          <w:rFonts w:eastAsia="宋体" w:cs="Times New Roman"/>
        </w:rPr>
        <w:t>表示策略函数参数，</w:t>
      </w:r>
      <w:r>
        <w:rPr>
          <w:rFonts w:hint="eastAsia" w:eastAsia="宋体" w:cs="Times New Roman"/>
          <w:position w:val="-12"/>
        </w:rPr>
        <w:object>
          <v:shape id="_x0000_i1132" o:spt="75" type="#_x0000_t75" style="height:19.15pt;width:21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rPr>
          <w:rFonts w:eastAsia="宋体" w:cs="Times New Roman"/>
        </w:rPr>
        <w:t>表示在状态</w:t>
      </w:r>
      <w:r>
        <w:rPr>
          <w:rFonts w:eastAsia="宋体" w:cs="Times New Roman"/>
          <w:position w:val="-12"/>
        </w:rPr>
        <w:object>
          <v:shape id="_x0000_i1133" o:spt="75" type="#_x0000_t75" style="height:18pt;width:10.9pt;" o:ole="t" filled="f" o:preferrelative="t" stroked="f" coordsize="21600,21600">
            <v:path/>
            <v:fill on="f" focussize="0,0"/>
            <v:stroke on="f" joinstyle="miter"/>
            <v:imagedata r:id="rId208" o:title=""/>
            <o:lock v:ext="edit" aspectratio="t"/>
            <w10:wrap type="none"/>
            <w10:anchorlock/>
          </v:shape>
          <o:OLEObject Type="Embed" ProgID="Equation.DSMT4" ShapeID="_x0000_i1133" DrawAspect="Content" ObjectID="_1468075833" r:id="rId220">
            <o:LockedField>false</o:LockedField>
          </o:OLEObject>
        </w:object>
      </w:r>
      <w:r>
        <w:rPr>
          <w:rFonts w:eastAsia="宋体" w:cs="Times New Roman"/>
        </w:rPr>
        <w:t>下第</w:t>
      </w:r>
      <w:r>
        <w:rPr>
          <w:rFonts w:hint="eastAsia" w:eastAsia="宋体" w:cs="Times New Roman"/>
          <w:position w:val="-10"/>
        </w:rPr>
        <w:object>
          <v:shape id="_x0000_i1134" o:spt="75" type="#_x0000_t75" style="height:15pt;width:10.15pt;" o:ole="t" filled="f" o:preferrelative="t" stroked="f" coordsize="21600,21600">
            <v:path/>
            <v:fill on="f" focussize="0,0"/>
            <v:stroke on="f" joinstyle="miter"/>
            <v:imagedata r:id="rId222" o:title=""/>
            <o:lock v:ext="edit" aspectratio="t"/>
            <w10:wrap type="none"/>
            <w10:anchorlock/>
          </v:shape>
          <o:OLEObject Type="Embed" ProgID="Equation.DSMT4" ShapeID="_x0000_i1134" DrawAspect="Content" ObjectID="_1468075834" r:id="rId221">
            <o:LockedField>false</o:LockedField>
          </o:OLEObject>
        </w:object>
      </w:r>
      <w:r>
        <w:rPr>
          <w:rFonts w:eastAsia="宋体" w:cs="Times New Roman"/>
        </w:rPr>
        <w:t>个候选特征对应的动作取值为</w:t>
      </w:r>
      <w:r>
        <w:rPr>
          <w:rFonts w:hint="eastAsia" w:eastAsia="宋体" w:cs="Times New Roman"/>
        </w:rPr>
        <w:t>1</w:t>
      </w:r>
      <w:r>
        <w:rPr>
          <w:rFonts w:eastAsia="宋体" w:cs="Times New Roman"/>
        </w:rPr>
        <w:t>的条件概率，</w:t>
      </w:r>
      <w:r>
        <w:rPr>
          <w:rFonts w:hint="eastAsia" w:eastAsia="宋体" w:cs="Times New Roman"/>
          <w:position w:val="-12"/>
        </w:rPr>
        <w:object>
          <v:shape id="_x0000_i1135" o:spt="75" type="#_x0000_t75" style="height:19.15pt;width:55.9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r>
        <w:rPr>
          <w:rFonts w:eastAsia="宋体" w:cs="Times New Roman"/>
        </w:rPr>
        <w:t>表示对应特征在当前时刻的掩码状态。由此，特征的保留与屏蔽</w:t>
      </w:r>
      <w:r>
        <w:rPr>
          <w:rFonts w:hint="eastAsia" w:eastAsia="宋体" w:cs="Times New Roman"/>
        </w:rPr>
        <w:t>便完成了掩码</w:t>
      </w:r>
      <w:r>
        <w:rPr>
          <w:rFonts w:eastAsia="宋体" w:cs="Times New Roman"/>
        </w:rPr>
        <w:t>策略建模</w:t>
      </w:r>
      <w:r>
        <w:rPr>
          <w:rFonts w:hint="eastAsia" w:eastAsia="宋体" w:cs="Times New Roman"/>
        </w:rPr>
        <w:t>，从而将特征选择问题转化为强化学习中的策略学习问题。</w:t>
      </w:r>
    </w:p>
    <w:p w14:paraId="2B54F005">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3</w:t>
      </w:r>
      <w:r>
        <w:rPr>
          <w:rFonts w:eastAsia="宋体" w:cs="Times New Roman"/>
          <w:b/>
          <w:bCs/>
        </w:rPr>
        <w:t>）PPO优化目标设计</w:t>
      </w:r>
    </w:p>
    <w:p w14:paraId="7488ABAE">
      <w:pPr>
        <w:spacing w:line="400" w:lineRule="exact"/>
        <w:ind w:firstLine="480" w:firstLineChars="200"/>
        <w:rPr>
          <w:rFonts w:eastAsia="宋体" w:cs="Times New Roman"/>
        </w:rPr>
      </w:pPr>
      <w:r>
        <w:rPr>
          <w:rFonts w:hint="eastAsia" w:eastAsia="宋体" w:cs="Times New Roman"/>
        </w:rPr>
        <w:t>在前文得到奖励信号之后，为使模型能够根据奖励反馈优化特征选择结果，本文采用</w:t>
      </w:r>
      <w:r>
        <w:rPr>
          <w:rFonts w:eastAsia="宋体" w:cs="Times New Roman"/>
        </w:rPr>
        <w:t>Actor-Critic框架对特征掩码策略进行优化，其中Actor用于</w:t>
      </w:r>
      <w:r>
        <w:rPr>
          <w:rFonts w:hint="eastAsia" w:eastAsia="宋体" w:cs="Times New Roman"/>
        </w:rPr>
        <w:t>输出特征掩码动作分布</w:t>
      </w:r>
      <w:r>
        <w:rPr>
          <w:rFonts w:eastAsia="宋体" w:cs="Times New Roman"/>
        </w:rPr>
        <w:t>，Critic用于评估当前状态下的</w:t>
      </w:r>
      <w:r>
        <w:rPr>
          <w:rFonts w:hint="eastAsia" w:eastAsia="宋体" w:cs="Times New Roman"/>
        </w:rPr>
        <w:t>预期累计回报</w:t>
      </w:r>
      <w:r>
        <w:rPr>
          <w:rFonts w:eastAsia="宋体" w:cs="Times New Roman"/>
        </w:rPr>
        <w:t>。</w:t>
      </w:r>
      <w:r>
        <w:rPr>
          <w:rFonts w:hint="eastAsia" w:eastAsia="宋体" w:cs="Times New Roman"/>
        </w:rPr>
        <w:t>基于</w:t>
      </w:r>
      <w:r>
        <w:rPr>
          <w:rFonts w:eastAsia="宋体" w:cs="Times New Roman"/>
        </w:rPr>
        <w:t>Critic提供的价值评估，可以进一步构造优势项</w:t>
      </w:r>
      <w:r>
        <w:rPr>
          <w:rFonts w:eastAsia="宋体" w:cs="Times New Roman"/>
          <w:position w:val="-12"/>
        </w:rPr>
        <w:object>
          <v:shape id="_x0000_i1136" o:spt="75" type="#_x0000_t75" style="height:18pt;width:13.15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r>
        <w:rPr>
          <w:rFonts w:eastAsia="宋体" w:cs="Times New Roman"/>
        </w:rPr>
        <w:t>，用于评估当前掩码动</w:t>
      </w:r>
      <w:r>
        <w:rPr>
          <w:rFonts w:hint="eastAsia" w:eastAsia="宋体" w:cs="Times New Roman"/>
          <w:lang w:val="en-US" w:eastAsia="zh-CN"/>
        </w:rPr>
        <w:t xml:space="preserve"> </w:t>
      </w:r>
      <w:r>
        <w:rPr>
          <w:rFonts w:eastAsia="宋体" w:cs="Times New Roman"/>
        </w:rPr>
        <w:t>作相较于平均水</w:t>
      </w:r>
      <w:r>
        <w:rPr>
          <w:rFonts w:hint="eastAsia" w:eastAsia="宋体" w:cs="Times New Roman"/>
        </w:rPr>
        <w:t>平的相对收益。在此基础上，需要进一步评估新旧策略在同一状态-</w:t>
      </w:r>
      <w:r>
        <w:rPr>
          <w:rFonts w:eastAsia="宋体" w:cs="Times New Roman"/>
        </w:rPr>
        <w:t>动作</w:t>
      </w:r>
      <w:r>
        <w:rPr>
          <w:rFonts w:hint="eastAsia" w:eastAsia="宋体" w:cs="Times New Roman"/>
        </w:rPr>
        <w:t>对</w:t>
      </w:r>
      <w:r>
        <w:rPr>
          <w:rFonts w:eastAsia="宋体" w:cs="Times New Roman"/>
        </w:rPr>
        <w:t>上</w:t>
      </w:r>
      <w:r>
        <w:rPr>
          <w:rFonts w:hint="eastAsia" w:eastAsia="宋体" w:cs="Times New Roman"/>
        </w:rPr>
        <w:t>的差异，设旧策略参数为</w:t>
      </w:r>
      <w:r>
        <w:rPr>
          <w:rFonts w:eastAsia="宋体" w:cs="Times New Roman"/>
          <w:position w:val="-12"/>
        </w:rPr>
        <w:object>
          <v:shape id="_x0000_i1137" o:spt="75" type="#_x0000_t75" style="height:18pt;width:19.15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rPr>
          <w:rFonts w:eastAsia="宋体" w:cs="Times New Roman"/>
        </w:rPr>
        <w:t>，当前</w:t>
      </w:r>
      <w:r>
        <w:rPr>
          <w:rFonts w:hint="eastAsia" w:eastAsia="宋体" w:cs="Times New Roman"/>
        </w:rPr>
        <w:t>策略参数为</w:t>
      </w:r>
      <w:r>
        <w:rPr>
          <w:rFonts w:eastAsia="宋体" w:cs="Times New Roman"/>
          <w:position w:val="-6"/>
        </w:rPr>
        <w:object>
          <v:shape id="_x0000_i1138" o:spt="75" type="#_x0000_t75" style="height:13.9pt;width:10.15pt;" o:ole="t" filled="f" o:preferrelative="t" stroked="f" coordsize="21600,21600">
            <v:path/>
            <v:fill on="f" focussize="0,0"/>
            <v:stroke on="f" joinstyle="miter"/>
            <v:imagedata r:id="rId217" o:title=""/>
            <o:lock v:ext="edit" aspectratio="t"/>
            <w10:wrap type="none"/>
            <w10:anchorlock/>
          </v:shape>
          <o:OLEObject Type="Embed" ProgID="Equation.DSMT4" ShapeID="_x0000_i1138" DrawAspect="Content" ObjectID="_1468075838" r:id="rId229">
            <o:LockedField>false</o:LockedField>
          </o:OLEObject>
        </w:object>
      </w:r>
      <w:r>
        <w:rPr>
          <w:rFonts w:eastAsia="宋体" w:cs="Times New Roman"/>
        </w:rPr>
        <w:t>，则</w:t>
      </w:r>
      <w:r>
        <w:rPr>
          <w:rFonts w:hint="eastAsia" w:eastAsia="宋体" w:cs="Times New Roman"/>
        </w:rPr>
        <w:t>新旧策略对应的概率比值可表示为式(3.14)。</w:t>
      </w:r>
    </w:p>
    <w:p w14:paraId="3A2F376F">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34"/>
        </w:rPr>
        <w:object>
          <v:shape id="_x0000_i1139" o:spt="75" type="#_x0000_t75" style="height:36pt;width:95.65pt;" o:ole="t" filled="f" o:preferrelative="t" stroked="f" coordsize="21600,21600">
            <v:path/>
            <v:fill on="f" focussize="0,0"/>
            <v:stroke on="f" joinstyle="miter"/>
            <v:imagedata r:id="rId231" o:title=""/>
            <o:lock v:ext="edit" aspectratio="t"/>
            <w10:wrap type="none"/>
            <w10:anchorlock/>
          </v:shape>
          <o:OLEObject Type="Embed" ProgID="Equation.DSMT4" ShapeID="_x0000_i1139" DrawAspect="Content" ObjectID="_1468075839" r:id="rId230">
            <o:LockedField>false</o:LockedField>
          </o:OLEObject>
        </w:object>
      </w:r>
      <w:r>
        <w:rPr>
          <w:rFonts w:eastAsia="宋体" w:cs="Times New Roman"/>
        </w:rPr>
        <w:tab/>
      </w:r>
      <w:r>
        <w:rPr>
          <w:rFonts w:hint="eastAsia" w:eastAsia="宋体" w:cs="Times New Roman"/>
        </w:rPr>
        <w:t>(3.14)</w:t>
      </w:r>
    </w:p>
    <w:p w14:paraId="406E75AA">
      <w:pPr>
        <w:spacing w:line="400" w:lineRule="exact"/>
        <w:ind w:firstLine="480" w:firstLineChars="200"/>
        <w:rPr>
          <w:rFonts w:eastAsia="宋体" w:cs="Times New Roman"/>
        </w:rPr>
      </w:pPr>
      <w:r>
        <w:rPr>
          <w:rFonts w:hint="eastAsia" w:eastAsia="宋体" w:cs="Times New Roman"/>
        </w:rPr>
        <w:t>式(3.14)反映了当前策略相较于旧策略在动作选择倾向上的变化程度。但是若直接依据该概率比值进行策略更新，易使得策略在单次迭代中发生较大偏移，从而影响训练的稳定性。针对此问题，本文引入PPO的裁剪方法对策略更新幅度进行限制，使得新旧策略的差异保持在合理的范围内。裁剪目标函数计算方式如式(3.15)。</w:t>
      </w:r>
    </w:p>
    <w:p w14:paraId="68A4DA84">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12"/>
        </w:rPr>
        <w:object>
          <v:shape id="_x0000_i1140" o:spt="75" type="#_x0000_t75" style="height:19.15pt;width:247.9pt;" o:ole="t" filled="f" o:preferrelative="t" stroked="f" coordsize="21600,21600">
            <v:path/>
            <v:fill on="f" focussize="0,0"/>
            <v:stroke on="f" joinstyle="miter"/>
            <v:imagedata r:id="rId233" o:title=""/>
            <o:lock v:ext="edit" aspectratio="t"/>
            <w10:wrap type="none"/>
            <w10:anchorlock/>
          </v:shape>
          <o:OLEObject Type="Embed" ProgID="Equation.DSMT4" ShapeID="_x0000_i1140" DrawAspect="Content" ObjectID="_1468075840" r:id="rId232">
            <o:LockedField>false</o:LockedField>
          </o:OLEObject>
        </w:object>
      </w:r>
      <w:r>
        <w:rPr>
          <w:rFonts w:eastAsia="宋体" w:cs="Times New Roman"/>
        </w:rPr>
        <w:tab/>
      </w:r>
      <w:r>
        <w:rPr>
          <w:rFonts w:hint="eastAsia" w:eastAsia="宋体" w:cs="Times New Roman"/>
        </w:rPr>
        <w:t>(3.15)</w:t>
      </w:r>
    </w:p>
    <w:p w14:paraId="7A0B715D">
      <w:pPr>
        <w:spacing w:line="400" w:lineRule="exact"/>
        <w:rPr>
          <w:rFonts w:eastAsia="宋体" w:cs="Times New Roman"/>
        </w:rPr>
      </w:pPr>
      <w:r>
        <w:rPr>
          <w:rFonts w:hint="eastAsia" w:eastAsia="宋体" w:cs="Times New Roman"/>
        </w:rPr>
        <w:t>式中，</w:t>
      </w:r>
      <w:r>
        <w:rPr>
          <w:rFonts w:hint="eastAsia" w:eastAsia="宋体" w:cs="Times New Roman"/>
          <w:position w:val="-6"/>
        </w:rPr>
        <w:object>
          <v:shape id="_x0000_i1141" o:spt="75" type="#_x0000_t75" style="height:10.9pt;width:10.15pt;" o:ole="t" filled="f" o:preferrelative="t" stroked="f" coordsize="21600,21600">
            <v:path/>
            <v:fill on="f" focussize="0,0"/>
            <v:stroke on="f" joinstyle="miter"/>
            <v:imagedata r:id="rId235" o:title=""/>
            <o:lock v:ext="edit" aspectratio="t"/>
            <w10:wrap type="none"/>
            <w10:anchorlock/>
          </v:shape>
          <o:OLEObject Type="Embed" ProgID="Equation.DSMT4" ShapeID="_x0000_i1141" DrawAspect="Content" ObjectID="_1468075841" r:id="rId234">
            <o:LockedField>false</o:LockedField>
          </o:OLEObject>
        </w:object>
      </w:r>
      <w:r>
        <w:rPr>
          <w:rFonts w:hint="eastAsia" w:eastAsia="宋体" w:cs="Times New Roman"/>
        </w:rPr>
        <w:t>为裁剪函数，</w:t>
      </w:r>
      <w:r>
        <w:rPr>
          <w:rFonts w:hint="eastAsia" w:eastAsia="宋体" w:cs="Times New Roman"/>
          <w:position w:val="-10"/>
        </w:rPr>
        <w:object>
          <v:shape id="_x0000_i1142" o:spt="75" type="#_x0000_t75" style="height:16.15pt;width:31.9pt;" o:ole="t" filled="f" o:preferrelative="t" stroked="f" coordsize="21600,21600">
            <v:path/>
            <v:fill on="f" focussize="0,0"/>
            <v:stroke on="f" joinstyle="miter"/>
            <v:imagedata r:id="rId237" o:title=""/>
            <o:lock v:ext="edit" aspectratio="t"/>
            <w10:wrap type="none"/>
            <w10:anchorlock/>
          </v:shape>
          <o:OLEObject Type="Embed" ProgID="Equation.DSMT4" ShapeID="_x0000_i1142" DrawAspect="Content" ObjectID="_1468075842" r:id="rId236">
            <o:LockedField>false</o:LockedField>
          </o:OLEObject>
        </w:object>
      </w:r>
      <w:r>
        <w:rPr>
          <w:rFonts w:eastAsia="宋体" w:cs="Times New Roman"/>
        </w:rPr>
        <w:t>表示截断函数。</w:t>
      </w:r>
    </w:p>
    <w:p w14:paraId="0A24F0D2">
      <w:pPr>
        <w:ind w:firstLine="480" w:firstLineChars="200"/>
      </w:pPr>
      <w:r>
        <w:rPr>
          <w:rFonts w:hint="eastAsia"/>
        </w:rPr>
        <w:t>由式(3.15)可知，当新旧策略差异超过一定范围时，概率比值将被限制在预定区间内，从而避免了策略在单次迭代中发生较大偏移。对于动态特征掩码方法，若策略更新幅度过大，易导致相邻的特征组合发生较大变化，影响检测的稳定性；引入裁剪目标函数后，模型能够在更新过程中保持平稳，从而提升了检测结果的稳定性。</w:t>
      </w:r>
    </w:p>
    <w:p w14:paraId="2AD00A39">
      <w:pPr>
        <w:ind w:firstLine="480" w:firstLineChars="200"/>
      </w:pPr>
      <w:r>
        <w:rPr>
          <w:rFonts w:hint="eastAsia"/>
        </w:rPr>
        <w:t>综上所述，本文在候选特征池的基础上提出了基于预测奖励的自适应掩码特征选择方法。与离线特征选择方法一次性确定特征集合不同，本文方法能够结合当前的状态信息及奖励反馈，对候选特征的掩码状态进行调整优化。在这种情况下，特征选择不再依赖于静态评分结果，而是由检测结果及预测奖励实时反馈的策略优化过程决定，从而增强了特征选择过程对于APT检测的适应能力，并为后续检测模型提供了有效的特征组合。</w:t>
      </w:r>
    </w:p>
    <w:p w14:paraId="249879ED">
      <w:pPr>
        <w:pStyle w:val="3"/>
      </w:pPr>
      <w:bookmarkStart w:id="52" w:name="_Toc230086359"/>
      <w:r>
        <w:rPr>
          <w:rFonts w:hint="eastAsia"/>
        </w:rPr>
        <w:t>3.4 实验与分析</w:t>
      </w:r>
      <w:bookmarkEnd w:id="52"/>
    </w:p>
    <w:p w14:paraId="2D762403">
      <w:pPr>
        <w:ind w:firstLine="480" w:firstLineChars="200"/>
      </w:pPr>
      <w:r>
        <w:t>本文实验在Windows 11操作系统下进行，硬件环境为Intel Core i9-12900H 2.50 GHz处理器、16 GB内存，开发工具为PyCharm，编程语言为Python 3.11。</w:t>
      </w:r>
    </w:p>
    <w:p w14:paraId="475CA1AC">
      <w:pPr>
        <w:pStyle w:val="4"/>
      </w:pPr>
      <w:bookmarkStart w:id="53" w:name="_Toc230086360"/>
      <w:r>
        <w:t>3.4.1</w:t>
      </w:r>
      <w:r>
        <w:rPr>
          <w:rFonts w:hint="eastAsia"/>
        </w:rPr>
        <w:t xml:space="preserve"> 实验设置</w:t>
      </w:r>
      <w:bookmarkEnd w:id="53"/>
    </w:p>
    <w:p w14:paraId="5C1C7436">
      <w:pPr>
        <w:ind w:firstLine="480" w:firstLineChars="200"/>
      </w:pPr>
      <w:r>
        <w:t>为评估所提特征选择方法的降维效果及其对后续APT检测任务的支撑作用，本文首先在CC4环境下采用300个episode、每个episode包含500个step的设置训练特征选择策略；随后，采用第四章APT检测方法作为统一的后续检测方法，并基于筛选后的低维日志特征完成训练；在100个episode、每个episode包含500个step的测试设置下，对训练后的检测策略进行评估，以验证该特征选择策略下后续APT检测的性能表现及提前预警能力。</w:t>
      </w:r>
    </w:p>
    <w:p w14:paraId="0CC323EA">
      <w:pPr>
        <w:ind w:firstLine="482" w:firstLineChars="200"/>
        <w:rPr>
          <w:b/>
          <w:bCs/>
        </w:rPr>
      </w:pPr>
      <w:r>
        <w:rPr>
          <w:rFonts w:hint="eastAsia"/>
          <w:b/>
          <w:bCs/>
        </w:rPr>
        <w:t>（1）实验参数</w:t>
      </w:r>
    </w:p>
    <w:p w14:paraId="1EECE4DF">
      <w:pPr>
        <w:widowControl/>
        <w:tabs>
          <w:tab w:val="center" w:pos="4152"/>
          <w:tab w:val="right" w:pos="8306"/>
        </w:tabs>
        <w:ind w:firstLine="480" w:firstLineChars="200"/>
        <w:rPr>
          <w:rFonts w:eastAsia="宋体" w:cs="Times New Roman"/>
        </w:rPr>
      </w:pPr>
      <w:r>
        <w:rPr>
          <w:rFonts w:hint="eastAsia" w:eastAsia="宋体" w:cs="Times New Roman"/>
        </w:rPr>
        <w:t>本章实验中的重要参数设置如表3</w:t>
      </w:r>
      <w:r>
        <w:rPr>
          <w:rFonts w:eastAsia="宋体" w:cs="Times New Roman"/>
        </w:rPr>
        <w:t>.</w:t>
      </w:r>
      <w:r>
        <w:rPr>
          <w:rFonts w:hint="eastAsia" w:eastAsia="宋体" w:cs="Times New Roman"/>
        </w:rPr>
        <w:t>1所示。</w:t>
      </w:r>
    </w:p>
    <w:p w14:paraId="01150A9E">
      <w:pPr>
        <w:spacing w:line="400" w:lineRule="exact"/>
        <w:jc w:val="center"/>
        <w:rPr>
          <w:rFonts w:eastAsia="宋体" w:cs="Times New Roman"/>
          <w:sz w:val="21"/>
          <w:szCs w:val="21"/>
        </w:rPr>
      </w:pPr>
      <w:r>
        <w:rPr>
          <w:rFonts w:hint="eastAsia" w:eastAsia="宋体" w:cs="Times New Roman"/>
          <w:sz w:val="21"/>
          <w:szCs w:val="21"/>
        </w:rPr>
        <w:t>表3</w:t>
      </w:r>
      <w:r>
        <w:rPr>
          <w:rFonts w:eastAsia="宋体" w:cs="Times New Roman"/>
          <w:sz w:val="21"/>
          <w:szCs w:val="21"/>
        </w:rPr>
        <w:t>.</w:t>
      </w:r>
      <w:r>
        <w:rPr>
          <w:rFonts w:hint="eastAsia" w:eastAsia="宋体" w:cs="Times New Roman"/>
          <w:sz w:val="21"/>
          <w:szCs w:val="21"/>
        </w:rPr>
        <w:t>1</w:t>
      </w:r>
      <w:r>
        <w:rPr>
          <w:rFonts w:eastAsia="宋体" w:cs="Times New Roman"/>
          <w:sz w:val="21"/>
          <w:szCs w:val="21"/>
        </w:rPr>
        <w:t xml:space="preserve"> </w:t>
      </w:r>
      <w:r>
        <w:rPr>
          <w:rFonts w:hint="eastAsia" w:eastAsia="宋体" w:cs="Times New Roman"/>
          <w:sz w:val="21"/>
          <w:szCs w:val="21"/>
        </w:rPr>
        <w:t>实验重要参数设置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3878"/>
      </w:tblGrid>
      <w:tr w14:paraId="180B8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644" w:type="dxa"/>
            <w:tcBorders>
              <w:top w:val="single" w:color="auto" w:sz="12" w:space="0"/>
              <w:left w:val="nil"/>
              <w:bottom w:val="single" w:color="auto" w:sz="4" w:space="0"/>
              <w:right w:val="nil"/>
            </w:tcBorders>
          </w:tcPr>
          <w:p w14:paraId="1F450D71">
            <w:pPr>
              <w:spacing w:line="288" w:lineRule="auto"/>
              <w:jc w:val="center"/>
              <w:rPr>
                <w:rFonts w:eastAsia="宋体" w:cs="Times New Roman"/>
                <w:sz w:val="21"/>
              </w:rPr>
            </w:pPr>
            <w:r>
              <w:rPr>
                <w:rFonts w:hint="eastAsia" w:eastAsia="宋体" w:cs="Times New Roman"/>
                <w:sz w:val="21"/>
              </w:rPr>
              <w:t>参数名称</w:t>
            </w:r>
          </w:p>
        </w:tc>
        <w:tc>
          <w:tcPr>
            <w:tcW w:w="3878" w:type="dxa"/>
            <w:tcBorders>
              <w:top w:val="single" w:color="auto" w:sz="12" w:space="0"/>
              <w:left w:val="nil"/>
              <w:bottom w:val="single" w:color="auto" w:sz="4" w:space="0"/>
              <w:right w:val="nil"/>
            </w:tcBorders>
          </w:tcPr>
          <w:p w14:paraId="37216AD0">
            <w:pPr>
              <w:spacing w:line="288" w:lineRule="auto"/>
              <w:jc w:val="center"/>
              <w:rPr>
                <w:rFonts w:eastAsia="宋体" w:cs="Times New Roman"/>
                <w:sz w:val="21"/>
              </w:rPr>
            </w:pPr>
            <w:r>
              <w:rPr>
                <w:rFonts w:hint="eastAsia" w:eastAsia="宋体" w:cs="Times New Roman"/>
                <w:sz w:val="21"/>
              </w:rPr>
              <w:t>参数取值</w:t>
            </w:r>
          </w:p>
        </w:tc>
      </w:tr>
      <w:tr w14:paraId="360D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single" w:color="auto" w:sz="4" w:space="0"/>
              <w:left w:val="nil"/>
              <w:bottom w:val="nil"/>
              <w:right w:val="nil"/>
            </w:tcBorders>
          </w:tcPr>
          <w:p w14:paraId="0E26B2AE">
            <w:pPr>
              <w:spacing w:line="288" w:lineRule="auto"/>
              <w:jc w:val="center"/>
              <w:rPr>
                <w:rFonts w:eastAsia="宋体" w:cs="Times New Roman"/>
                <w:sz w:val="21"/>
              </w:rPr>
            </w:pPr>
            <w:r>
              <w:rPr>
                <w:rFonts w:eastAsia="宋体" w:cs="Times New Roman"/>
                <w:sz w:val="21"/>
              </w:rPr>
              <w:t>滑动窗口长度</w:t>
            </w:r>
          </w:p>
        </w:tc>
        <w:tc>
          <w:tcPr>
            <w:tcW w:w="3878" w:type="dxa"/>
            <w:tcBorders>
              <w:top w:val="single" w:color="auto" w:sz="4" w:space="0"/>
              <w:left w:val="nil"/>
              <w:bottom w:val="nil"/>
              <w:right w:val="nil"/>
            </w:tcBorders>
          </w:tcPr>
          <w:p w14:paraId="7DA174E1">
            <w:pPr>
              <w:spacing w:line="288" w:lineRule="auto"/>
              <w:jc w:val="center"/>
              <w:rPr>
                <w:rFonts w:eastAsia="宋体" w:cs="Times New Roman"/>
                <w:sz w:val="21"/>
              </w:rPr>
            </w:pPr>
            <w:r>
              <w:rPr>
                <w:rFonts w:hint="eastAsia" w:eastAsia="宋体" w:cs="Times New Roman"/>
                <w:sz w:val="21"/>
              </w:rPr>
              <w:t>300s</w:t>
            </w:r>
          </w:p>
        </w:tc>
      </w:tr>
      <w:tr w14:paraId="6334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4C7F2116">
            <w:pPr>
              <w:spacing w:line="288" w:lineRule="auto"/>
              <w:jc w:val="center"/>
              <w:rPr>
                <w:rFonts w:eastAsia="宋体" w:cs="Times New Roman"/>
                <w:sz w:val="21"/>
              </w:rPr>
            </w:pPr>
            <w:r>
              <w:rPr>
                <w:rFonts w:eastAsia="宋体" w:cs="Times New Roman"/>
                <w:sz w:val="21"/>
              </w:rPr>
              <w:t>滑动步长</w:t>
            </w:r>
          </w:p>
        </w:tc>
        <w:tc>
          <w:tcPr>
            <w:tcW w:w="3878" w:type="dxa"/>
            <w:tcBorders>
              <w:top w:val="nil"/>
              <w:left w:val="nil"/>
              <w:bottom w:val="nil"/>
              <w:right w:val="nil"/>
            </w:tcBorders>
          </w:tcPr>
          <w:p w14:paraId="44253A22">
            <w:pPr>
              <w:spacing w:line="288" w:lineRule="auto"/>
              <w:jc w:val="center"/>
              <w:rPr>
                <w:rFonts w:eastAsia="宋体" w:cs="Times New Roman"/>
                <w:sz w:val="21"/>
              </w:rPr>
            </w:pPr>
            <w:r>
              <w:rPr>
                <w:rFonts w:hint="eastAsia" w:eastAsia="宋体" w:cs="Times New Roman"/>
                <w:sz w:val="21"/>
              </w:rPr>
              <w:t>60s</w:t>
            </w:r>
          </w:p>
        </w:tc>
      </w:tr>
      <w:tr w14:paraId="7E2F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5F29CB1B">
            <w:pPr>
              <w:spacing w:line="288" w:lineRule="auto"/>
              <w:jc w:val="center"/>
              <w:rPr>
                <w:rFonts w:eastAsia="宋体" w:cs="Times New Roman"/>
                <w:sz w:val="21"/>
              </w:rPr>
            </w:pPr>
            <w:r>
              <w:rPr>
                <w:rFonts w:eastAsia="宋体" w:cs="Times New Roman"/>
                <w:sz w:val="21"/>
              </w:rPr>
              <w:t>预筛选阶段批大小</w:t>
            </w:r>
          </w:p>
        </w:tc>
        <w:tc>
          <w:tcPr>
            <w:tcW w:w="3878" w:type="dxa"/>
            <w:tcBorders>
              <w:top w:val="nil"/>
              <w:left w:val="nil"/>
              <w:bottom w:val="nil"/>
              <w:right w:val="nil"/>
            </w:tcBorders>
          </w:tcPr>
          <w:p w14:paraId="6161C0D2">
            <w:pPr>
              <w:spacing w:line="288" w:lineRule="auto"/>
              <w:jc w:val="center"/>
              <w:rPr>
                <w:rFonts w:eastAsia="宋体" w:cs="Times New Roman"/>
                <w:sz w:val="21"/>
              </w:rPr>
            </w:pPr>
            <w:r>
              <w:rPr>
                <w:rFonts w:hint="eastAsia" w:eastAsia="宋体" w:cs="Times New Roman"/>
                <w:sz w:val="21"/>
              </w:rPr>
              <w:t>256</w:t>
            </w:r>
          </w:p>
        </w:tc>
      </w:tr>
      <w:tr w14:paraId="1E49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6F52E819">
            <w:pPr>
              <w:spacing w:line="288" w:lineRule="auto"/>
              <w:jc w:val="center"/>
              <w:rPr>
                <w:rFonts w:eastAsia="宋体" w:cs="Times New Roman"/>
                <w:sz w:val="21"/>
              </w:rPr>
            </w:pPr>
            <w:r>
              <w:rPr>
                <w:rFonts w:eastAsia="宋体" w:cs="Times New Roman"/>
                <w:sz w:val="21"/>
              </w:rPr>
              <w:t>预筛选阶段学习率</w:t>
            </w:r>
          </w:p>
        </w:tc>
        <w:tc>
          <w:tcPr>
            <w:tcW w:w="3878" w:type="dxa"/>
            <w:tcBorders>
              <w:top w:val="nil"/>
              <w:left w:val="nil"/>
              <w:bottom w:val="nil"/>
              <w:right w:val="nil"/>
            </w:tcBorders>
          </w:tcPr>
          <w:p w14:paraId="5A9EEF28">
            <w:pPr>
              <w:spacing w:line="288" w:lineRule="auto"/>
              <w:jc w:val="center"/>
              <w:rPr>
                <w:rFonts w:eastAsia="宋体" w:cs="Times New Roman"/>
                <w:sz w:val="21"/>
              </w:rPr>
            </w:pPr>
            <w:r>
              <w:rPr>
                <w:rFonts w:hint="eastAsia" w:eastAsia="宋体" w:cs="Times New Roman"/>
                <w:sz w:val="21"/>
              </w:rPr>
              <w:t>0.001</w:t>
            </w:r>
          </w:p>
        </w:tc>
      </w:tr>
      <w:tr w14:paraId="2AB5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0CFAD945">
            <w:pPr>
              <w:spacing w:line="288" w:lineRule="auto"/>
              <w:jc w:val="center"/>
              <w:rPr>
                <w:rFonts w:eastAsia="宋体" w:cs="Times New Roman"/>
                <w:sz w:val="21"/>
                <w:szCs w:val="21"/>
              </w:rPr>
            </w:pPr>
            <w:r>
              <w:rPr>
                <w:rFonts w:eastAsia="宋体" w:cs="Times New Roman"/>
                <w:sz w:val="21"/>
                <w:szCs w:val="21"/>
              </w:rPr>
              <w:t>预筛选阶段温度系数</w:t>
            </w:r>
          </w:p>
        </w:tc>
        <w:tc>
          <w:tcPr>
            <w:tcW w:w="3878" w:type="dxa"/>
            <w:tcBorders>
              <w:top w:val="nil"/>
              <w:left w:val="nil"/>
              <w:bottom w:val="nil"/>
              <w:right w:val="nil"/>
            </w:tcBorders>
          </w:tcPr>
          <w:p w14:paraId="0E6DF0A1">
            <w:pPr>
              <w:spacing w:line="288" w:lineRule="auto"/>
              <w:jc w:val="center"/>
              <w:rPr>
                <w:rFonts w:eastAsia="宋体" w:cs="Times New Roman"/>
                <w:sz w:val="21"/>
              </w:rPr>
            </w:pPr>
            <w:r>
              <w:rPr>
                <w:rFonts w:hint="eastAsia" w:eastAsia="宋体" w:cs="Times New Roman"/>
                <w:sz w:val="21"/>
              </w:rPr>
              <w:t>0.2</w:t>
            </w:r>
          </w:p>
        </w:tc>
      </w:tr>
      <w:tr w14:paraId="4318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7E8DFF14">
            <w:pPr>
              <w:spacing w:line="288" w:lineRule="auto"/>
              <w:jc w:val="center"/>
              <w:rPr>
                <w:rFonts w:eastAsia="宋体" w:cs="Times New Roman"/>
                <w:sz w:val="21"/>
                <w:szCs w:val="21"/>
              </w:rPr>
            </w:pPr>
            <w:r>
              <w:rPr>
                <w:rFonts w:eastAsia="宋体" w:cs="Times New Roman"/>
                <w:sz w:val="21"/>
                <w:szCs w:val="21"/>
              </w:rPr>
              <w:t>PPO更新轮数</w:t>
            </w:r>
          </w:p>
        </w:tc>
        <w:tc>
          <w:tcPr>
            <w:tcW w:w="3878" w:type="dxa"/>
            <w:tcBorders>
              <w:top w:val="nil"/>
              <w:left w:val="nil"/>
              <w:bottom w:val="nil"/>
              <w:right w:val="nil"/>
            </w:tcBorders>
          </w:tcPr>
          <w:p w14:paraId="287F9F8C">
            <w:pPr>
              <w:spacing w:line="288" w:lineRule="auto"/>
              <w:jc w:val="center"/>
              <w:rPr>
                <w:rFonts w:eastAsia="宋体" w:cs="Times New Roman"/>
                <w:sz w:val="21"/>
              </w:rPr>
            </w:pPr>
            <w:r>
              <w:rPr>
                <w:rFonts w:hint="eastAsia" w:eastAsia="宋体" w:cs="Times New Roman"/>
                <w:sz w:val="21"/>
              </w:rPr>
              <w:t>10</w:t>
            </w:r>
          </w:p>
        </w:tc>
      </w:tr>
      <w:tr w14:paraId="5365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1FCB935C">
            <w:pPr>
              <w:spacing w:line="288" w:lineRule="auto"/>
              <w:jc w:val="center"/>
              <w:rPr>
                <w:rFonts w:eastAsia="宋体" w:cs="Times New Roman"/>
                <w:sz w:val="21"/>
              </w:rPr>
            </w:pPr>
            <w:r>
              <w:rPr>
                <w:rFonts w:eastAsia="宋体" w:cs="Times New Roman"/>
                <w:sz w:val="21"/>
              </w:rPr>
              <w:t>每步最大翻转特征位数</w:t>
            </w:r>
          </w:p>
        </w:tc>
        <w:tc>
          <w:tcPr>
            <w:tcW w:w="3878" w:type="dxa"/>
            <w:tcBorders>
              <w:top w:val="nil"/>
              <w:left w:val="nil"/>
              <w:bottom w:val="nil"/>
              <w:right w:val="nil"/>
            </w:tcBorders>
          </w:tcPr>
          <w:p w14:paraId="5FE0F009">
            <w:pPr>
              <w:spacing w:line="288" w:lineRule="auto"/>
              <w:jc w:val="center"/>
              <w:rPr>
                <w:rFonts w:eastAsia="宋体" w:cs="Times New Roman"/>
                <w:sz w:val="21"/>
              </w:rPr>
            </w:pPr>
            <w:r>
              <w:rPr>
                <w:rFonts w:hint="eastAsia" w:eastAsia="宋体" w:cs="Times New Roman"/>
                <w:sz w:val="21"/>
              </w:rPr>
              <w:t>64</w:t>
            </w:r>
          </w:p>
        </w:tc>
      </w:tr>
      <w:tr w14:paraId="1428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nil"/>
              <w:right w:val="nil"/>
            </w:tcBorders>
          </w:tcPr>
          <w:p w14:paraId="74D14CBF">
            <w:pPr>
              <w:spacing w:line="288" w:lineRule="auto"/>
              <w:jc w:val="center"/>
              <w:rPr>
                <w:rFonts w:eastAsia="宋体" w:cs="Times New Roman"/>
                <w:sz w:val="21"/>
              </w:rPr>
            </w:pPr>
            <w:r>
              <w:rPr>
                <w:rFonts w:eastAsia="宋体" w:cs="Times New Roman"/>
                <w:sz w:val="21"/>
              </w:rPr>
              <w:t>rollout长度</w:t>
            </w:r>
          </w:p>
        </w:tc>
        <w:tc>
          <w:tcPr>
            <w:tcW w:w="3878" w:type="dxa"/>
            <w:tcBorders>
              <w:top w:val="nil"/>
              <w:left w:val="nil"/>
              <w:bottom w:val="nil"/>
              <w:right w:val="nil"/>
            </w:tcBorders>
          </w:tcPr>
          <w:p w14:paraId="1C7A1FF1">
            <w:pPr>
              <w:spacing w:line="288" w:lineRule="auto"/>
              <w:jc w:val="center"/>
              <w:rPr>
                <w:rFonts w:eastAsia="宋体" w:cs="Times New Roman"/>
                <w:sz w:val="21"/>
              </w:rPr>
            </w:pPr>
            <w:r>
              <w:rPr>
                <w:rFonts w:hint="eastAsia" w:eastAsia="宋体" w:cs="Times New Roman"/>
                <w:sz w:val="21"/>
              </w:rPr>
              <w:t>512</w:t>
            </w:r>
          </w:p>
        </w:tc>
      </w:tr>
      <w:tr w14:paraId="6D3A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4644" w:type="dxa"/>
            <w:tcBorders>
              <w:top w:val="nil"/>
              <w:left w:val="nil"/>
              <w:bottom w:val="single" w:color="auto" w:sz="12" w:space="0"/>
              <w:right w:val="nil"/>
            </w:tcBorders>
          </w:tcPr>
          <w:p w14:paraId="64FBEF84">
            <w:pPr>
              <w:spacing w:line="288" w:lineRule="auto"/>
              <w:jc w:val="center"/>
              <w:rPr>
                <w:rFonts w:eastAsia="宋体" w:cs="Times New Roman"/>
                <w:sz w:val="21"/>
              </w:rPr>
            </w:pPr>
            <w:r>
              <w:rPr>
                <w:rFonts w:eastAsia="宋体" w:cs="Times New Roman"/>
                <w:sz w:val="21"/>
              </w:rPr>
              <w:t>惩罚系数（稀疏性惩罚λ_sparse/误报惩罚λ_fp/预警延迟惩罚λ_lag）</w:t>
            </w:r>
          </w:p>
        </w:tc>
        <w:tc>
          <w:tcPr>
            <w:tcW w:w="3878" w:type="dxa"/>
            <w:tcBorders>
              <w:top w:val="nil"/>
              <w:left w:val="nil"/>
              <w:bottom w:val="single" w:color="auto" w:sz="12" w:space="0"/>
              <w:right w:val="nil"/>
            </w:tcBorders>
            <w:vAlign w:val="center"/>
          </w:tcPr>
          <w:p w14:paraId="30209683">
            <w:pPr>
              <w:spacing w:line="288" w:lineRule="auto"/>
              <w:jc w:val="center"/>
              <w:rPr>
                <w:rFonts w:eastAsia="宋体" w:cs="Times New Roman"/>
                <w:sz w:val="21"/>
              </w:rPr>
            </w:pPr>
            <w:r>
              <w:rPr>
                <w:rFonts w:eastAsia="宋体" w:cs="Times New Roman"/>
                <w:sz w:val="21"/>
              </w:rPr>
              <w:t>4.0</w:t>
            </w:r>
            <w:r>
              <w:rPr>
                <w:rFonts w:hint="eastAsia" w:eastAsia="宋体" w:cs="Times New Roman"/>
                <w:sz w:val="21"/>
              </w:rPr>
              <w:t xml:space="preserve"> </w:t>
            </w:r>
            <w:r>
              <w:rPr>
                <w:rFonts w:eastAsia="宋体" w:cs="Times New Roman"/>
                <w:sz w:val="21"/>
              </w:rPr>
              <w:t>/</w:t>
            </w:r>
            <w:r>
              <w:rPr>
                <w:rFonts w:hint="eastAsia" w:eastAsia="宋体" w:cs="Times New Roman"/>
                <w:sz w:val="21"/>
              </w:rPr>
              <w:t xml:space="preserve"> </w:t>
            </w:r>
            <w:r>
              <w:rPr>
                <w:rFonts w:eastAsia="宋体" w:cs="Times New Roman"/>
                <w:sz w:val="21"/>
              </w:rPr>
              <w:t>1.0</w:t>
            </w:r>
            <w:r>
              <w:rPr>
                <w:rFonts w:hint="eastAsia" w:eastAsia="宋体" w:cs="Times New Roman"/>
                <w:sz w:val="21"/>
              </w:rPr>
              <w:t xml:space="preserve"> </w:t>
            </w:r>
            <w:r>
              <w:rPr>
                <w:rFonts w:eastAsia="宋体" w:cs="Times New Roman"/>
                <w:sz w:val="21"/>
              </w:rPr>
              <w:t>/</w:t>
            </w:r>
            <w:r>
              <w:rPr>
                <w:rFonts w:hint="eastAsia" w:eastAsia="宋体" w:cs="Times New Roman"/>
                <w:sz w:val="21"/>
              </w:rPr>
              <w:t xml:space="preserve"> </w:t>
            </w:r>
            <w:r>
              <w:rPr>
                <w:rFonts w:eastAsia="宋体" w:cs="Times New Roman"/>
                <w:sz w:val="21"/>
              </w:rPr>
              <w:t>0.5</w:t>
            </w:r>
          </w:p>
        </w:tc>
      </w:tr>
    </w:tbl>
    <w:p w14:paraId="358416E3">
      <w:pPr>
        <w:spacing w:before="156" w:beforeLines="50"/>
        <w:ind w:firstLine="482" w:firstLineChars="200"/>
        <w:rPr>
          <w:b/>
          <w:bCs/>
        </w:rPr>
      </w:pPr>
      <w:r>
        <w:rPr>
          <w:rFonts w:hint="eastAsia"/>
          <w:b/>
          <w:bCs/>
        </w:rPr>
        <w:t>（2）评估指标</w:t>
      </w:r>
    </w:p>
    <w:p w14:paraId="56B4C031">
      <w:pPr>
        <w:ind w:firstLine="480" w:firstLineChars="200"/>
        <w:rPr>
          <w:rFonts w:eastAsia="宋体" w:cs="Times New Roman"/>
        </w:rPr>
      </w:pPr>
      <w:r>
        <w:tab/>
      </w:r>
      <w:r>
        <w:rPr>
          <w:position w:val="-4"/>
        </w:rPr>
        <w:object>
          <v:shape id="_x0000_i1143" o:spt="75" type="#_x0000_t75" style="height:13.9pt;width:9pt;" o:ole="t" filled="f" o:preferrelative="t" stroked="f" coordsize="21600,21600">
            <v:path/>
            <v:fill on="f" focussize="0,0"/>
            <v:stroke on="f" joinstyle="miter"/>
            <v:imagedata r:id="rId239" o:title=""/>
            <o:lock v:ext="edit" aspectratio="t"/>
            <w10:wrap type="none"/>
            <w10:anchorlock/>
          </v:shape>
          <o:OLEObject Type="Embed" ProgID="Equation.DSMT4" ShapeID="_x0000_i1143" DrawAspect="Content" ObjectID="_1468075843" r:id="rId238">
            <o:LockedField>false</o:LockedField>
          </o:OLEObject>
        </w:object>
      </w:r>
      <w:r>
        <w:rPr>
          <w:rFonts w:hint="eastAsia" w:eastAsia="宋体" w:cs="Times New Roman"/>
        </w:rPr>
        <w:t>为从整体检测效果、结果稳定性、恢复能力与及早检测能力等方面对本文方法及对比方法进行评估，本章选取平均回报、回报标准差、平均恢复时间、恢复精确率和平均预警提前步数作为评估指标，其中平均恢复时间与恢复精确率采用文献</w:t>
      </w:r>
      <w:r>
        <w:rPr>
          <w:rFonts w:eastAsia="宋体" w:cs="Times New Roman"/>
        </w:rPr>
        <w:fldChar w:fldCharType="begin" w:fldLock="1"/>
      </w:r>
      <w:r>
        <w:rPr>
          <w:rFonts w:eastAsia="宋体" w:cs="Times New Roman"/>
        </w:rPr>
        <w:instrText xml:space="preserve"> </w:instrText>
      </w:r>
      <w:r>
        <w:rPr>
          <w:rFonts w:hint="eastAsia" w:eastAsia="宋体" w:cs="Times New Roman"/>
        </w:rPr>
        <w:instrText xml:space="preserve">REF _Ref225459363 \r \h</w:instrText>
      </w:r>
      <w:r>
        <w:rPr>
          <w:rFonts w:eastAsia="宋体" w:cs="Times New Roman"/>
        </w:rPr>
        <w:instrText xml:space="preserve"> </w:instrText>
      </w:r>
      <w:r>
        <w:rPr>
          <w:rFonts w:eastAsia="宋体" w:cs="Times New Roman"/>
        </w:rPr>
        <w:fldChar w:fldCharType="separate"/>
      </w:r>
      <w:r>
        <w:rPr>
          <w:rFonts w:eastAsia="宋体" w:cs="Times New Roman"/>
        </w:rPr>
        <w:t>[66]</w:t>
      </w:r>
      <w:r>
        <w:rPr>
          <w:rFonts w:eastAsia="宋体" w:cs="Times New Roman"/>
        </w:rPr>
        <w:fldChar w:fldCharType="end"/>
      </w:r>
      <w:r>
        <w:rPr>
          <w:rFonts w:hint="eastAsia" w:eastAsia="宋体" w:cs="Times New Roman"/>
        </w:rPr>
        <w:t>的定义方式。各指标定义如下：</w:t>
      </w:r>
    </w:p>
    <w:p w14:paraId="6F3DF1A3">
      <w:pPr>
        <w:ind w:firstLine="480" w:firstLineChars="200"/>
        <w:rPr>
          <w:rFonts w:eastAsia="宋体" w:cs="Times New Roman"/>
          <w:b/>
          <w:bCs/>
        </w:rPr>
      </w:pPr>
      <w:r>
        <w:rPr>
          <w:rFonts w:hint="eastAsia" w:eastAsia="宋体" w:cs="Times New Roman"/>
        </w:rPr>
        <w:t>1）平均回报</w:t>
      </w:r>
      <w:r>
        <w:rPr>
          <w:rFonts w:eastAsia="宋体" w:cs="Times New Roman"/>
        </w:rPr>
        <w:t>：</w:t>
      </w:r>
      <w:r>
        <w:rPr>
          <w:rFonts w:hint="eastAsia" w:eastAsia="宋体" w:cs="Times New Roman"/>
        </w:rPr>
        <w:t>平均回报用于衡量方法在测试过程中的整体检测效果。在评估阶段，本文采用CC4环境官方回报进行评估，并对各测试episode的累计回报取平均值，其定义如式(3.16)。</w:t>
      </w:r>
    </w:p>
    <w:p w14:paraId="366BF240">
      <w:pPr>
        <w:tabs>
          <w:tab w:val="center" w:pos="4160"/>
          <w:tab w:val="right" w:pos="8300"/>
        </w:tabs>
        <w:spacing w:line="240" w:lineRule="auto"/>
        <w:ind w:firstLine="482" w:firstLineChars="200"/>
        <w:rPr>
          <w:rFonts w:eastAsia="宋体" w:cs="Times New Roman"/>
          <w:b/>
          <w:bCs/>
        </w:rPr>
      </w:pPr>
      <w:r>
        <w:rPr>
          <w:rFonts w:eastAsia="宋体" w:cs="Times New Roman"/>
          <w:b/>
          <w:bCs/>
        </w:rPr>
        <w:tab/>
      </w:r>
      <w:r>
        <w:rPr>
          <w:rFonts w:eastAsia="宋体" w:cs="Times New Roman"/>
          <w:b/>
          <w:bCs/>
          <w:position w:val="-28"/>
        </w:rPr>
        <w:object>
          <v:shape id="_x0000_i1144" o:spt="75" type="#_x0000_t75" style="height:34.15pt;width:65.65pt;" o:ole="t" filled="f" o:preferrelative="t" stroked="f" coordsize="21600,21600">
            <v:path/>
            <v:fill on="f" focussize="0,0"/>
            <v:stroke on="f" joinstyle="miter"/>
            <v:imagedata r:id="rId241" o:title=""/>
            <o:lock v:ext="edit" aspectratio="t"/>
            <w10:wrap type="none"/>
            <w10:anchorlock/>
          </v:shape>
          <o:OLEObject Type="Embed" ProgID="Equation.DSMT4" ShapeID="_x0000_i1144" DrawAspect="Content" ObjectID="_1468075844" r:id="rId240">
            <o:LockedField>false</o:LockedField>
          </o:OLEObject>
        </w:object>
      </w:r>
      <w:r>
        <w:rPr>
          <w:rFonts w:eastAsia="宋体" w:cs="Times New Roman"/>
          <w:b/>
          <w:bCs/>
        </w:rPr>
        <w:tab/>
      </w:r>
      <w:r>
        <w:rPr>
          <w:rFonts w:hint="eastAsia" w:eastAsia="宋体" w:cs="Times New Roman"/>
        </w:rPr>
        <w:t>(3.16)</w:t>
      </w:r>
    </w:p>
    <w:p w14:paraId="66395ACA">
      <w:pPr>
        <w:spacing w:line="400" w:lineRule="exact"/>
        <w:rPr>
          <w:rFonts w:eastAsia="宋体" w:cs="Times New Roman"/>
        </w:rPr>
      </w:pPr>
      <w:r>
        <w:rPr>
          <w:rFonts w:hint="eastAsia" w:eastAsia="宋体" w:cs="Times New Roman"/>
        </w:rPr>
        <w:t>式中，</w:t>
      </w:r>
      <w:r>
        <w:rPr>
          <w:rFonts w:hint="eastAsia" w:eastAsia="宋体" w:cs="Times New Roman"/>
          <w:position w:val="-4"/>
        </w:rPr>
        <w:object>
          <v:shape id="_x0000_i1145" o:spt="75" type="#_x0000_t75" style="height:13.15pt;width:16.15pt;" o:ole="t" filled="f" o:preferrelative="t" stroked="f" coordsize="21600,21600">
            <v:path/>
            <v:fill on="f" focussize="0,0"/>
            <v:stroke on="f" joinstyle="miter"/>
            <v:imagedata r:id="rId243" o:title=""/>
            <o:lock v:ext="edit" aspectratio="t"/>
            <w10:wrap type="none"/>
            <w10:anchorlock/>
          </v:shape>
          <o:OLEObject Type="Embed" ProgID="Equation.DSMT4" ShapeID="_x0000_i1145" DrawAspect="Content" ObjectID="_1468075845" r:id="rId242">
            <o:LockedField>false</o:LockedField>
          </o:OLEObject>
        </w:object>
      </w:r>
      <w:r>
        <w:rPr>
          <w:rFonts w:eastAsia="宋体" w:cs="Times New Roman"/>
        </w:rPr>
        <w:t>表示测试episode总数；</w:t>
      </w:r>
      <w:r>
        <w:rPr>
          <w:rFonts w:hint="eastAsia" w:eastAsia="宋体" w:cs="Times New Roman"/>
          <w:position w:val="-12"/>
        </w:rPr>
        <w:object>
          <v:shape id="_x0000_i1146" o:spt="75" type="#_x0000_t75" style="height:18pt;width:13.15pt;" o:ole="t" filled="f" o:preferrelative="t" stroked="f" coordsize="21600,21600">
            <v:path/>
            <v:fill on="f" focussize="0,0"/>
            <v:stroke on="f" joinstyle="miter"/>
            <v:imagedata r:id="rId245" o:title=""/>
            <o:lock v:ext="edit" aspectratio="t"/>
            <w10:wrap type="none"/>
            <w10:anchorlock/>
          </v:shape>
          <o:OLEObject Type="Embed" ProgID="Equation.DSMT4" ShapeID="_x0000_i1146" DrawAspect="Content" ObjectID="_1468075846" r:id="rId244">
            <o:LockedField>false</o:LockedField>
          </o:OLEObject>
        </w:object>
      </w:r>
      <w:r>
        <w:rPr>
          <w:rFonts w:eastAsia="宋体" w:cs="Times New Roman"/>
        </w:rPr>
        <w:t>表示第</w:t>
      </w:r>
      <w:r>
        <w:rPr>
          <w:rFonts w:hint="eastAsia" w:eastAsia="宋体" w:cs="Times New Roman"/>
          <w:position w:val="-6"/>
        </w:rPr>
        <w:object>
          <v:shape id="_x0000_i1147" o:spt="75" type="#_x0000_t75" style="height:13.15pt;width:6.4pt;" o:ole="t" filled="f" o:preferrelative="t" stroked="f" coordsize="21600,21600">
            <v:path/>
            <v:fill on="f" focussize="0,0"/>
            <v:stroke on="f" joinstyle="miter"/>
            <v:imagedata r:id="rId247" o:title=""/>
            <o:lock v:ext="edit" aspectratio="t"/>
            <w10:wrap type="none"/>
            <w10:anchorlock/>
          </v:shape>
          <o:OLEObject Type="Embed" ProgID="Equation.DSMT4" ShapeID="_x0000_i1147" DrawAspect="Content" ObjectID="_1468075847" r:id="rId246">
            <o:LockedField>false</o:LockedField>
          </o:OLEObject>
        </w:object>
      </w:r>
      <w:r>
        <w:rPr>
          <w:rFonts w:eastAsia="宋体" w:cs="Times New Roman"/>
        </w:rPr>
        <w:t>个episode的累计回报；</w:t>
      </w:r>
      <w:r>
        <w:rPr>
          <w:rFonts w:hint="eastAsia" w:eastAsia="宋体" w:cs="Times New Roman"/>
          <w:position w:val="-4"/>
        </w:rPr>
        <w:object>
          <v:shape id="_x0000_i1148" o:spt="75" type="#_x0000_t75" style="height:15pt;width:12.4pt;" o:ole="t" filled="f" o:preferrelative="t" stroked="f" coordsize="21600,21600">
            <v:path/>
            <v:fill on="f" focussize="0,0"/>
            <v:stroke on="f" joinstyle="miter"/>
            <v:imagedata r:id="rId249" o:title=""/>
            <o:lock v:ext="edit" aspectratio="t"/>
            <w10:wrap type="none"/>
            <w10:anchorlock/>
          </v:shape>
          <o:OLEObject Type="Embed" ProgID="Equation.DSMT4" ShapeID="_x0000_i1148" DrawAspect="Content" ObjectID="_1468075848" r:id="rId248">
            <o:LockedField>false</o:LockedField>
          </o:OLEObject>
        </w:object>
      </w:r>
      <w:r>
        <w:rPr>
          <w:rFonts w:eastAsia="宋体" w:cs="Times New Roman"/>
        </w:rPr>
        <w:t>表示平均回报。</w:t>
      </w:r>
    </w:p>
    <w:p w14:paraId="415CD38B">
      <w:pPr>
        <w:spacing w:line="400" w:lineRule="exact"/>
        <w:ind w:firstLine="480" w:firstLineChars="200"/>
        <w:rPr>
          <w:rFonts w:eastAsia="宋体" w:cs="Times New Roman"/>
        </w:rPr>
      </w:pPr>
      <w:r>
        <w:rPr>
          <w:rFonts w:hint="eastAsia" w:eastAsia="宋体" w:cs="Times New Roman"/>
        </w:rPr>
        <w:t>2</w:t>
      </w:r>
      <w:r>
        <w:rPr>
          <w:rFonts w:eastAsia="宋体" w:cs="Times New Roman"/>
        </w:rPr>
        <w:t>）回报标准差：回报标准差用于衡量不同episode间累计回报的波动程度，从而反映方法在测试过程中的稳定性，其定义如式</w:t>
      </w:r>
      <w:r>
        <w:rPr>
          <w:rFonts w:hint="eastAsia" w:eastAsia="宋体" w:cs="Times New Roman"/>
        </w:rPr>
        <w:t>(3.17)。</w:t>
      </w:r>
    </w:p>
    <w:p w14:paraId="212C655F">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30"/>
        </w:rPr>
        <w:object>
          <v:shape id="_x0000_i1149" o:spt="75" type="#_x0000_t75" style="height:37.9pt;width:124.9pt;" o:ole="t" filled="f" o:preferrelative="t" stroked="f" coordsize="21600,21600">
            <v:path/>
            <v:fill on="f" focussize="0,0"/>
            <v:stroke on="f" joinstyle="miter"/>
            <v:imagedata r:id="rId251" o:title=""/>
            <o:lock v:ext="edit" aspectratio="t"/>
            <w10:wrap type="none"/>
            <w10:anchorlock/>
          </v:shape>
          <o:OLEObject Type="Embed" ProgID="Equation.DSMT4" ShapeID="_x0000_i1149" DrawAspect="Content" ObjectID="_1468075849" r:id="rId250">
            <o:LockedField>false</o:LockedField>
          </o:OLEObject>
        </w:object>
      </w:r>
      <w:r>
        <w:rPr>
          <w:rFonts w:eastAsia="宋体" w:cs="Times New Roman"/>
        </w:rPr>
        <w:tab/>
      </w:r>
      <w:r>
        <w:rPr>
          <w:rFonts w:hint="eastAsia" w:eastAsia="宋体" w:cs="Times New Roman"/>
        </w:rPr>
        <w:t>(3.17)</w:t>
      </w:r>
    </w:p>
    <w:p w14:paraId="3F39BA3D">
      <w:pPr>
        <w:spacing w:line="400" w:lineRule="exact"/>
        <w:rPr>
          <w:rFonts w:eastAsia="宋体" w:cs="Times New Roman"/>
        </w:rPr>
      </w:pPr>
      <w:r>
        <w:rPr>
          <w:rFonts w:eastAsia="宋体" w:cs="Times New Roman"/>
        </w:rPr>
        <w:t>式中，</w:t>
      </w:r>
      <w:r>
        <w:rPr>
          <w:rFonts w:hint="eastAsia" w:eastAsia="宋体" w:cs="Times New Roman"/>
          <w:position w:val="-12"/>
        </w:rPr>
        <w:object>
          <v:shape id="_x0000_i1150" o:spt="75" type="#_x0000_t75" style="height:18pt;width:16.15pt;" o:ole="t" filled="f" o:preferrelative="t" stroked="f" coordsize="21600,21600">
            <v:path/>
            <v:fill on="f" focussize="0,0"/>
            <v:stroke on="f" joinstyle="miter"/>
            <v:imagedata r:id="rId253" o:title=""/>
            <o:lock v:ext="edit" aspectratio="t"/>
            <w10:wrap type="none"/>
            <w10:anchorlock/>
          </v:shape>
          <o:OLEObject Type="Embed" ProgID="Equation.DSMT4" ShapeID="_x0000_i1150" DrawAspect="Content" ObjectID="_1468075850" r:id="rId252">
            <o:LockedField>false</o:LockedField>
          </o:OLEObject>
        </w:object>
      </w:r>
      <w:r>
        <w:rPr>
          <w:rFonts w:eastAsia="宋体" w:cs="Times New Roman"/>
        </w:rPr>
        <w:t>表示回报标准差；</w:t>
      </w:r>
      <w:r>
        <w:rPr>
          <w:rFonts w:hint="eastAsia" w:eastAsia="宋体" w:cs="Times New Roman"/>
          <w:position w:val="-12"/>
        </w:rPr>
        <w:object>
          <v:shape id="_x0000_i1151" o:spt="75" type="#_x0000_t75" style="height:18pt;width:13.15pt;" o:ole="t" filled="f" o:preferrelative="t" stroked="f" coordsize="21600,21600">
            <v:path/>
            <v:fill on="f" focussize="0,0"/>
            <v:stroke on="f" joinstyle="miter"/>
            <v:imagedata r:id="rId245" o:title=""/>
            <o:lock v:ext="edit" aspectratio="t"/>
            <w10:wrap type="none"/>
            <w10:anchorlock/>
          </v:shape>
          <o:OLEObject Type="Embed" ProgID="Equation.DSMT4" ShapeID="_x0000_i1151" DrawAspect="Content" ObjectID="_1468075851" r:id="rId254">
            <o:LockedField>false</o:LockedField>
          </o:OLEObject>
        </w:object>
      </w:r>
      <w:r>
        <w:rPr>
          <w:rFonts w:eastAsia="宋体" w:cs="Times New Roman"/>
        </w:rPr>
        <w:t>表示第</w:t>
      </w:r>
      <w:r>
        <w:rPr>
          <w:rFonts w:hint="eastAsia" w:eastAsia="宋体" w:cs="Times New Roman"/>
          <w:position w:val="-6"/>
        </w:rPr>
        <w:object>
          <v:shape id="_x0000_i1152" o:spt="75" type="#_x0000_t75" style="height:13.15pt;width:6.4pt;" o:ole="t" filled="f" o:preferrelative="t" stroked="f" coordsize="21600,21600">
            <v:path/>
            <v:fill on="f" focussize="0,0"/>
            <v:stroke on="f" joinstyle="miter"/>
            <v:imagedata r:id="rId247" o:title=""/>
            <o:lock v:ext="edit" aspectratio="t"/>
            <w10:wrap type="none"/>
            <w10:anchorlock/>
          </v:shape>
          <o:OLEObject Type="Embed" ProgID="Equation.DSMT4" ShapeID="_x0000_i1152" DrawAspect="Content" ObjectID="_1468075852" r:id="rId255">
            <o:LockedField>false</o:LockedField>
          </o:OLEObject>
        </w:object>
      </w:r>
      <w:r>
        <w:rPr>
          <w:rFonts w:eastAsia="宋体" w:cs="Times New Roman"/>
        </w:rPr>
        <w:t>个episode的累计回报；</w:t>
      </w:r>
      <w:r>
        <w:rPr>
          <w:rFonts w:hint="eastAsia" w:eastAsia="宋体" w:cs="Times New Roman"/>
          <w:position w:val="-4"/>
        </w:rPr>
        <w:object>
          <v:shape id="_x0000_i1153" o:spt="75" type="#_x0000_t75" style="height:15pt;width:12.4pt;" o:ole="t" filled="f" o:preferrelative="t" stroked="f" coordsize="21600,21600">
            <v:path/>
            <v:fill on="f" focussize="0,0"/>
            <v:stroke on="f" joinstyle="miter"/>
            <v:imagedata r:id="rId249" o:title=""/>
            <o:lock v:ext="edit" aspectratio="t"/>
            <w10:wrap type="none"/>
            <w10:anchorlock/>
          </v:shape>
          <o:OLEObject Type="Embed" ProgID="Equation.DSMT4" ShapeID="_x0000_i1153" DrawAspect="Content" ObjectID="_1468075853" r:id="rId256">
            <o:LockedField>false</o:LockedField>
          </o:OLEObject>
        </w:object>
      </w:r>
      <w:r>
        <w:rPr>
          <w:rFonts w:eastAsia="宋体" w:cs="Times New Roman"/>
        </w:rPr>
        <w:t>表示平均回报</w:t>
      </w:r>
      <w:r>
        <w:rPr>
          <w:rFonts w:hint="eastAsia" w:eastAsia="宋体" w:cs="Times New Roman"/>
        </w:rPr>
        <w:t>；</w:t>
      </w:r>
      <w:r>
        <w:rPr>
          <w:rFonts w:hint="eastAsia" w:eastAsia="宋体" w:cs="Times New Roman"/>
          <w:position w:val="-4"/>
        </w:rPr>
        <w:object>
          <v:shape id="_x0000_i1154" o:spt="75" type="#_x0000_t75" style="height:13.15pt;width:16.15pt;" o:ole="t" filled="f" o:preferrelative="t" stroked="f" coordsize="21600,21600">
            <v:path/>
            <v:fill on="f" focussize="0,0"/>
            <v:stroke on="f" joinstyle="miter"/>
            <v:imagedata r:id="rId243" o:title=""/>
            <o:lock v:ext="edit" aspectratio="t"/>
            <w10:wrap type="none"/>
            <w10:anchorlock/>
          </v:shape>
          <o:OLEObject Type="Embed" ProgID="Equation.DSMT4" ShapeID="_x0000_i1154" DrawAspect="Content" ObjectID="_1468075854" r:id="rId257">
            <o:LockedField>false</o:LockedField>
          </o:OLEObject>
        </w:object>
      </w:r>
      <w:r>
        <w:rPr>
          <w:rFonts w:eastAsia="宋体" w:cs="Times New Roman"/>
        </w:rPr>
        <w:t>表示测试episode总数。</w:t>
      </w:r>
    </w:p>
    <w:p w14:paraId="24AA9000">
      <w:pPr>
        <w:spacing w:line="400" w:lineRule="exact"/>
        <w:ind w:firstLine="480" w:firstLineChars="200"/>
        <w:rPr>
          <w:rFonts w:eastAsia="宋体" w:cs="Times New Roman"/>
        </w:rPr>
      </w:pPr>
      <w:r>
        <w:rPr>
          <w:rFonts w:eastAsia="宋体" w:cs="Times New Roman"/>
        </w:rPr>
        <w:t>3）平均恢复时间：平均恢复时间用于衡量受攻击主机从受损状态恢复至正常状态所经历的平均步数。设测试过程中共统计到</w:t>
      </w:r>
      <m:oMath>
        <m:r>
          <m:rPr/>
          <w:rPr>
            <w:rFonts w:ascii="Cambria Math" w:hAnsi="Cambria Math" w:eastAsia="宋体" w:cs="Times New Roman"/>
          </w:rPr>
          <m:t>K</m:t>
        </m:r>
      </m:oMath>
      <w:r>
        <w:rPr>
          <w:rFonts w:eastAsia="宋体" w:cs="Times New Roman"/>
        </w:rPr>
        <w:t>次恢复事件，第</w:t>
      </w:r>
      <m:oMath>
        <m:r>
          <m:rPr/>
          <w:rPr>
            <w:rFonts w:ascii="Cambria Math" w:hAnsi="Cambria Math" w:eastAsia="宋体" w:cs="Times New Roman"/>
          </w:rPr>
          <m:t>k</m:t>
        </m:r>
      </m:oMath>
      <w:r>
        <w:rPr>
          <w:rFonts w:eastAsia="宋体" w:cs="Times New Roman"/>
        </w:rPr>
        <w:t>次事件中主机进入受损状态的时刻记为</w:t>
      </w:r>
      <m:oMath>
        <m:sSubSup>
          <m:sSubSupPr>
            <m:ctrlPr>
              <w:rPr>
                <w:rFonts w:ascii="Cambria Math" w:hAnsi="Cambria Math" w:eastAsia="宋体" w:cs="Times New Roman"/>
              </w:rPr>
            </m:ctrlPr>
          </m:sSubSupPr>
          <m:e>
            <m:r>
              <m:rPr/>
              <w:rPr>
                <w:rFonts w:ascii="Cambria Math" w:hAnsi="Cambria Math" w:eastAsia="宋体" w:cs="Times New Roman"/>
              </w:rPr>
              <m:t>t</m:t>
            </m:r>
            <m:ctrlPr>
              <w:rPr>
                <w:rFonts w:ascii="Cambria Math" w:hAnsi="Cambria Math" w:eastAsia="宋体" w:cs="Times New Roman"/>
              </w:rPr>
            </m:ctrlPr>
          </m:e>
          <m:sub>
            <m:r>
              <m:rPr/>
              <w:rPr>
                <w:rFonts w:ascii="Cambria Math" w:hAnsi="Cambria Math" w:eastAsia="宋体" w:cs="Times New Roman"/>
              </w:rPr>
              <m:t>k</m:t>
            </m:r>
            <m:ctrlPr>
              <w:rPr>
                <w:rFonts w:ascii="Cambria Math" w:hAnsi="Cambria Math" w:eastAsia="宋体" w:cs="Times New Roman"/>
              </w:rPr>
            </m:ctrlPr>
          </m:sub>
          <m:sup>
            <m:r>
              <m:rPr/>
              <w:rPr>
                <w:rFonts w:ascii="Cambria Math" w:hAnsi="Cambria Math" w:eastAsia="宋体" w:cs="Times New Roman"/>
              </w:rPr>
              <m:t>c</m:t>
            </m:r>
            <m:ctrlPr>
              <w:rPr>
                <w:rFonts w:ascii="Cambria Math" w:hAnsi="Cambria Math" w:eastAsia="宋体" w:cs="Times New Roman"/>
              </w:rPr>
            </m:ctrlPr>
          </m:sup>
        </m:sSubSup>
      </m:oMath>
      <w:r>
        <w:rPr>
          <w:rFonts w:eastAsia="宋体" w:cs="Times New Roman"/>
        </w:rPr>
        <w:t>，恢复完成时刻记为</w:t>
      </w:r>
      <m:oMath>
        <m:sSubSup>
          <m:sSubSupPr>
            <m:ctrlPr>
              <w:rPr>
                <w:rFonts w:ascii="Cambria Math" w:hAnsi="Cambria Math" w:eastAsia="宋体" w:cs="Times New Roman"/>
              </w:rPr>
            </m:ctrlPr>
          </m:sSubSupPr>
          <m:e>
            <m:r>
              <m:rPr/>
              <w:rPr>
                <w:rFonts w:ascii="Cambria Math" w:hAnsi="Cambria Math" w:eastAsia="宋体" w:cs="Times New Roman"/>
              </w:rPr>
              <m:t>t</m:t>
            </m:r>
            <m:ctrlPr>
              <w:rPr>
                <w:rFonts w:ascii="Cambria Math" w:hAnsi="Cambria Math" w:eastAsia="宋体" w:cs="Times New Roman"/>
              </w:rPr>
            </m:ctrlPr>
          </m:e>
          <m:sub>
            <m:r>
              <m:rPr/>
              <w:rPr>
                <w:rFonts w:ascii="Cambria Math" w:hAnsi="Cambria Math" w:eastAsia="宋体" w:cs="Times New Roman"/>
              </w:rPr>
              <m:t>k</m:t>
            </m:r>
            <m:ctrlPr>
              <w:rPr>
                <w:rFonts w:ascii="Cambria Math" w:hAnsi="Cambria Math" w:eastAsia="宋体" w:cs="Times New Roman"/>
              </w:rPr>
            </m:ctrlPr>
          </m:sub>
          <m:sup>
            <m:r>
              <m:rPr/>
              <w:rPr>
                <w:rFonts w:ascii="Cambria Math" w:hAnsi="Cambria Math" w:eastAsia="宋体" w:cs="Times New Roman"/>
              </w:rPr>
              <m:t>r</m:t>
            </m:r>
            <m:ctrlPr>
              <w:rPr>
                <w:rFonts w:ascii="Cambria Math" w:hAnsi="Cambria Math" w:eastAsia="宋体" w:cs="Times New Roman"/>
              </w:rPr>
            </m:ctrlPr>
          </m:sup>
        </m:sSubSup>
      </m:oMath>
      <w:r>
        <w:rPr>
          <w:rFonts w:eastAsia="宋体" w:cs="Times New Roman"/>
        </w:rPr>
        <w:t>，则平均恢复时间定义如式</w:t>
      </w:r>
      <w:r>
        <w:rPr>
          <w:rFonts w:hint="eastAsia" w:eastAsia="宋体" w:cs="Times New Roman"/>
        </w:rPr>
        <w:t>(3.18)。</w:t>
      </w:r>
    </w:p>
    <w:p w14:paraId="3E6321AC">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155" o:spt="75" type="#_x0000_t75" style="height:34.15pt;width:103.9pt;" o:ole="t" filled="f" o:preferrelative="t" stroked="f" coordsize="21600,21600">
            <v:path/>
            <v:fill on="f" focussize="0,0"/>
            <v:stroke on="f" joinstyle="miter"/>
            <v:imagedata r:id="rId259" o:title=""/>
            <o:lock v:ext="edit" aspectratio="t"/>
            <w10:wrap type="none"/>
            <w10:anchorlock/>
          </v:shape>
          <o:OLEObject Type="Embed" ProgID="Equation.DSMT4" ShapeID="_x0000_i1155" DrawAspect="Content" ObjectID="_1468075855" r:id="rId258">
            <o:LockedField>false</o:LockedField>
          </o:OLEObject>
        </w:object>
      </w:r>
      <w:r>
        <w:rPr>
          <w:rFonts w:eastAsia="宋体" w:cs="Times New Roman"/>
        </w:rPr>
        <w:tab/>
      </w:r>
      <w:r>
        <w:rPr>
          <w:rFonts w:hint="eastAsia" w:eastAsia="宋体" w:cs="Times New Roman"/>
        </w:rPr>
        <w:t>(3.18)</w:t>
      </w:r>
    </w:p>
    <w:p w14:paraId="7C0F9CDF">
      <w:pPr>
        <w:spacing w:line="400" w:lineRule="exact"/>
        <w:rPr>
          <w:rFonts w:eastAsia="宋体" w:cs="Times New Roman"/>
        </w:rPr>
      </w:pPr>
      <w:r>
        <w:rPr>
          <w:rFonts w:eastAsia="宋体" w:cs="Times New Roman"/>
        </w:rPr>
        <w:t>式中，</w:t>
      </w:r>
      <w:r>
        <w:rPr>
          <w:rFonts w:hint="eastAsia" w:eastAsia="宋体" w:cs="Times New Roman"/>
        </w:rPr>
        <w:t>MTR</w:t>
      </w:r>
      <w:r>
        <w:rPr>
          <w:rFonts w:eastAsia="宋体" w:cs="Times New Roman"/>
        </w:rPr>
        <w:t>表示平均恢复时间；</w:t>
      </w:r>
      <w:r>
        <w:rPr>
          <w:rFonts w:hint="eastAsia" w:eastAsia="宋体" w:cs="Times New Roman"/>
          <w:position w:val="-4"/>
        </w:rPr>
        <w:object>
          <v:shape id="_x0000_i1156" o:spt="75" type="#_x0000_t75" style="height:13.15pt;width:13.15pt;" o:ole="t" filled="f" o:preferrelative="t" stroked="f" coordsize="21600,21600">
            <v:path/>
            <v:fill on="f" focussize="0,0"/>
            <v:stroke on="f" joinstyle="miter"/>
            <v:imagedata r:id="rId261" o:title=""/>
            <o:lock v:ext="edit" aspectratio="t"/>
            <w10:wrap type="none"/>
            <w10:anchorlock/>
          </v:shape>
          <o:OLEObject Type="Embed" ProgID="Equation.DSMT4" ShapeID="_x0000_i1156" DrawAspect="Content" ObjectID="_1468075856" r:id="rId260">
            <o:LockedField>false</o:LockedField>
          </o:OLEObject>
        </w:object>
      </w:r>
      <w:r>
        <w:rPr>
          <w:rFonts w:eastAsia="宋体" w:cs="Times New Roman"/>
        </w:rPr>
        <w:t>表示恢复事件总数；</w:t>
      </w:r>
      <w:r>
        <w:rPr>
          <w:rFonts w:hint="eastAsia" w:eastAsia="宋体" w:cs="Times New Roman"/>
          <w:position w:val="-12"/>
        </w:rPr>
        <w:object>
          <v:shape id="_x0000_i1157" o:spt="75" type="#_x0000_t75" style="height:19.15pt;width:10.9pt;" o:ole="t" filled="f" o:preferrelative="t" stroked="f" coordsize="21600,21600">
            <v:path/>
            <v:fill on="f" focussize="0,0"/>
            <v:stroke on="f" joinstyle="miter"/>
            <v:imagedata r:id="rId263" o:title=""/>
            <o:lock v:ext="edit" aspectratio="t"/>
            <w10:wrap type="none"/>
            <w10:anchorlock/>
          </v:shape>
          <o:OLEObject Type="Embed" ProgID="Equation.DSMT4" ShapeID="_x0000_i1157" DrawAspect="Content" ObjectID="_1468075857" r:id="rId262">
            <o:LockedField>false</o:LockedField>
          </o:OLEObject>
        </w:object>
      </w:r>
      <w:r>
        <w:rPr>
          <w:rFonts w:eastAsia="宋体" w:cs="Times New Roman"/>
        </w:rPr>
        <w:t>表示第</w:t>
      </w:r>
      <w:r>
        <w:rPr>
          <w:rFonts w:hint="eastAsia" w:eastAsia="宋体" w:cs="Times New Roman"/>
          <w:position w:val="-6"/>
        </w:rPr>
        <w:object>
          <v:shape id="_x0000_i1158" o:spt="75" type="#_x0000_t75" style="height:13.9pt;width:10.15pt;" o:ole="t" filled="f" o:preferrelative="t" stroked="f" coordsize="21600,21600">
            <v:path/>
            <v:fill on="f" focussize="0,0"/>
            <v:stroke on="f" joinstyle="miter"/>
            <v:imagedata r:id="rId265" o:title=""/>
            <o:lock v:ext="edit" aspectratio="t"/>
            <w10:wrap type="none"/>
            <w10:anchorlock/>
          </v:shape>
          <o:OLEObject Type="Embed" ProgID="Equation.DSMT4" ShapeID="_x0000_i1158" DrawAspect="Content" ObjectID="_1468075858" r:id="rId264">
            <o:LockedField>false</o:LockedField>
          </o:OLEObject>
        </w:object>
      </w:r>
      <w:r>
        <w:rPr>
          <w:rFonts w:eastAsia="宋体" w:cs="Times New Roman"/>
        </w:rPr>
        <w:t>次事件中主机进入受损状态的时刻；</w:t>
      </w:r>
      <w:r>
        <w:rPr>
          <w:rFonts w:hint="eastAsia" w:eastAsia="宋体" w:cs="Times New Roman"/>
          <w:position w:val="-12"/>
        </w:rPr>
        <w:object>
          <v:shape id="_x0000_i1159" o:spt="75" type="#_x0000_t75" style="height:19pt;width:10.95pt;" o:ole="t" filled="f" o:preferrelative="t" stroked="f" coordsize="21600,21600">
            <v:path/>
            <v:fill on="f" focussize="0,0"/>
            <v:stroke on="f" joinstyle="miter"/>
            <v:imagedata r:id="rId267" o:title=""/>
            <o:lock v:ext="edit" aspectratio="t"/>
            <w10:wrap type="none"/>
            <w10:anchorlock/>
          </v:shape>
          <o:OLEObject Type="Embed" ProgID="Equation.DSMT4" ShapeID="_x0000_i1159" DrawAspect="Content" ObjectID="_1468075859" r:id="rId266">
            <o:LockedField>false</o:LockedField>
          </o:OLEObject>
        </w:object>
      </w:r>
      <w:r>
        <w:rPr>
          <w:rFonts w:eastAsia="宋体" w:cs="Times New Roman"/>
        </w:rPr>
        <w:t>表示第</w:t>
      </w:r>
      <w:r>
        <w:rPr>
          <w:rFonts w:hint="eastAsia" w:eastAsia="宋体" w:cs="Times New Roman"/>
          <w:position w:val="-6"/>
        </w:rPr>
        <w:object>
          <v:shape id="_x0000_i1160" o:spt="75" type="#_x0000_t75" style="height:13.8pt;width:10.1pt;" o:ole="t" filled="f" o:preferrelative="t" stroked="f" coordsize="21600,21600">
            <v:path/>
            <v:fill on="f" focussize="0,0"/>
            <v:stroke on="f" joinstyle="miter"/>
            <v:imagedata r:id="rId265" o:title=""/>
            <o:lock v:ext="edit" aspectratio="t"/>
            <w10:wrap type="none"/>
            <w10:anchorlock/>
          </v:shape>
          <o:OLEObject Type="Embed" ProgID="Equation.DSMT4" ShapeID="_x0000_i1160" DrawAspect="Content" ObjectID="_1468075860" r:id="rId268">
            <o:LockedField>false</o:LockedField>
          </o:OLEObject>
        </w:object>
      </w:r>
      <w:r>
        <w:rPr>
          <w:rFonts w:eastAsia="宋体" w:cs="Times New Roman"/>
        </w:rPr>
        <w:t>次事件中主机恢复完成的时刻。</w:t>
      </w:r>
    </w:p>
    <w:p w14:paraId="7E020B99">
      <w:pPr>
        <w:spacing w:line="400" w:lineRule="exact"/>
        <w:ind w:firstLine="480" w:firstLineChars="200"/>
        <w:rPr>
          <w:rFonts w:eastAsia="宋体" w:cs="Times New Roman"/>
        </w:rPr>
      </w:pPr>
      <w:r>
        <w:rPr>
          <w:rFonts w:eastAsia="宋体" w:cs="Times New Roman"/>
        </w:rPr>
        <w:t>4）恢复精确率：恢复精确率用于衡量恢复操作的准确性。针对受感染主机执行的恢复记为有效恢复，即</w:t>
      </w:r>
      <w:r>
        <w:rPr>
          <w:rFonts w:hint="eastAsia" w:eastAsia="宋体" w:cs="Times New Roman"/>
        </w:rPr>
        <w:t>真阳性</w:t>
      </w:r>
      <m:oMath>
        <m:r>
          <m:rPr/>
          <w:rPr>
            <w:rFonts w:ascii="Cambria Math" w:hAnsi="Cambria Math" w:eastAsia="宋体" w:cs="Times New Roman"/>
          </w:rPr>
          <m:t>TP</m:t>
        </m:r>
      </m:oMath>
      <w:r>
        <w:rPr>
          <w:rFonts w:eastAsia="宋体" w:cs="Times New Roman"/>
        </w:rPr>
        <w:t>；针对未受感染主机执行的恢复记为无效恢复，即</w:t>
      </w:r>
      <w:r>
        <w:rPr>
          <w:rFonts w:hint="eastAsia" w:eastAsia="宋体" w:cs="Times New Roman"/>
        </w:rPr>
        <w:t>假阳性</w:t>
      </w:r>
      <m:oMath>
        <m:r>
          <m:rPr/>
          <w:rPr>
            <w:rFonts w:ascii="Cambria Math" w:hAnsi="Cambria Math" w:eastAsia="宋体" w:cs="Times New Roman"/>
          </w:rPr>
          <m:t>FP</m:t>
        </m:r>
      </m:oMath>
      <w:r>
        <w:rPr>
          <w:rFonts w:eastAsia="宋体" w:cs="Times New Roman"/>
        </w:rPr>
        <w:t>。恢复精确率定义如式</w:t>
      </w:r>
      <w:r>
        <w:rPr>
          <w:rFonts w:hint="eastAsia" w:eastAsia="宋体" w:cs="Times New Roman"/>
        </w:rPr>
        <w:t>(3.19)。</w:t>
      </w:r>
    </w:p>
    <w:p w14:paraId="2F83DEB3">
      <w:pPr>
        <w:tabs>
          <w:tab w:val="center" w:pos="4160"/>
          <w:tab w:val="right" w:pos="8300"/>
        </w:tabs>
        <w:spacing w:line="288" w:lineRule="auto"/>
        <w:ind w:firstLine="480" w:firstLineChars="200"/>
        <w:rPr>
          <w:rFonts w:eastAsia="宋体" w:cs="Times New Roman"/>
        </w:rPr>
      </w:pPr>
      <w:r>
        <w:rPr>
          <w:rFonts w:eastAsia="宋体" w:cs="Times New Roman"/>
        </w:rPr>
        <w:tab/>
      </w:r>
      <w:r>
        <w:rPr>
          <w:rFonts w:eastAsia="宋体" w:cs="Times New Roman"/>
          <w:position w:val="-24"/>
        </w:rPr>
        <w:object>
          <v:shape id="_x0000_i1161" o:spt="75" type="#_x0000_t75" style="height:31.1pt;width:72.85pt;" o:ole="t" filled="f" o:preferrelative="t" stroked="f" coordsize="21600,21600">
            <v:path/>
            <v:fill on="f" focussize="0,0"/>
            <v:stroke on="f" joinstyle="miter"/>
            <v:imagedata r:id="rId270" o:title=""/>
            <o:lock v:ext="edit" aspectratio="t"/>
            <w10:wrap type="none"/>
            <w10:anchorlock/>
          </v:shape>
          <o:OLEObject Type="Embed" ProgID="Equation.DSMT4" ShapeID="_x0000_i1161" DrawAspect="Content" ObjectID="_1468075861" r:id="rId269">
            <o:LockedField>false</o:LockedField>
          </o:OLEObject>
        </w:object>
      </w:r>
      <w:r>
        <w:rPr>
          <w:rFonts w:eastAsia="宋体" w:cs="Times New Roman"/>
        </w:rPr>
        <w:tab/>
      </w:r>
      <w:r>
        <w:rPr>
          <w:rFonts w:hint="eastAsia" w:eastAsia="宋体" w:cs="Times New Roman"/>
        </w:rPr>
        <w:t>(3.19)</w:t>
      </w:r>
    </w:p>
    <w:p w14:paraId="71034514">
      <w:pPr>
        <w:spacing w:line="400" w:lineRule="exact"/>
        <w:ind w:firstLine="480" w:firstLineChars="200"/>
        <w:rPr>
          <w:rFonts w:eastAsia="宋体" w:cs="Times New Roman"/>
        </w:rPr>
      </w:pPr>
      <w:r>
        <w:rPr>
          <w:rFonts w:hint="eastAsia" w:eastAsia="宋体" w:cs="Times New Roman"/>
        </w:rPr>
        <w:t>5）</w:t>
      </w:r>
      <w:r>
        <w:rPr>
          <w:rFonts w:eastAsia="宋体" w:cs="Times New Roman"/>
        </w:rPr>
        <w:t>平均预警提前步数：平均预警提前步数用于衡量方法对APT攻击的及早检测能力，其可定义为攻击真正产生影响的时刻与方法发出预警的时刻之间的步数差值</w:t>
      </w:r>
      <w:r>
        <w:rPr>
          <w:rFonts w:eastAsia="宋体" w:cs="Times New Roman"/>
          <w:vertAlign w:val="superscript"/>
        </w:rPr>
        <w:fldChar w:fldCharType="begin" w:fldLock="1"/>
      </w:r>
      <w:r>
        <w:rPr>
          <w:rFonts w:eastAsia="宋体" w:cs="Times New Roman"/>
          <w:vertAlign w:val="superscript"/>
        </w:rPr>
        <w:instrText xml:space="preserve"> REF _Ref226063601 \r \h  \* MERGEFORMAT </w:instrText>
      </w:r>
      <w:r>
        <w:rPr>
          <w:rFonts w:eastAsia="宋体" w:cs="Times New Roman"/>
          <w:vertAlign w:val="superscript"/>
        </w:rPr>
        <w:fldChar w:fldCharType="separate"/>
      </w:r>
      <w:r>
        <w:rPr>
          <w:rFonts w:eastAsia="宋体" w:cs="Times New Roman"/>
          <w:vertAlign w:val="superscript"/>
        </w:rPr>
        <w:t>[89]</w:t>
      </w:r>
      <w:r>
        <w:rPr>
          <w:rFonts w:eastAsia="宋体" w:cs="Times New Roman"/>
          <w:vertAlign w:val="superscript"/>
        </w:rPr>
        <w:fldChar w:fldCharType="end"/>
      </w:r>
      <w:r>
        <w:rPr>
          <w:rFonts w:eastAsia="宋体" w:cs="Times New Roman"/>
        </w:rPr>
        <w:t xml:space="preserve">。若在攻击产生影响之前未提出有效预警，则对应提前步数记为0。第 </w:t>
      </w:r>
      <m:oMath>
        <m:r>
          <m:rPr/>
          <w:rPr>
            <w:rFonts w:ascii="Cambria Math" w:hAnsi="Cambria Math" w:eastAsia="宋体" w:cs="Times New Roman"/>
          </w:rPr>
          <m:t>i</m:t>
        </m:r>
      </m:oMath>
      <w:r>
        <w:rPr>
          <w:rFonts w:eastAsia="宋体" w:cs="Times New Roman"/>
        </w:rPr>
        <w:t>次攻击事件的预警提前步数定义如式（3.20），测试过程中</w:t>
      </w:r>
      <m:oMath>
        <m:r>
          <m:rPr/>
          <w:rPr>
            <w:rFonts w:ascii="Cambria Math" w:hAnsi="Cambria Math" w:eastAsia="宋体" w:cs="Times New Roman"/>
          </w:rPr>
          <m:t>N</m:t>
        </m:r>
      </m:oMath>
      <w:r>
        <w:rPr>
          <w:rFonts w:eastAsia="宋体" w:cs="Times New Roman"/>
        </w:rPr>
        <w:t>次攻击事件的平均预警提前步数定义如式</w:t>
      </w:r>
      <w:r>
        <w:rPr>
          <w:rFonts w:hint="eastAsia" w:eastAsia="宋体" w:cs="Times New Roman"/>
        </w:rPr>
        <w:t>(</w:t>
      </w:r>
      <w:r>
        <w:rPr>
          <w:rFonts w:eastAsia="宋体" w:cs="Times New Roman"/>
        </w:rPr>
        <w:t>3.21</w:t>
      </w:r>
      <w:r>
        <w:rPr>
          <w:rFonts w:hint="eastAsia" w:eastAsia="宋体" w:cs="Times New Roman"/>
        </w:rPr>
        <w:t>)</w:t>
      </w:r>
      <w:r>
        <w:rPr>
          <w:rFonts w:eastAsia="宋体" w:cs="Times New Roman"/>
        </w:rPr>
        <w:t>。</w:t>
      </w:r>
    </w:p>
    <w:p w14:paraId="257DF81E">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162" o:spt="75" type="#_x0000_t75" style="height:19pt;width:59.9pt;" o:ole="t" filled="f" o:preferrelative="t" stroked="f" coordsize="21600,21600">
            <v:path/>
            <v:fill on="f" focussize="0,0"/>
            <v:stroke on="f" joinstyle="miter"/>
            <v:imagedata r:id="rId272" o:title=""/>
            <o:lock v:ext="edit" aspectratio="t"/>
            <w10:wrap type="none"/>
            <w10:anchorlock/>
          </v:shape>
          <o:OLEObject Type="Embed" ProgID="Equation.DSMT4" ShapeID="_x0000_i1162" DrawAspect="Content" ObjectID="_1468075862" r:id="rId271">
            <o:LockedField>false</o:LockedField>
          </o:OLEObject>
        </w:object>
      </w:r>
      <w:r>
        <w:rPr>
          <w:rFonts w:eastAsia="宋体" w:cs="Times New Roman"/>
        </w:rPr>
        <w:tab/>
      </w:r>
      <w:r>
        <w:rPr>
          <w:rFonts w:hint="eastAsia" w:eastAsia="宋体" w:cs="Times New Roman"/>
        </w:rPr>
        <w:t>(3.20)</w:t>
      </w:r>
    </w:p>
    <w:p w14:paraId="6CA46772">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30"/>
        </w:rPr>
        <w:object>
          <v:shape id="_x0000_i1163" o:spt="75" type="#_x0000_t75" style="height:34.85pt;width:62.8pt;" o:ole="t" filled="f" o:preferrelative="t" stroked="f" coordsize="21600,21600">
            <v:path/>
            <v:fill on="f" focussize="0,0"/>
            <v:stroke on="f" joinstyle="miter"/>
            <v:imagedata r:id="rId274" o:title=""/>
            <o:lock v:ext="edit" aspectratio="t"/>
            <w10:wrap type="none"/>
            <w10:anchorlock/>
          </v:shape>
          <o:OLEObject Type="Embed" ProgID="Equation.DSMT4" ShapeID="_x0000_i1163" DrawAspect="Content" ObjectID="_1468075863" r:id="rId273">
            <o:LockedField>false</o:LockedField>
          </o:OLEObject>
        </w:object>
      </w:r>
      <w:r>
        <w:rPr>
          <w:rFonts w:eastAsia="宋体" w:cs="Times New Roman"/>
        </w:rPr>
        <w:tab/>
      </w:r>
      <w:r>
        <w:rPr>
          <w:rFonts w:hint="eastAsia" w:eastAsia="宋体" w:cs="Times New Roman"/>
        </w:rPr>
        <w:t>(3.21)</w:t>
      </w:r>
    </w:p>
    <w:p w14:paraId="2342ACBE">
      <w:pPr>
        <w:spacing w:line="400" w:lineRule="exact"/>
        <w:rPr>
          <w:rFonts w:eastAsia="宋体" w:cs="Times New Roman"/>
        </w:rPr>
      </w:pPr>
      <w:r>
        <w:rPr>
          <w:rFonts w:eastAsia="宋体" w:cs="Times New Roman"/>
        </w:rPr>
        <w:t>式中，</w:t>
      </w:r>
      <w:r>
        <w:rPr>
          <w:rFonts w:hint="eastAsia" w:eastAsia="宋体" w:cs="Times New Roman"/>
          <w:position w:val="-12"/>
        </w:rPr>
        <w:object>
          <v:shape id="_x0000_i1164" o:spt="75" type="#_x0000_t75" style="height:18.15pt;width:12.4pt;" o:ole="t" filled="f" o:preferrelative="t" stroked="f" coordsize="21600,21600">
            <v:path/>
            <v:fill on="f" focussize="0,0"/>
            <v:stroke on="f" joinstyle="miter"/>
            <v:imagedata r:id="rId276" o:title=""/>
            <o:lock v:ext="edit" aspectratio="t"/>
            <w10:wrap type="none"/>
            <w10:anchorlock/>
          </v:shape>
          <o:OLEObject Type="Embed" ProgID="Equation.DSMT4" ShapeID="_x0000_i1164" DrawAspect="Content" ObjectID="_1468075864" r:id="rId275">
            <o:LockedField>false</o:LockedField>
          </o:OLEObject>
        </w:object>
      </w:r>
      <w:r>
        <w:rPr>
          <w:rFonts w:eastAsia="宋体" w:cs="Times New Roman"/>
        </w:rPr>
        <w:t>表示第</w:t>
      </w:r>
      <w:r>
        <w:rPr>
          <w:rFonts w:hint="eastAsia" w:eastAsia="宋体" w:cs="Times New Roman"/>
          <w:position w:val="-6"/>
        </w:rPr>
        <w:object>
          <v:shape id="_x0000_i1165" o:spt="75" type="#_x0000_t75" style="height:13.25pt;width:6.35pt;" o:ole="t" filled="f" o:preferrelative="t" stroked="f" coordsize="21600,21600">
            <v:path/>
            <v:fill on="f" focussize="0,0"/>
            <v:stroke on="f" joinstyle="miter"/>
            <v:imagedata r:id="rId278" o:title=""/>
            <o:lock v:ext="edit" aspectratio="t"/>
            <w10:wrap type="none"/>
            <w10:anchorlock/>
          </v:shape>
          <o:OLEObject Type="Embed" ProgID="Equation.DSMT4" ShapeID="_x0000_i1165" DrawAspect="Content" ObjectID="_1468075865" r:id="rId277">
            <o:LockedField>false</o:LockedField>
          </o:OLEObject>
        </w:object>
      </w:r>
      <w:r>
        <w:rPr>
          <w:rFonts w:eastAsia="宋体" w:cs="Times New Roman"/>
        </w:rPr>
        <w:t>次攻击事件的预警提前步数；</w:t>
      </w:r>
      <w:r>
        <w:rPr>
          <w:rFonts w:hint="eastAsia" w:eastAsia="宋体" w:cs="Times New Roman"/>
          <w:position w:val="-12"/>
        </w:rPr>
        <w:object>
          <v:shape id="_x0000_i1166" o:spt="75" type="#_x0000_t75" style="height:19pt;width:18.15pt;" o:ole="t" filled="f" o:preferrelative="t" stroked="f" coordsize="21600,21600">
            <v:path/>
            <v:fill on="f" focussize="0,0"/>
            <v:stroke on="f" joinstyle="miter"/>
            <v:imagedata r:id="rId280" o:title=""/>
            <o:lock v:ext="edit" aspectratio="t"/>
            <w10:wrap type="none"/>
            <w10:anchorlock/>
          </v:shape>
          <o:OLEObject Type="Embed" ProgID="Equation.DSMT4" ShapeID="_x0000_i1166" DrawAspect="Content" ObjectID="_1468075866" r:id="rId279">
            <o:LockedField>false</o:LockedField>
          </o:OLEObject>
        </w:object>
      </w:r>
      <w:r>
        <w:rPr>
          <w:rFonts w:eastAsia="宋体" w:cs="Times New Roman"/>
        </w:rPr>
        <w:t>表示第</w:t>
      </w:r>
      <w:r>
        <w:rPr>
          <w:rFonts w:hint="eastAsia" w:eastAsia="宋体" w:cs="Times New Roman"/>
          <w:position w:val="-6"/>
        </w:rPr>
        <w:object>
          <v:shape id="_x0000_i1167" o:spt="75" type="#_x0000_t75" style="height:13.25pt;width:6.35pt;" o:ole="t" filled="f" o:preferrelative="t" stroked="f" coordsize="21600,21600">
            <v:path/>
            <v:fill on="f" focussize="0,0"/>
            <v:stroke on="f" joinstyle="miter"/>
            <v:imagedata r:id="rId278" o:title=""/>
            <o:lock v:ext="edit" aspectratio="t"/>
            <w10:wrap type="none"/>
            <w10:anchorlock/>
          </v:shape>
          <o:OLEObject Type="Embed" ProgID="Equation.DSMT4" ShapeID="_x0000_i1167" DrawAspect="Content" ObjectID="_1468075867" r:id="rId281">
            <o:LockedField>false</o:LockedField>
          </o:OLEObject>
        </w:object>
      </w:r>
      <w:r>
        <w:rPr>
          <w:rFonts w:eastAsia="宋体" w:cs="Times New Roman"/>
        </w:rPr>
        <w:t>次攻击事件产生影响的时刻；</w:t>
      </w:r>
      <w:r>
        <w:rPr>
          <w:rFonts w:hint="eastAsia" w:eastAsia="宋体" w:cs="Times New Roman"/>
          <w:position w:val="-12"/>
        </w:rPr>
        <w:object>
          <v:shape id="_x0000_i1168" o:spt="75" type="#_x0000_t75" style="height:19pt;width:12.4pt;" o:ole="t" filled="f" o:preferrelative="t" stroked="f" coordsize="21600,21600">
            <v:path/>
            <v:fill on="f" focussize="0,0"/>
            <v:stroke on="f" joinstyle="miter"/>
            <v:imagedata r:id="rId283" o:title=""/>
            <o:lock v:ext="edit" aspectratio="t"/>
            <w10:wrap type="none"/>
            <w10:anchorlock/>
          </v:shape>
          <o:OLEObject Type="Embed" ProgID="Equation.DSMT4" ShapeID="_x0000_i1168" DrawAspect="Content" ObjectID="_1468075868" r:id="rId282">
            <o:LockedField>false</o:LockedField>
          </o:OLEObject>
        </w:object>
      </w:r>
      <w:r>
        <w:rPr>
          <w:rFonts w:eastAsia="宋体" w:cs="Times New Roman"/>
        </w:rPr>
        <w:t>表示第</w:t>
      </w:r>
      <w:r>
        <w:rPr>
          <w:rFonts w:hint="eastAsia" w:eastAsia="宋体" w:cs="Times New Roman"/>
          <w:position w:val="-6"/>
        </w:rPr>
        <w:object>
          <v:shape id="_x0000_i1169" o:spt="75" type="#_x0000_t75" style="height:13.25pt;width:6.35pt;" o:ole="t" filled="f" o:preferrelative="t" stroked="f" coordsize="21600,21600">
            <v:path/>
            <v:fill on="f" focussize="0,0"/>
            <v:stroke on="f" joinstyle="miter"/>
            <v:imagedata r:id="rId278" o:title=""/>
            <o:lock v:ext="edit" aspectratio="t"/>
            <w10:wrap type="none"/>
            <w10:anchorlock/>
          </v:shape>
          <o:OLEObject Type="Embed" ProgID="Equation.DSMT4" ShapeID="_x0000_i1169" DrawAspect="Content" ObjectID="_1468075869" r:id="rId284">
            <o:LockedField>false</o:LockedField>
          </o:OLEObject>
        </w:object>
      </w:r>
      <w:r>
        <w:rPr>
          <w:rFonts w:eastAsia="宋体" w:cs="Times New Roman"/>
        </w:rPr>
        <w:t>次攻击事件的首次预警时刻；</w:t>
      </w:r>
      <w:r>
        <w:rPr>
          <w:rFonts w:hint="eastAsia" w:eastAsia="宋体" w:cs="Times New Roman"/>
          <w:position w:val="-6"/>
        </w:rPr>
        <w:object>
          <v:shape id="_x0000_i1170" o:spt="75" type="#_x0000_t75" style="height:13.8pt;width:13.8pt;" o:ole="t" filled="f" o:preferrelative="t" stroked="f" coordsize="21600,21600">
            <v:path/>
            <v:fill on="f" focussize="0,0"/>
            <v:stroke on="f" joinstyle="miter"/>
            <v:imagedata r:id="rId286" o:title=""/>
            <o:lock v:ext="edit" aspectratio="t"/>
            <w10:wrap type="none"/>
            <w10:anchorlock/>
          </v:shape>
          <o:OLEObject Type="Embed" ProgID="Equation.DSMT4" ShapeID="_x0000_i1170" DrawAspect="Content" ObjectID="_1468075870" r:id="rId285">
            <o:LockedField>false</o:LockedField>
          </o:OLEObject>
        </w:object>
      </w:r>
      <w:r>
        <w:rPr>
          <w:rFonts w:eastAsia="宋体" w:cs="Times New Roman"/>
        </w:rPr>
        <w:t>表示攻击事件总数；</w:t>
      </w:r>
      <w:r>
        <w:rPr>
          <w:rFonts w:hint="eastAsia" w:eastAsia="宋体" w:cs="Times New Roman"/>
          <w:position w:val="-4"/>
        </w:rPr>
        <w:object>
          <v:shape id="_x0000_i1171" o:spt="75" type="#_x0000_t75" style="height:15pt;width:12.4pt;" o:ole="t" filled="f" o:preferrelative="t" stroked="f" coordsize="21600,21600">
            <v:path/>
            <v:fill on="f" focussize="0,0"/>
            <v:stroke on="f" joinstyle="miter"/>
            <v:imagedata r:id="rId288" o:title=""/>
            <o:lock v:ext="edit" aspectratio="t"/>
            <w10:wrap type="none"/>
            <w10:anchorlock/>
          </v:shape>
          <o:OLEObject Type="Embed" ProgID="Equation.DSMT4" ShapeID="_x0000_i1171" DrawAspect="Content" ObjectID="_1468075871" r:id="rId287">
            <o:LockedField>false</o:LockedField>
          </o:OLEObject>
        </w:object>
      </w:r>
      <w:r>
        <w:rPr>
          <w:rFonts w:eastAsia="宋体" w:cs="Times New Roman"/>
        </w:rPr>
        <w:t>表示平均预警提前步数。</w:t>
      </w:r>
    </w:p>
    <w:p w14:paraId="0F2344FF">
      <w:pPr>
        <w:pStyle w:val="4"/>
      </w:pPr>
      <w:bookmarkStart w:id="54" w:name="_Toc230086361"/>
      <w:r>
        <w:t>3.4.</w:t>
      </w:r>
      <w:r>
        <w:rPr>
          <w:rFonts w:hint="eastAsia"/>
        </w:rPr>
        <w:t xml:space="preserve">2 </w:t>
      </w:r>
      <w:r>
        <w:t>数据集</w:t>
      </w:r>
      <w:bookmarkEnd w:id="54"/>
    </w:p>
    <w:p w14:paraId="663A8FB3">
      <w:pPr>
        <w:ind w:firstLine="482" w:firstLineChars="200"/>
        <w:rPr>
          <w:b/>
          <w:bCs/>
        </w:rPr>
      </w:pPr>
      <w:r>
        <w:rPr>
          <w:rFonts w:hint="eastAsia"/>
          <w:b/>
          <w:bCs/>
        </w:rPr>
        <w:t>（1）现有数据集分析与选择</w:t>
      </w:r>
    </w:p>
    <w:p w14:paraId="6CF047E1">
      <w:pPr>
        <w:ind w:firstLine="480" w:firstLineChars="200"/>
      </w:pPr>
      <w:r>
        <w:t>为选择</w:t>
      </w:r>
      <w:r>
        <w:rPr>
          <w:rFonts w:hint="eastAsia"/>
        </w:rPr>
        <w:t>最</w:t>
      </w:r>
      <w:r>
        <w:t>适合本文实验验证的数据环境，本文对现有常见入侵检测数据集和APT相关数据集进行了比较。其中，传统静态入侵检测数据集</w:t>
      </w:r>
      <w:r>
        <w:rPr>
          <w:rFonts w:hint="eastAsia"/>
        </w:rPr>
        <w:t>主要包括</w:t>
      </w:r>
      <w:r>
        <w:t>UNSW-NB15</w:t>
      </w:r>
      <w:r>
        <w:rPr>
          <w:vertAlign w:val="superscript"/>
        </w:rPr>
        <w:fldChar w:fldCharType="begin" w:fldLock="1"/>
      </w:r>
      <w:r>
        <w:rPr>
          <w:vertAlign w:val="superscript"/>
        </w:rPr>
        <w:instrText xml:space="preserve"> REF _Ref225696813 \r \h  \* MERGEFORMAT </w:instrText>
      </w:r>
      <w:r>
        <w:rPr>
          <w:vertAlign w:val="superscript"/>
        </w:rPr>
        <w:fldChar w:fldCharType="separate"/>
      </w:r>
      <w:r>
        <w:rPr>
          <w:vertAlign w:val="superscript"/>
        </w:rPr>
        <w:t>[90]</w:t>
      </w:r>
      <w:r>
        <w:rPr>
          <w:vertAlign w:val="superscript"/>
        </w:rPr>
        <w:fldChar w:fldCharType="end"/>
      </w:r>
      <w:r>
        <w:t>、CICIDS201</w:t>
      </w:r>
      <w:r>
        <w:rPr>
          <w:rFonts w:hint="eastAsia"/>
        </w:rPr>
        <w:t>8</w:t>
      </w:r>
      <w:r>
        <w:rPr>
          <w:vertAlign w:val="superscript"/>
        </w:rPr>
        <w:fldChar w:fldCharType="begin" w:fldLock="1"/>
      </w:r>
      <w:r>
        <w:rPr>
          <w:vertAlign w:val="superscript"/>
        </w:rPr>
        <w:instrText xml:space="preserve"> </w:instrText>
      </w:r>
      <w:r>
        <w:rPr>
          <w:rFonts w:hint="eastAsia"/>
          <w:vertAlign w:val="superscript"/>
        </w:rPr>
        <w:instrText xml:space="preserve">REF _Ref226555641 \r \h</w:instrText>
      </w:r>
      <w:r>
        <w:rPr>
          <w:vertAlign w:val="superscript"/>
        </w:rPr>
        <w:instrText xml:space="preserve">  \* MERGEFORMAT </w:instrText>
      </w:r>
      <w:r>
        <w:rPr>
          <w:vertAlign w:val="superscript"/>
        </w:rPr>
        <w:fldChar w:fldCharType="separate"/>
      </w:r>
      <w:r>
        <w:rPr>
          <w:vertAlign w:val="superscript"/>
        </w:rPr>
        <w:t>[91]</w:t>
      </w:r>
      <w:r>
        <w:rPr>
          <w:vertAlign w:val="superscript"/>
        </w:rPr>
        <w:fldChar w:fldCharType="end"/>
      </w:r>
      <w:r>
        <w:t>和NSL-KDD</w:t>
      </w:r>
      <w:r>
        <w:rPr>
          <w:vertAlign w:val="superscript"/>
        </w:rPr>
        <w:fldChar w:fldCharType="begin" w:fldLock="1"/>
      </w:r>
      <w:r>
        <w:rPr>
          <w:vertAlign w:val="superscript"/>
        </w:rPr>
        <w:instrText xml:space="preserve"> REF _Ref225696998 \r \h  \* MERGEFORMAT </w:instrText>
      </w:r>
      <w:r>
        <w:rPr>
          <w:vertAlign w:val="superscript"/>
        </w:rPr>
        <w:fldChar w:fldCharType="separate"/>
      </w:r>
      <w:r>
        <w:rPr>
          <w:vertAlign w:val="superscript"/>
        </w:rPr>
        <w:t>[92]</w:t>
      </w:r>
      <w:r>
        <w:rPr>
          <w:vertAlign w:val="superscript"/>
        </w:rPr>
        <w:fldChar w:fldCharType="end"/>
      </w:r>
      <w:r>
        <w:t>等，主要用于离线入侵检测研究；APT相关静态数据集主要包括DAPT2020</w:t>
      </w:r>
      <w:r>
        <w:rPr>
          <w:vertAlign w:val="superscript"/>
        </w:rPr>
        <w:fldChar w:fldCharType="begin" w:fldLock="1"/>
      </w:r>
      <w:r>
        <w:rPr>
          <w:vertAlign w:val="superscript"/>
        </w:rPr>
        <w:instrText xml:space="preserve"> REF _Ref225697210 \r \h  \* MERGEFORMAT </w:instrText>
      </w:r>
      <w:r>
        <w:rPr>
          <w:vertAlign w:val="superscript"/>
        </w:rPr>
        <w:fldChar w:fldCharType="separate"/>
      </w:r>
      <w:r>
        <w:rPr>
          <w:vertAlign w:val="superscript"/>
        </w:rPr>
        <w:t>[93]</w:t>
      </w:r>
      <w:r>
        <w:rPr>
          <w:vertAlign w:val="superscript"/>
        </w:rPr>
        <w:fldChar w:fldCharType="end"/>
      </w:r>
      <w:r>
        <w:t>、CICAPT-IIoT 2024</w:t>
      </w:r>
      <w:r>
        <w:rPr>
          <w:vertAlign w:val="superscript"/>
        </w:rPr>
        <w:fldChar w:fldCharType="begin" w:fldLock="1"/>
      </w:r>
      <w:r>
        <w:rPr>
          <w:vertAlign w:val="superscript"/>
        </w:rPr>
        <w:instrText xml:space="preserve"> REF _Ref225697375 \r \h  \* MERGEFORMAT </w:instrText>
      </w:r>
      <w:r>
        <w:rPr>
          <w:vertAlign w:val="superscript"/>
        </w:rPr>
        <w:fldChar w:fldCharType="separate"/>
      </w:r>
      <w:r>
        <w:rPr>
          <w:vertAlign w:val="superscript"/>
        </w:rPr>
        <w:t>[94]</w:t>
      </w:r>
      <w:r>
        <w:rPr>
          <w:vertAlign w:val="superscript"/>
        </w:rPr>
        <w:fldChar w:fldCharType="end"/>
      </w:r>
      <w:r>
        <w:t>和UWF-ZeekData22</w:t>
      </w:r>
      <w:r>
        <w:rPr>
          <w:vertAlign w:val="superscript"/>
        </w:rPr>
        <w:fldChar w:fldCharType="begin" w:fldLock="1"/>
      </w:r>
      <w:r>
        <w:rPr>
          <w:vertAlign w:val="superscript"/>
        </w:rPr>
        <w:instrText xml:space="preserve"> REF _Ref225697437 \r \h  \* MERGEFORMAT </w:instrText>
      </w:r>
      <w:r>
        <w:rPr>
          <w:vertAlign w:val="superscript"/>
        </w:rPr>
        <w:fldChar w:fldCharType="separate"/>
      </w:r>
      <w:r>
        <w:rPr>
          <w:vertAlign w:val="superscript"/>
        </w:rPr>
        <w:t>[95]</w:t>
      </w:r>
      <w:r>
        <w:rPr>
          <w:vertAlign w:val="superscript"/>
        </w:rPr>
        <w:fldChar w:fldCharType="end"/>
      </w:r>
      <w:r>
        <w:t>，这类数据集较传统静态数据集更接近APT场景，能够提供一定的APT阶段信息；此外，CAGE Challenge 4（CC4）</w:t>
      </w:r>
      <w:r>
        <w:rPr>
          <w:vertAlign w:val="superscript"/>
        </w:rPr>
        <w:fldChar w:fldCharType="begin" w:fldLock="1"/>
      </w:r>
      <w:r>
        <w:rPr>
          <w:vertAlign w:val="superscript"/>
        </w:rPr>
        <w:instrText xml:space="preserve"> REF _Ref225697678 \r \h  \* MERGEFORMAT </w:instrText>
      </w:r>
      <w:r>
        <w:rPr>
          <w:vertAlign w:val="superscript"/>
        </w:rPr>
        <w:fldChar w:fldCharType="separate"/>
      </w:r>
      <w:r>
        <w:rPr>
          <w:vertAlign w:val="superscript"/>
        </w:rPr>
        <w:t>[96</w:t>
      </w:r>
      <w:r>
        <w:rPr>
          <w:rFonts w:hint="eastAsia"/>
          <w:vertAlign w:val="superscript"/>
        </w:rPr>
        <w:t>-</w:t>
      </w:r>
      <w:r>
        <w:rPr>
          <w:vertAlign w:val="superscript"/>
        </w:rPr>
        <w:fldChar w:fldCharType="end"/>
      </w:r>
      <w:r>
        <w:rPr>
          <w:vertAlign w:val="superscript"/>
        </w:rPr>
        <w:fldChar w:fldCharType="begin" w:fldLock="1"/>
      </w:r>
      <w:r>
        <w:rPr>
          <w:vertAlign w:val="superscript"/>
        </w:rPr>
        <w:instrText xml:space="preserve"> REF _Ref225697641 \r \h  \* MERGEFORMAT </w:instrText>
      </w:r>
      <w:r>
        <w:rPr>
          <w:vertAlign w:val="superscript"/>
        </w:rPr>
        <w:fldChar w:fldCharType="separate"/>
      </w:r>
      <w:r>
        <w:rPr>
          <w:vertAlign w:val="superscript"/>
        </w:rPr>
        <w:t>97]</w:t>
      </w:r>
      <w:r>
        <w:rPr>
          <w:vertAlign w:val="superscript"/>
        </w:rPr>
        <w:fldChar w:fldCharType="end"/>
      </w:r>
      <w:r>
        <w:t>作为基于CybORG的网络攻防仿真环境，具备可交互、多区域和多智能体等特点。基于上述数据环境，本</w:t>
      </w:r>
      <w:r>
        <w:rPr>
          <w:rFonts w:hint="eastAsia"/>
        </w:rPr>
        <w:t>节</w:t>
      </w:r>
      <w:r>
        <w:t>从APT阶段</w:t>
      </w:r>
      <w:r>
        <w:rPr>
          <w:rFonts w:hint="eastAsia"/>
        </w:rPr>
        <w:t>演进</w:t>
      </w:r>
      <w:r>
        <w:t>、多智能体部署、强化学习训练要素、多区域场景支持和可交互性等方面进行比较，比较结果如表3.</w:t>
      </w:r>
      <w:r>
        <w:rPr>
          <w:rFonts w:hint="eastAsia"/>
        </w:rPr>
        <w:t>2</w:t>
      </w:r>
      <w:r>
        <w:t>所示。</w:t>
      </w:r>
    </w:p>
    <w:p w14:paraId="485C74CE">
      <w:pPr>
        <w:spacing w:line="400" w:lineRule="exact"/>
        <w:jc w:val="center"/>
        <w:rPr>
          <w:rFonts w:eastAsia="宋体" w:cs="Times New Roman"/>
          <w:sz w:val="21"/>
          <w:szCs w:val="21"/>
        </w:rPr>
      </w:pPr>
      <w:r>
        <w:rPr>
          <w:rFonts w:hint="eastAsia" w:eastAsia="宋体" w:cs="Times New Roman"/>
          <w:sz w:val="21"/>
          <w:szCs w:val="21"/>
        </w:rPr>
        <w:t>表3</w:t>
      </w:r>
      <w:r>
        <w:rPr>
          <w:rFonts w:eastAsia="宋体" w:cs="Times New Roman"/>
          <w:sz w:val="21"/>
          <w:szCs w:val="21"/>
        </w:rPr>
        <w:t>.</w:t>
      </w:r>
      <w:r>
        <w:rPr>
          <w:rFonts w:hint="eastAsia" w:eastAsia="宋体" w:cs="Times New Roman"/>
          <w:sz w:val="21"/>
          <w:szCs w:val="21"/>
        </w:rPr>
        <w:t>2</w:t>
      </w:r>
      <w:r>
        <w:rPr>
          <w:rFonts w:eastAsia="宋体" w:cs="Times New Roman"/>
          <w:sz w:val="21"/>
          <w:szCs w:val="21"/>
        </w:rPr>
        <w:t xml:space="preserve"> </w:t>
      </w:r>
      <w:r>
        <w:rPr>
          <w:rFonts w:hint="eastAsia" w:eastAsia="宋体" w:cs="Times New Roman"/>
          <w:sz w:val="21"/>
          <w:szCs w:val="21"/>
        </w:rPr>
        <w:t>现有APT相关数据集对比</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1"/>
        <w:gridCol w:w="1509"/>
        <w:gridCol w:w="1185"/>
        <w:gridCol w:w="1108"/>
        <w:gridCol w:w="1243"/>
        <w:gridCol w:w="1636"/>
      </w:tblGrid>
      <w:tr w14:paraId="27CE40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tcBorders>
              <w:top w:val="single" w:color="auto" w:sz="12" w:space="0"/>
              <w:bottom w:val="single" w:color="auto" w:sz="4" w:space="0"/>
            </w:tcBorders>
            <w:vAlign w:val="center"/>
          </w:tcPr>
          <w:p w14:paraId="15D74BDC">
            <w:pPr>
              <w:spacing w:line="288" w:lineRule="auto"/>
              <w:jc w:val="center"/>
              <w:rPr>
                <w:rFonts w:eastAsia="宋体" w:cs="Times New Roman"/>
                <w:sz w:val="21"/>
                <w:szCs w:val="21"/>
              </w:rPr>
            </w:pPr>
            <w:r>
              <w:rPr>
                <w:rFonts w:eastAsia="宋体" w:cs="Times New Roman"/>
                <w:sz w:val="21"/>
                <w:szCs w:val="21"/>
              </w:rPr>
              <w:t>数据集/环境</w:t>
            </w:r>
          </w:p>
        </w:tc>
        <w:tc>
          <w:tcPr>
            <w:tcW w:w="1525" w:type="dxa"/>
            <w:tcBorders>
              <w:top w:val="single" w:color="auto" w:sz="12" w:space="0"/>
              <w:bottom w:val="single" w:color="auto" w:sz="4" w:space="0"/>
            </w:tcBorders>
            <w:vAlign w:val="center"/>
          </w:tcPr>
          <w:p w14:paraId="7F85E9A5">
            <w:pPr>
              <w:spacing w:line="288" w:lineRule="auto"/>
              <w:jc w:val="center"/>
              <w:rPr>
                <w:rFonts w:eastAsia="宋体" w:cs="Times New Roman"/>
                <w:sz w:val="21"/>
                <w:szCs w:val="21"/>
              </w:rPr>
            </w:pPr>
            <w:r>
              <w:rPr>
                <w:rFonts w:eastAsia="宋体" w:cs="Times New Roman"/>
                <w:sz w:val="21"/>
                <w:szCs w:val="21"/>
              </w:rPr>
              <w:t>传统静态入侵检测数据集</w:t>
            </w:r>
          </w:p>
        </w:tc>
        <w:tc>
          <w:tcPr>
            <w:tcW w:w="1185" w:type="dxa"/>
            <w:tcBorders>
              <w:top w:val="single" w:color="auto" w:sz="12" w:space="0"/>
              <w:bottom w:val="single" w:color="auto" w:sz="4" w:space="0"/>
            </w:tcBorders>
            <w:vAlign w:val="center"/>
          </w:tcPr>
          <w:p w14:paraId="4F615E05">
            <w:pPr>
              <w:spacing w:line="288" w:lineRule="auto"/>
              <w:jc w:val="center"/>
              <w:rPr>
                <w:rFonts w:eastAsia="宋体" w:cs="Times New Roman"/>
                <w:sz w:val="21"/>
                <w:szCs w:val="21"/>
              </w:rPr>
            </w:pPr>
            <w:r>
              <w:rPr>
                <w:rFonts w:eastAsia="宋体" w:cs="Times New Roman"/>
                <w:sz w:val="21"/>
                <w:szCs w:val="21"/>
              </w:rPr>
              <w:t>DAPT2020</w:t>
            </w:r>
          </w:p>
        </w:tc>
        <w:tc>
          <w:tcPr>
            <w:tcW w:w="1109" w:type="dxa"/>
            <w:tcBorders>
              <w:top w:val="single" w:color="auto" w:sz="12" w:space="0"/>
              <w:bottom w:val="single" w:color="auto" w:sz="4" w:space="0"/>
            </w:tcBorders>
            <w:vAlign w:val="center"/>
          </w:tcPr>
          <w:p w14:paraId="6185E0F9">
            <w:pPr>
              <w:spacing w:line="288" w:lineRule="auto"/>
              <w:jc w:val="center"/>
              <w:rPr>
                <w:rFonts w:eastAsia="宋体" w:cs="Times New Roman"/>
                <w:sz w:val="21"/>
                <w:szCs w:val="21"/>
              </w:rPr>
            </w:pPr>
            <w:r>
              <w:rPr>
                <w:rFonts w:eastAsia="宋体" w:cs="Times New Roman"/>
                <w:sz w:val="21"/>
                <w:szCs w:val="21"/>
              </w:rPr>
              <w:t>CICAPT-</w:t>
            </w:r>
          </w:p>
          <w:p w14:paraId="6560C20D">
            <w:pPr>
              <w:spacing w:line="288" w:lineRule="auto"/>
              <w:jc w:val="center"/>
              <w:rPr>
                <w:rFonts w:eastAsia="宋体" w:cs="Times New Roman"/>
                <w:sz w:val="21"/>
                <w:szCs w:val="21"/>
              </w:rPr>
            </w:pPr>
            <w:r>
              <w:rPr>
                <w:rFonts w:eastAsia="宋体" w:cs="Times New Roman"/>
                <w:sz w:val="21"/>
                <w:szCs w:val="21"/>
              </w:rPr>
              <w:t>IIoT 2024</w:t>
            </w:r>
          </w:p>
        </w:tc>
        <w:tc>
          <w:tcPr>
            <w:tcW w:w="993" w:type="dxa"/>
            <w:tcBorders>
              <w:top w:val="single" w:color="auto" w:sz="12" w:space="0"/>
              <w:bottom w:val="single" w:color="auto" w:sz="4" w:space="0"/>
            </w:tcBorders>
            <w:vAlign w:val="center"/>
          </w:tcPr>
          <w:p w14:paraId="1F6C61E2">
            <w:pPr>
              <w:spacing w:line="288" w:lineRule="auto"/>
              <w:jc w:val="center"/>
              <w:rPr>
                <w:rFonts w:eastAsia="宋体" w:cs="Times New Roman"/>
                <w:sz w:val="21"/>
                <w:szCs w:val="21"/>
              </w:rPr>
            </w:pPr>
            <w:r>
              <w:rPr>
                <w:rFonts w:eastAsia="宋体" w:cs="Times New Roman"/>
                <w:sz w:val="21"/>
                <w:szCs w:val="21"/>
              </w:rPr>
              <w:t>UWF-</w:t>
            </w:r>
          </w:p>
          <w:p w14:paraId="4C015D90">
            <w:pPr>
              <w:spacing w:line="288" w:lineRule="auto"/>
              <w:jc w:val="center"/>
              <w:rPr>
                <w:rFonts w:eastAsia="宋体" w:cs="Times New Roman"/>
                <w:sz w:val="21"/>
                <w:szCs w:val="21"/>
              </w:rPr>
            </w:pPr>
            <w:r>
              <w:rPr>
                <w:rFonts w:eastAsia="宋体" w:cs="Times New Roman"/>
                <w:sz w:val="21"/>
                <w:szCs w:val="21"/>
              </w:rPr>
              <w:t>ZeekData22</w:t>
            </w:r>
          </w:p>
        </w:tc>
        <w:tc>
          <w:tcPr>
            <w:tcW w:w="1651" w:type="dxa"/>
            <w:tcBorders>
              <w:top w:val="single" w:color="auto" w:sz="12" w:space="0"/>
              <w:bottom w:val="single" w:color="auto" w:sz="4" w:space="0"/>
            </w:tcBorders>
            <w:vAlign w:val="center"/>
          </w:tcPr>
          <w:p w14:paraId="6B6F4C47">
            <w:pPr>
              <w:spacing w:line="288" w:lineRule="auto"/>
              <w:jc w:val="center"/>
              <w:rPr>
                <w:rFonts w:eastAsia="宋体" w:cs="Times New Roman"/>
                <w:sz w:val="21"/>
                <w:szCs w:val="21"/>
              </w:rPr>
            </w:pPr>
            <w:r>
              <w:rPr>
                <w:rFonts w:eastAsia="宋体" w:cs="Times New Roman"/>
                <w:sz w:val="21"/>
                <w:szCs w:val="21"/>
              </w:rPr>
              <w:t>CC4</w:t>
            </w:r>
          </w:p>
        </w:tc>
      </w:tr>
      <w:tr w14:paraId="14DBF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tcBorders>
              <w:top w:val="single" w:color="auto" w:sz="4" w:space="0"/>
            </w:tcBorders>
            <w:vAlign w:val="center"/>
          </w:tcPr>
          <w:p w14:paraId="2E884AAA">
            <w:pPr>
              <w:spacing w:line="288" w:lineRule="auto"/>
              <w:jc w:val="center"/>
              <w:rPr>
                <w:rFonts w:eastAsia="宋体" w:cs="Times New Roman"/>
                <w:sz w:val="21"/>
                <w:szCs w:val="21"/>
              </w:rPr>
            </w:pPr>
            <w:r>
              <w:rPr>
                <w:rFonts w:eastAsia="宋体" w:cs="Times New Roman"/>
                <w:sz w:val="21"/>
                <w:szCs w:val="21"/>
              </w:rPr>
              <w:t>数据形态</w:t>
            </w:r>
          </w:p>
        </w:tc>
        <w:tc>
          <w:tcPr>
            <w:tcW w:w="1525" w:type="dxa"/>
            <w:tcBorders>
              <w:top w:val="single" w:color="auto" w:sz="4" w:space="0"/>
            </w:tcBorders>
            <w:vAlign w:val="center"/>
          </w:tcPr>
          <w:p w14:paraId="34A92CC8">
            <w:pPr>
              <w:spacing w:line="288" w:lineRule="auto"/>
              <w:jc w:val="center"/>
              <w:rPr>
                <w:rFonts w:eastAsia="宋体" w:cs="Times New Roman"/>
                <w:sz w:val="21"/>
                <w:szCs w:val="21"/>
              </w:rPr>
            </w:pPr>
            <w:r>
              <w:rPr>
                <w:rFonts w:eastAsia="宋体" w:cs="Times New Roman"/>
                <w:sz w:val="21"/>
                <w:szCs w:val="21"/>
              </w:rPr>
              <w:t>静态流量</w:t>
            </w:r>
            <w:r>
              <w:rPr>
                <w:rFonts w:hint="eastAsia" w:eastAsia="宋体" w:cs="Times New Roman"/>
                <w:sz w:val="21"/>
                <w:szCs w:val="21"/>
              </w:rPr>
              <w:t>/</w:t>
            </w:r>
          </w:p>
          <w:p w14:paraId="3DA5208B">
            <w:pPr>
              <w:spacing w:line="288" w:lineRule="auto"/>
              <w:jc w:val="center"/>
              <w:rPr>
                <w:rFonts w:eastAsia="宋体" w:cs="Times New Roman"/>
                <w:sz w:val="21"/>
                <w:szCs w:val="21"/>
              </w:rPr>
            </w:pPr>
            <w:r>
              <w:rPr>
                <w:rFonts w:hint="eastAsia" w:eastAsia="宋体" w:cs="Times New Roman"/>
                <w:sz w:val="21"/>
                <w:szCs w:val="21"/>
              </w:rPr>
              <w:t>特征表</w:t>
            </w:r>
          </w:p>
        </w:tc>
        <w:tc>
          <w:tcPr>
            <w:tcW w:w="1185" w:type="dxa"/>
            <w:tcBorders>
              <w:top w:val="single" w:color="auto" w:sz="4" w:space="0"/>
            </w:tcBorders>
            <w:vAlign w:val="center"/>
          </w:tcPr>
          <w:p w14:paraId="02DE4499">
            <w:pPr>
              <w:spacing w:line="288" w:lineRule="auto"/>
              <w:jc w:val="center"/>
              <w:rPr>
                <w:rFonts w:eastAsia="宋体" w:cs="Times New Roman"/>
                <w:sz w:val="21"/>
                <w:szCs w:val="21"/>
              </w:rPr>
            </w:pPr>
            <w:r>
              <w:rPr>
                <w:rFonts w:eastAsia="宋体" w:cs="Times New Roman"/>
                <w:sz w:val="21"/>
                <w:szCs w:val="21"/>
              </w:rPr>
              <w:t>静态网络流量</w:t>
            </w:r>
          </w:p>
        </w:tc>
        <w:tc>
          <w:tcPr>
            <w:tcW w:w="1109" w:type="dxa"/>
            <w:tcBorders>
              <w:top w:val="single" w:color="auto" w:sz="4" w:space="0"/>
            </w:tcBorders>
            <w:vAlign w:val="center"/>
          </w:tcPr>
          <w:p w14:paraId="23FA5BBA">
            <w:pPr>
              <w:spacing w:line="288" w:lineRule="auto"/>
              <w:jc w:val="center"/>
              <w:rPr>
                <w:rFonts w:eastAsia="宋体" w:cs="Times New Roman"/>
                <w:sz w:val="21"/>
                <w:szCs w:val="21"/>
              </w:rPr>
            </w:pPr>
            <w:r>
              <w:rPr>
                <w:rFonts w:eastAsia="宋体" w:cs="Times New Roman"/>
                <w:sz w:val="21"/>
                <w:szCs w:val="21"/>
              </w:rPr>
              <w:t>静态网络日志</w:t>
            </w:r>
          </w:p>
        </w:tc>
        <w:tc>
          <w:tcPr>
            <w:tcW w:w="993" w:type="dxa"/>
            <w:tcBorders>
              <w:top w:val="single" w:color="auto" w:sz="4" w:space="0"/>
            </w:tcBorders>
            <w:vAlign w:val="center"/>
          </w:tcPr>
          <w:p w14:paraId="569DC69D">
            <w:pPr>
              <w:spacing w:line="288" w:lineRule="auto"/>
              <w:jc w:val="center"/>
              <w:rPr>
                <w:rFonts w:eastAsia="宋体" w:cs="Times New Roman"/>
                <w:sz w:val="21"/>
                <w:szCs w:val="21"/>
              </w:rPr>
            </w:pPr>
            <w:r>
              <w:rPr>
                <w:rFonts w:eastAsia="宋体" w:cs="Times New Roman"/>
                <w:sz w:val="21"/>
                <w:szCs w:val="21"/>
              </w:rPr>
              <w:t>静态Zeek日志</w:t>
            </w:r>
          </w:p>
        </w:tc>
        <w:tc>
          <w:tcPr>
            <w:tcW w:w="1651" w:type="dxa"/>
            <w:tcBorders>
              <w:top w:val="single" w:color="auto" w:sz="4" w:space="0"/>
            </w:tcBorders>
            <w:vAlign w:val="center"/>
          </w:tcPr>
          <w:p w14:paraId="33C81EE5">
            <w:pPr>
              <w:spacing w:line="288" w:lineRule="auto"/>
              <w:jc w:val="center"/>
              <w:rPr>
                <w:rFonts w:eastAsia="宋体" w:cs="Times New Roman"/>
                <w:sz w:val="21"/>
                <w:szCs w:val="21"/>
              </w:rPr>
            </w:pPr>
            <w:r>
              <w:rPr>
                <w:rFonts w:eastAsia="宋体" w:cs="Times New Roman"/>
                <w:sz w:val="21"/>
                <w:szCs w:val="21"/>
              </w:rPr>
              <w:t>交互生成的</w:t>
            </w:r>
          </w:p>
          <w:p w14:paraId="7DD94FEB">
            <w:pPr>
              <w:spacing w:line="288" w:lineRule="auto"/>
              <w:jc w:val="center"/>
              <w:rPr>
                <w:rFonts w:eastAsia="宋体" w:cs="Times New Roman"/>
                <w:sz w:val="21"/>
                <w:szCs w:val="21"/>
              </w:rPr>
            </w:pPr>
            <w:r>
              <w:rPr>
                <w:rFonts w:eastAsia="宋体" w:cs="Times New Roman"/>
                <w:sz w:val="21"/>
                <w:szCs w:val="21"/>
              </w:rPr>
              <w:t>时序轨迹数据</w:t>
            </w:r>
          </w:p>
        </w:tc>
      </w:tr>
      <w:tr w14:paraId="4F36F0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vAlign w:val="center"/>
          </w:tcPr>
          <w:p w14:paraId="55A8A538">
            <w:pPr>
              <w:spacing w:line="288" w:lineRule="auto"/>
              <w:jc w:val="center"/>
              <w:rPr>
                <w:rFonts w:eastAsia="宋体" w:cs="Times New Roman"/>
                <w:sz w:val="21"/>
                <w:szCs w:val="21"/>
              </w:rPr>
            </w:pPr>
            <w:r>
              <w:rPr>
                <w:rFonts w:eastAsia="宋体" w:cs="Times New Roman"/>
                <w:sz w:val="21"/>
                <w:szCs w:val="21"/>
              </w:rPr>
              <w:t>是否体现APT多阶段</w:t>
            </w:r>
            <w:r>
              <w:rPr>
                <w:rFonts w:hint="eastAsia" w:eastAsia="宋体" w:cs="Times New Roman"/>
                <w:sz w:val="21"/>
                <w:szCs w:val="21"/>
              </w:rPr>
              <w:t>演进</w:t>
            </w:r>
            <w:r>
              <w:rPr>
                <w:rFonts w:eastAsia="宋体" w:cs="Times New Roman"/>
                <w:sz w:val="21"/>
                <w:szCs w:val="21"/>
              </w:rPr>
              <w:t>过程</w:t>
            </w:r>
          </w:p>
        </w:tc>
        <w:tc>
          <w:tcPr>
            <w:tcW w:w="1525" w:type="dxa"/>
            <w:vAlign w:val="center"/>
          </w:tcPr>
          <w:p w14:paraId="41D728D0">
            <w:pPr>
              <w:spacing w:line="288" w:lineRule="auto"/>
              <w:jc w:val="center"/>
              <w:rPr>
                <w:rFonts w:eastAsia="宋体" w:cs="Times New Roman"/>
                <w:sz w:val="21"/>
                <w:szCs w:val="21"/>
              </w:rPr>
            </w:pPr>
            <w:r>
              <w:rPr>
                <w:rFonts w:eastAsia="Times New Roman" w:cs="Times New Roman"/>
                <w:b/>
              </w:rPr>
              <w:t>×</w:t>
            </w:r>
          </w:p>
        </w:tc>
        <w:tc>
          <w:tcPr>
            <w:tcW w:w="1185" w:type="dxa"/>
            <w:vAlign w:val="center"/>
          </w:tcPr>
          <w:p w14:paraId="76459ABC">
            <w:pPr>
              <w:spacing w:line="288" w:lineRule="auto"/>
              <w:jc w:val="center"/>
              <w:rPr>
                <w:rFonts w:eastAsia="宋体" w:cs="Times New Roman"/>
                <w:sz w:val="21"/>
                <w:szCs w:val="21"/>
              </w:rPr>
            </w:pPr>
            <w:r>
              <w:rPr>
                <w:rFonts w:hint="eastAsia" w:eastAsia="宋体" w:cs="Times New Roman"/>
                <w:sz w:val="21"/>
                <w:szCs w:val="21"/>
              </w:rPr>
              <w:t>部分</w:t>
            </w:r>
          </w:p>
        </w:tc>
        <w:tc>
          <w:tcPr>
            <w:tcW w:w="1109" w:type="dxa"/>
            <w:vAlign w:val="center"/>
          </w:tcPr>
          <w:p w14:paraId="674E2311">
            <w:pPr>
              <w:spacing w:line="288" w:lineRule="auto"/>
              <w:jc w:val="center"/>
              <w:rPr>
                <w:rFonts w:eastAsia="宋体" w:cs="Times New Roman"/>
                <w:sz w:val="21"/>
                <w:szCs w:val="21"/>
              </w:rPr>
            </w:pPr>
            <w:r>
              <w:rPr>
                <w:rFonts w:hint="eastAsia" w:eastAsia="宋体" w:cs="Times New Roman"/>
                <w:sz w:val="21"/>
                <w:szCs w:val="21"/>
              </w:rPr>
              <w:t>部分</w:t>
            </w:r>
          </w:p>
        </w:tc>
        <w:tc>
          <w:tcPr>
            <w:tcW w:w="993" w:type="dxa"/>
            <w:vAlign w:val="center"/>
          </w:tcPr>
          <w:p w14:paraId="3BA43E49">
            <w:pPr>
              <w:spacing w:line="288" w:lineRule="auto"/>
              <w:jc w:val="center"/>
              <w:rPr>
                <w:rFonts w:eastAsia="宋体" w:cs="Times New Roman"/>
                <w:sz w:val="21"/>
                <w:szCs w:val="21"/>
              </w:rPr>
            </w:pPr>
            <w:r>
              <w:rPr>
                <w:rFonts w:hint="eastAsia" w:eastAsia="宋体" w:cs="Times New Roman"/>
                <w:sz w:val="21"/>
                <w:szCs w:val="21"/>
              </w:rPr>
              <w:t>部分</w:t>
            </w:r>
          </w:p>
        </w:tc>
        <w:tc>
          <w:tcPr>
            <w:tcW w:w="1651" w:type="dxa"/>
            <w:vAlign w:val="center"/>
          </w:tcPr>
          <w:p w14:paraId="26F63AB5">
            <w:pPr>
              <w:spacing w:line="288" w:lineRule="auto"/>
              <w:jc w:val="center"/>
              <w:rPr>
                <w:rFonts w:eastAsia="宋体" w:cs="Times New Roman"/>
                <w:sz w:val="21"/>
                <w:szCs w:val="21"/>
              </w:rPr>
            </w:pPr>
            <w:r>
              <w:rPr>
                <w:rFonts w:eastAsia="Times New Roman" w:cs="Times New Roman"/>
                <w:b/>
              </w:rPr>
              <w:t>√</w:t>
            </w:r>
          </w:p>
        </w:tc>
      </w:tr>
      <w:tr w14:paraId="55DD82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vAlign w:val="center"/>
          </w:tcPr>
          <w:p w14:paraId="09B406B6">
            <w:pPr>
              <w:spacing w:line="288" w:lineRule="auto"/>
              <w:jc w:val="center"/>
              <w:rPr>
                <w:rFonts w:eastAsia="宋体" w:cs="Times New Roman"/>
                <w:sz w:val="21"/>
                <w:szCs w:val="21"/>
              </w:rPr>
            </w:pPr>
            <w:r>
              <w:rPr>
                <w:rFonts w:eastAsia="宋体" w:cs="Times New Roman"/>
                <w:sz w:val="21"/>
                <w:szCs w:val="21"/>
              </w:rPr>
              <w:t>是否支持多智能体部署</w:t>
            </w:r>
          </w:p>
        </w:tc>
        <w:tc>
          <w:tcPr>
            <w:tcW w:w="1525" w:type="dxa"/>
            <w:vAlign w:val="center"/>
          </w:tcPr>
          <w:p w14:paraId="5A7222CC">
            <w:pPr>
              <w:spacing w:line="288" w:lineRule="auto"/>
              <w:jc w:val="center"/>
              <w:rPr>
                <w:rFonts w:eastAsia="宋体" w:cs="Times New Roman"/>
                <w:sz w:val="21"/>
                <w:szCs w:val="21"/>
              </w:rPr>
            </w:pPr>
            <w:r>
              <w:rPr>
                <w:rFonts w:eastAsia="Times New Roman" w:cs="Times New Roman"/>
                <w:b/>
              </w:rPr>
              <w:t>×</w:t>
            </w:r>
          </w:p>
        </w:tc>
        <w:tc>
          <w:tcPr>
            <w:tcW w:w="1185" w:type="dxa"/>
            <w:vAlign w:val="center"/>
          </w:tcPr>
          <w:p w14:paraId="67ADCC2A">
            <w:pPr>
              <w:spacing w:line="288" w:lineRule="auto"/>
              <w:jc w:val="center"/>
              <w:rPr>
                <w:rFonts w:eastAsia="宋体" w:cs="Times New Roman"/>
                <w:sz w:val="21"/>
                <w:szCs w:val="21"/>
              </w:rPr>
            </w:pPr>
            <w:r>
              <w:rPr>
                <w:rFonts w:eastAsia="Times New Roman" w:cs="Times New Roman"/>
                <w:b/>
              </w:rPr>
              <w:t>×</w:t>
            </w:r>
          </w:p>
        </w:tc>
        <w:tc>
          <w:tcPr>
            <w:tcW w:w="1109" w:type="dxa"/>
            <w:vAlign w:val="center"/>
          </w:tcPr>
          <w:p w14:paraId="117E6238">
            <w:pPr>
              <w:spacing w:line="288" w:lineRule="auto"/>
              <w:jc w:val="center"/>
              <w:rPr>
                <w:rFonts w:eastAsia="宋体" w:cs="Times New Roman"/>
                <w:sz w:val="21"/>
                <w:szCs w:val="21"/>
              </w:rPr>
            </w:pPr>
            <w:r>
              <w:rPr>
                <w:rFonts w:eastAsia="Times New Roman" w:cs="Times New Roman"/>
                <w:b/>
              </w:rPr>
              <w:t>×</w:t>
            </w:r>
          </w:p>
        </w:tc>
        <w:tc>
          <w:tcPr>
            <w:tcW w:w="993" w:type="dxa"/>
            <w:vAlign w:val="center"/>
          </w:tcPr>
          <w:p w14:paraId="388AB498">
            <w:pPr>
              <w:spacing w:line="288" w:lineRule="auto"/>
              <w:jc w:val="center"/>
              <w:rPr>
                <w:rFonts w:eastAsia="宋体" w:cs="Times New Roman"/>
                <w:sz w:val="21"/>
                <w:szCs w:val="21"/>
              </w:rPr>
            </w:pPr>
            <w:r>
              <w:rPr>
                <w:rFonts w:eastAsia="Times New Roman" w:cs="Times New Roman"/>
                <w:b/>
              </w:rPr>
              <w:t>×</w:t>
            </w:r>
          </w:p>
        </w:tc>
        <w:tc>
          <w:tcPr>
            <w:tcW w:w="1651" w:type="dxa"/>
            <w:vAlign w:val="center"/>
          </w:tcPr>
          <w:p w14:paraId="3C3EF22D">
            <w:pPr>
              <w:spacing w:line="288" w:lineRule="auto"/>
              <w:jc w:val="center"/>
              <w:rPr>
                <w:rFonts w:eastAsia="宋体" w:cs="Times New Roman"/>
                <w:sz w:val="21"/>
                <w:szCs w:val="21"/>
              </w:rPr>
            </w:pPr>
            <w:r>
              <w:rPr>
                <w:rFonts w:eastAsia="Times New Roman" w:cs="Times New Roman"/>
                <w:b/>
              </w:rPr>
              <w:t>√</w:t>
            </w:r>
          </w:p>
        </w:tc>
      </w:tr>
      <w:tr w14:paraId="15B665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vAlign w:val="center"/>
          </w:tcPr>
          <w:p w14:paraId="2DEC5C35">
            <w:pPr>
              <w:spacing w:line="288" w:lineRule="auto"/>
              <w:jc w:val="center"/>
              <w:rPr>
                <w:rFonts w:eastAsia="宋体" w:cs="Times New Roman"/>
                <w:sz w:val="21"/>
                <w:szCs w:val="21"/>
              </w:rPr>
            </w:pPr>
            <w:r>
              <w:rPr>
                <w:rFonts w:eastAsia="宋体" w:cs="Times New Roman"/>
                <w:sz w:val="21"/>
                <w:szCs w:val="21"/>
              </w:rPr>
              <w:t>是否具备强化学习训练要素</w:t>
            </w:r>
          </w:p>
        </w:tc>
        <w:tc>
          <w:tcPr>
            <w:tcW w:w="1525" w:type="dxa"/>
            <w:vAlign w:val="center"/>
          </w:tcPr>
          <w:p w14:paraId="5F9A19CB">
            <w:pPr>
              <w:spacing w:line="288" w:lineRule="auto"/>
              <w:jc w:val="center"/>
              <w:rPr>
                <w:rFonts w:eastAsia="宋体" w:cs="Times New Roman"/>
                <w:sz w:val="21"/>
                <w:szCs w:val="21"/>
              </w:rPr>
            </w:pPr>
            <w:r>
              <w:rPr>
                <w:rFonts w:eastAsia="Times New Roman" w:cs="Times New Roman"/>
                <w:b/>
              </w:rPr>
              <w:t>×</w:t>
            </w:r>
          </w:p>
        </w:tc>
        <w:tc>
          <w:tcPr>
            <w:tcW w:w="1185" w:type="dxa"/>
            <w:vAlign w:val="center"/>
          </w:tcPr>
          <w:p w14:paraId="35DC77F5">
            <w:pPr>
              <w:spacing w:line="288" w:lineRule="auto"/>
              <w:jc w:val="center"/>
              <w:rPr>
                <w:rFonts w:eastAsia="宋体" w:cs="Times New Roman"/>
                <w:sz w:val="21"/>
                <w:szCs w:val="21"/>
              </w:rPr>
            </w:pPr>
            <w:r>
              <w:rPr>
                <w:rFonts w:eastAsia="Times New Roman" w:cs="Times New Roman"/>
                <w:b/>
              </w:rPr>
              <w:t>×</w:t>
            </w:r>
          </w:p>
        </w:tc>
        <w:tc>
          <w:tcPr>
            <w:tcW w:w="1109" w:type="dxa"/>
            <w:vAlign w:val="center"/>
          </w:tcPr>
          <w:p w14:paraId="65F2CB77">
            <w:pPr>
              <w:spacing w:line="288" w:lineRule="auto"/>
              <w:jc w:val="center"/>
              <w:rPr>
                <w:rFonts w:eastAsia="宋体" w:cs="Times New Roman"/>
                <w:sz w:val="21"/>
                <w:szCs w:val="21"/>
              </w:rPr>
            </w:pPr>
            <w:r>
              <w:rPr>
                <w:rFonts w:eastAsia="Times New Roman" w:cs="Times New Roman"/>
                <w:b/>
              </w:rPr>
              <w:t>×</w:t>
            </w:r>
          </w:p>
        </w:tc>
        <w:tc>
          <w:tcPr>
            <w:tcW w:w="993" w:type="dxa"/>
            <w:vAlign w:val="center"/>
          </w:tcPr>
          <w:p w14:paraId="2E748FCA">
            <w:pPr>
              <w:spacing w:line="288" w:lineRule="auto"/>
              <w:jc w:val="center"/>
              <w:rPr>
                <w:rFonts w:eastAsia="宋体" w:cs="Times New Roman"/>
                <w:sz w:val="21"/>
                <w:szCs w:val="21"/>
              </w:rPr>
            </w:pPr>
            <w:r>
              <w:rPr>
                <w:rFonts w:eastAsia="Times New Roman" w:cs="Times New Roman"/>
                <w:b/>
              </w:rPr>
              <w:t>×</w:t>
            </w:r>
          </w:p>
        </w:tc>
        <w:tc>
          <w:tcPr>
            <w:tcW w:w="1651" w:type="dxa"/>
            <w:vAlign w:val="center"/>
          </w:tcPr>
          <w:p w14:paraId="48BD0004">
            <w:pPr>
              <w:spacing w:line="288" w:lineRule="auto"/>
              <w:jc w:val="center"/>
              <w:rPr>
                <w:rFonts w:eastAsia="宋体" w:cs="Times New Roman"/>
                <w:sz w:val="21"/>
                <w:szCs w:val="21"/>
              </w:rPr>
            </w:pPr>
            <w:r>
              <w:rPr>
                <w:rFonts w:eastAsia="Times New Roman" w:cs="Times New Roman"/>
                <w:b/>
              </w:rPr>
              <w:t>√</w:t>
            </w:r>
          </w:p>
        </w:tc>
      </w:tr>
      <w:tr w14:paraId="50F631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vAlign w:val="center"/>
          </w:tcPr>
          <w:p w14:paraId="116C6D33">
            <w:pPr>
              <w:spacing w:line="288" w:lineRule="auto"/>
              <w:jc w:val="center"/>
              <w:rPr>
                <w:rFonts w:eastAsia="宋体" w:cs="Times New Roman"/>
                <w:sz w:val="21"/>
                <w:szCs w:val="21"/>
              </w:rPr>
            </w:pPr>
            <w:r>
              <w:rPr>
                <w:rFonts w:eastAsia="宋体" w:cs="Times New Roman"/>
                <w:sz w:val="21"/>
                <w:szCs w:val="21"/>
              </w:rPr>
              <w:t>是否支持多区域场景建模</w:t>
            </w:r>
          </w:p>
        </w:tc>
        <w:tc>
          <w:tcPr>
            <w:tcW w:w="1525" w:type="dxa"/>
            <w:vAlign w:val="center"/>
          </w:tcPr>
          <w:p w14:paraId="07A5FD72">
            <w:pPr>
              <w:spacing w:line="288" w:lineRule="auto"/>
              <w:jc w:val="center"/>
              <w:rPr>
                <w:rFonts w:eastAsia="宋体" w:cs="Times New Roman"/>
                <w:sz w:val="21"/>
                <w:szCs w:val="21"/>
              </w:rPr>
            </w:pPr>
            <w:r>
              <w:rPr>
                <w:rFonts w:eastAsia="Times New Roman" w:cs="Times New Roman"/>
                <w:b/>
              </w:rPr>
              <w:t>×</w:t>
            </w:r>
          </w:p>
        </w:tc>
        <w:tc>
          <w:tcPr>
            <w:tcW w:w="1185" w:type="dxa"/>
            <w:vAlign w:val="center"/>
          </w:tcPr>
          <w:p w14:paraId="05F8AF92">
            <w:pPr>
              <w:spacing w:line="288" w:lineRule="auto"/>
              <w:jc w:val="center"/>
              <w:rPr>
                <w:rFonts w:eastAsia="宋体" w:cs="Times New Roman"/>
                <w:sz w:val="21"/>
                <w:szCs w:val="21"/>
              </w:rPr>
            </w:pPr>
            <w:r>
              <w:rPr>
                <w:rFonts w:eastAsia="Times New Roman" w:cs="Times New Roman"/>
                <w:b/>
              </w:rPr>
              <w:t>×</w:t>
            </w:r>
          </w:p>
        </w:tc>
        <w:tc>
          <w:tcPr>
            <w:tcW w:w="1109" w:type="dxa"/>
            <w:vAlign w:val="center"/>
          </w:tcPr>
          <w:p w14:paraId="30742D83">
            <w:pPr>
              <w:spacing w:line="288" w:lineRule="auto"/>
              <w:jc w:val="center"/>
              <w:rPr>
                <w:rFonts w:eastAsia="宋体" w:cs="Times New Roman"/>
                <w:sz w:val="21"/>
                <w:szCs w:val="21"/>
              </w:rPr>
            </w:pPr>
            <w:r>
              <w:rPr>
                <w:rFonts w:eastAsia="Times New Roman" w:cs="Times New Roman"/>
                <w:b/>
              </w:rPr>
              <w:t>×</w:t>
            </w:r>
          </w:p>
        </w:tc>
        <w:tc>
          <w:tcPr>
            <w:tcW w:w="993" w:type="dxa"/>
            <w:vAlign w:val="center"/>
          </w:tcPr>
          <w:p w14:paraId="7402BA47">
            <w:pPr>
              <w:spacing w:line="288" w:lineRule="auto"/>
              <w:jc w:val="center"/>
              <w:rPr>
                <w:rFonts w:eastAsia="宋体" w:cs="Times New Roman"/>
                <w:sz w:val="21"/>
                <w:szCs w:val="21"/>
              </w:rPr>
            </w:pPr>
            <w:r>
              <w:rPr>
                <w:rFonts w:eastAsia="Times New Roman" w:cs="Times New Roman"/>
                <w:b/>
              </w:rPr>
              <w:t>×</w:t>
            </w:r>
          </w:p>
        </w:tc>
        <w:tc>
          <w:tcPr>
            <w:tcW w:w="1651" w:type="dxa"/>
            <w:vAlign w:val="center"/>
          </w:tcPr>
          <w:p w14:paraId="27B11EC5">
            <w:pPr>
              <w:spacing w:line="288" w:lineRule="auto"/>
              <w:jc w:val="center"/>
              <w:rPr>
                <w:rFonts w:eastAsia="宋体" w:cs="Times New Roman"/>
                <w:sz w:val="21"/>
                <w:szCs w:val="21"/>
              </w:rPr>
            </w:pPr>
            <w:r>
              <w:rPr>
                <w:rFonts w:eastAsia="Times New Roman" w:cs="Times New Roman"/>
                <w:b/>
              </w:rPr>
              <w:t>√</w:t>
            </w:r>
          </w:p>
        </w:tc>
      </w:tr>
      <w:tr w14:paraId="53EC9C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60" w:type="dxa"/>
            <w:vAlign w:val="center"/>
          </w:tcPr>
          <w:p w14:paraId="68C0C632">
            <w:pPr>
              <w:spacing w:line="288" w:lineRule="auto"/>
              <w:jc w:val="center"/>
              <w:rPr>
                <w:rFonts w:eastAsia="宋体" w:cs="Times New Roman"/>
                <w:sz w:val="21"/>
                <w:szCs w:val="21"/>
              </w:rPr>
            </w:pPr>
            <w:r>
              <w:rPr>
                <w:rFonts w:eastAsia="宋体" w:cs="Times New Roman"/>
                <w:sz w:val="21"/>
                <w:szCs w:val="21"/>
              </w:rPr>
              <w:t>是否可交互</w:t>
            </w:r>
          </w:p>
        </w:tc>
        <w:tc>
          <w:tcPr>
            <w:tcW w:w="1525" w:type="dxa"/>
            <w:vAlign w:val="center"/>
          </w:tcPr>
          <w:p w14:paraId="468050A5">
            <w:pPr>
              <w:spacing w:line="288" w:lineRule="auto"/>
              <w:jc w:val="center"/>
              <w:rPr>
                <w:rFonts w:eastAsia="宋体" w:cs="Times New Roman"/>
                <w:sz w:val="21"/>
                <w:szCs w:val="21"/>
              </w:rPr>
            </w:pPr>
            <w:r>
              <w:rPr>
                <w:rFonts w:eastAsia="Times New Roman" w:cs="Times New Roman"/>
                <w:b/>
              </w:rPr>
              <w:t>×</w:t>
            </w:r>
          </w:p>
        </w:tc>
        <w:tc>
          <w:tcPr>
            <w:tcW w:w="1185" w:type="dxa"/>
            <w:vAlign w:val="center"/>
          </w:tcPr>
          <w:p w14:paraId="43A293AC">
            <w:pPr>
              <w:spacing w:line="288" w:lineRule="auto"/>
              <w:jc w:val="center"/>
              <w:rPr>
                <w:rFonts w:eastAsia="宋体" w:cs="Times New Roman"/>
                <w:sz w:val="21"/>
                <w:szCs w:val="21"/>
              </w:rPr>
            </w:pPr>
            <w:r>
              <w:rPr>
                <w:rFonts w:eastAsia="Times New Roman" w:cs="Times New Roman"/>
                <w:b/>
              </w:rPr>
              <w:t>×</w:t>
            </w:r>
          </w:p>
        </w:tc>
        <w:tc>
          <w:tcPr>
            <w:tcW w:w="1109" w:type="dxa"/>
            <w:vAlign w:val="center"/>
          </w:tcPr>
          <w:p w14:paraId="4F07FD22">
            <w:pPr>
              <w:spacing w:line="288" w:lineRule="auto"/>
              <w:jc w:val="center"/>
              <w:rPr>
                <w:rFonts w:eastAsia="宋体" w:cs="Times New Roman"/>
                <w:sz w:val="21"/>
                <w:szCs w:val="21"/>
              </w:rPr>
            </w:pPr>
            <w:r>
              <w:rPr>
                <w:rFonts w:eastAsia="Times New Roman" w:cs="Times New Roman"/>
                <w:b/>
              </w:rPr>
              <w:t>×</w:t>
            </w:r>
          </w:p>
        </w:tc>
        <w:tc>
          <w:tcPr>
            <w:tcW w:w="993" w:type="dxa"/>
            <w:vAlign w:val="center"/>
          </w:tcPr>
          <w:p w14:paraId="0086DE6B">
            <w:pPr>
              <w:spacing w:line="288" w:lineRule="auto"/>
              <w:jc w:val="center"/>
              <w:rPr>
                <w:rFonts w:cs="Times New Roman" w:eastAsiaTheme="minorEastAsia"/>
                <w:sz w:val="21"/>
                <w:szCs w:val="21"/>
              </w:rPr>
            </w:pPr>
            <w:r>
              <w:rPr>
                <w:rFonts w:eastAsia="Times New Roman" w:cs="Times New Roman"/>
                <w:b/>
              </w:rPr>
              <w:t>×</w:t>
            </w:r>
          </w:p>
        </w:tc>
        <w:tc>
          <w:tcPr>
            <w:tcW w:w="1651" w:type="dxa"/>
            <w:vAlign w:val="center"/>
          </w:tcPr>
          <w:p w14:paraId="510F52E9">
            <w:pPr>
              <w:spacing w:line="288" w:lineRule="auto"/>
              <w:jc w:val="center"/>
              <w:rPr>
                <w:rFonts w:cs="Times New Roman" w:eastAsiaTheme="minorEastAsia"/>
                <w:sz w:val="21"/>
                <w:szCs w:val="21"/>
              </w:rPr>
            </w:pPr>
            <w:r>
              <w:rPr>
                <w:rFonts w:eastAsia="Times New Roman" w:cs="Times New Roman"/>
                <w:b/>
              </w:rPr>
              <w:t>√</w:t>
            </w:r>
          </w:p>
        </w:tc>
      </w:tr>
    </w:tbl>
    <w:p w14:paraId="1183F4B1">
      <w:pPr>
        <w:spacing w:before="156" w:beforeLines="50"/>
        <w:ind w:firstLine="480" w:firstLineChars="200"/>
      </w:pPr>
      <w:r>
        <w:t>从表3.</w:t>
      </w:r>
      <w:r>
        <w:rPr>
          <w:rFonts w:hint="eastAsia"/>
        </w:rPr>
        <w:t>2</w:t>
      </w:r>
      <w:r>
        <w:t>的比较结果可以看出，传统静态入侵检测数据集主要面向离线分类任务，难以体现APT攻击的持续</w:t>
      </w:r>
      <w:r>
        <w:rPr>
          <w:rFonts w:hint="eastAsia"/>
        </w:rPr>
        <w:t>演进</w:t>
      </w:r>
      <w:r>
        <w:t>过程，也不具备多区域、多智能体和可交互等特征</w:t>
      </w:r>
      <w:r>
        <w:rPr>
          <w:rFonts w:hint="eastAsia"/>
        </w:rPr>
        <w:t>，因此不适用于针对新型电力系统的APT跨区域检测任务</w:t>
      </w:r>
      <w:r>
        <w:t>。</w:t>
      </w:r>
      <w:r>
        <w:rPr>
          <w:rFonts w:hint="eastAsia"/>
        </w:rPr>
        <w:t>而</w:t>
      </w:r>
      <w:r>
        <w:t>APT相关静态数据集虽然较传统静态数据集更接近APT场景，能够提供一定的APT阶段信息，但其本质上仍属于静态数据，主要面向离线分析与监督学习，难以体现跨区域交互过程</w:t>
      </w:r>
      <w:r>
        <w:rPr>
          <w:rFonts w:hint="eastAsia"/>
        </w:rPr>
        <w:t>与</w:t>
      </w:r>
      <w:r>
        <w:t>在线决策。相比之下，CC4不仅能够在同一环境中形成较完整的APT攻击链，还具备多区域网络结构、多智能体部署以及可持续交互生成时序轨迹等特点，更符合本文对</w:t>
      </w:r>
      <w:r>
        <w:rPr>
          <w:rFonts w:hint="eastAsia"/>
        </w:rPr>
        <w:t>APT多区</w:t>
      </w:r>
      <w:r>
        <w:t>域协同检测的实验需求。因此，本文选取CC4作为主要实验环境，并在该环境下对所提方法进行统一验证。</w:t>
      </w:r>
    </w:p>
    <w:p w14:paraId="7A35CDF6">
      <w:pPr>
        <w:ind w:firstLine="482" w:firstLineChars="200"/>
        <w:rPr>
          <w:b/>
          <w:bCs/>
        </w:rPr>
      </w:pPr>
      <w:r>
        <w:rPr>
          <w:rFonts w:hint="eastAsia"/>
          <w:b/>
          <w:bCs/>
        </w:rPr>
        <w:t>（2）CC4实验环境概述</w:t>
      </w:r>
    </w:p>
    <w:p w14:paraId="1DB89306">
      <w:pPr>
        <w:ind w:firstLine="480" w:firstLineChars="200"/>
      </w:pPr>
      <w:r>
        <w:t>CAGE Challenge 4（CC4）是TTCP CAGE工作组</w:t>
      </w:r>
      <w:r>
        <w:rPr>
          <w:rFonts w:hint="eastAsia"/>
        </w:rPr>
        <w:t>于2024年</w:t>
      </w:r>
      <w:r>
        <w:t>构建的、基于Cyber Operations Research Gym（CybORG）的网络攻防仿真环境。与传统静态流量数据集不同，CC4能够通过与环境持续交互生成包含状态、动作、奖励和告警等信息的时序轨迹，既可用于在线强化学习训练，也可导出为离线分析数据。因此，CC4不仅能够体现APT攻击的持续</w:t>
      </w:r>
      <w:r>
        <w:rPr>
          <w:rFonts w:hint="eastAsia"/>
        </w:rPr>
        <w:t>演进</w:t>
      </w:r>
      <w:r>
        <w:t>过程，还同时具备多区域、多智能体和可交互等</w:t>
      </w:r>
      <w:r>
        <w:rPr>
          <w:rFonts w:hint="eastAsia"/>
        </w:rPr>
        <w:t>特性</w:t>
      </w:r>
      <w:r>
        <w:t>，适合作为本文实验验证的统一环境。</w:t>
      </w:r>
    </w:p>
    <w:p w14:paraId="4A4415B0">
      <w:pPr>
        <w:jc w:val="center"/>
      </w:pPr>
      <w:r>
        <w:object>
          <v:shape id="_x0000_i1172" o:spt="75" type="#_x0000_t75" style="height:311.9pt;width:211.7pt;" o:ole="t" filled="f" o:preferrelative="t" stroked="f" coordsize="21600,21600">
            <v:path/>
            <v:fill on="f" focussize="0,0"/>
            <v:stroke on="f" joinstyle="miter"/>
            <v:imagedata r:id="rId290" o:title=""/>
            <o:lock v:ext="edit" aspectratio="t"/>
            <w10:wrap type="none"/>
            <w10:anchorlock/>
          </v:shape>
          <o:OLEObject Type="Embed" ProgID="Visio.Drawing.15" ShapeID="_x0000_i1172" DrawAspect="Content" ObjectID="_1468075872" r:id="rId289">
            <o:LockedField>false</o:LockedField>
          </o:OLEObject>
        </w:object>
      </w:r>
    </w:p>
    <w:p w14:paraId="1A5B1326">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3</w:t>
      </w:r>
      <w:r>
        <w:rPr>
          <w:rFonts w:cs="Times New Roman"/>
          <w:sz w:val="21"/>
          <w:szCs w:val="21"/>
        </w:rPr>
        <w:t>.</w:t>
      </w:r>
      <w:r>
        <w:rPr>
          <w:rFonts w:hint="eastAsia" w:cs="Times New Roman"/>
          <w:sz w:val="21"/>
          <w:szCs w:val="21"/>
        </w:rPr>
        <w:t>2</w:t>
      </w:r>
      <w:r>
        <w:rPr>
          <w:rFonts w:cs="Times New Roman"/>
          <w:sz w:val="21"/>
          <w:szCs w:val="21"/>
        </w:rPr>
        <w:t xml:space="preserve"> </w:t>
      </w:r>
      <w:r>
        <w:rPr>
          <w:rFonts w:hint="eastAsia" w:cs="Times New Roman"/>
          <w:sz w:val="21"/>
          <w:szCs w:val="21"/>
        </w:rPr>
        <w:t>CC4实验环境结构</w:t>
      </w:r>
    </w:p>
    <w:p w14:paraId="4CED0527">
      <w:pPr>
        <w:ind w:firstLine="480" w:firstLineChars="200"/>
      </w:pPr>
      <w:r>
        <w:t>CC4面向企业级工控网络防护场景构建，其网络结构具有较清晰的层级划分和区域边界，与新型电力系统信息侧网络中“省级中心</w:t>
      </w:r>
      <w:r>
        <w:rPr>
          <w:rFonts w:hint="eastAsia"/>
        </w:rPr>
        <w:t>-</w:t>
      </w:r>
      <w:r>
        <w:t>区域单位</w:t>
      </w:r>
      <w:r>
        <w:rPr>
          <w:rFonts w:hint="eastAsia"/>
        </w:rPr>
        <w:t>-</w:t>
      </w:r>
      <w:r>
        <w:t>外部第三方”的组织方式较为接近。因此，本文将其中的总部网络视为省级电网公司调控中心的信息侧网络，包含省级中心控制区、企业区和非军事区；将部署网络A、B视为两个区域供电公司的信息侧网络，包含区域控制区和企业区；将承包商网络视为新能源售电企业</w:t>
      </w:r>
      <w:r>
        <w:rPr>
          <w:rFonts w:hint="eastAsia"/>
        </w:rPr>
        <w:t>的</w:t>
      </w:r>
      <w:r>
        <w:t>运维支撑网络。通过上述映射，CC4能够较好体现新型电力系统中省级中心、区域单位和外部支撑主体之间的层级关系及功能划分</w:t>
      </w:r>
      <w:r>
        <w:rPr>
          <w:rFonts w:hint="eastAsia"/>
        </w:rPr>
        <w:t>，具体实验环境及区域结构如图3.2所示。</w:t>
      </w:r>
    </w:p>
    <w:p w14:paraId="72274893">
      <w:pPr>
        <w:ind w:firstLine="480" w:firstLineChars="200"/>
      </w:pPr>
      <w:r>
        <w:t>CC4环境中包含红方、蓝方和绿方三类智能体。红方智能体负责实施攻击，通常从新能源售电企业运维支撑网络中的已沦陷主机出发，依次实施扫描、服务探测、远程利用、权限提升、横向移动和关键服务破坏等行为，从而形成较完整的APT攻击链。蓝方智能体负责分区域防御，环境中共设置5个蓝方，分别分布于省级中心信息侧网络及两个区域供电公司信息侧网络，各蓝方仅能观测本区域状态，但共享整体防御目标。绿方智能体对应正常业务活动，其运行状态会直接影响环境奖励。</w:t>
      </w:r>
    </w:p>
    <w:p w14:paraId="69D7A364">
      <w:pPr>
        <w:ind w:firstLine="480" w:firstLineChars="200"/>
      </w:pPr>
      <w:r>
        <w:t>在此基础上，红方的APT攻击路径既可以由外部运维支撑网络经区域公司信息侧网络逐步扩展至省级中心信息侧网络，也可以先进入省级中心信息侧网络，再向区域侧继续渗透。这种由外部接入、跨区域扩展并逐步接近关键业务区域的攻击方式，与新型电力系统APT攻击的跨区域渗透特征较为一致。</w:t>
      </w:r>
      <w:r>
        <w:rPr>
          <w:rFonts w:hint="eastAsia"/>
        </w:rPr>
        <w:t>此外</w:t>
      </w:r>
      <w:r>
        <w:t>，蓝方的分区域观测与协同防御设定，也</w:t>
      </w:r>
      <w:r>
        <w:rPr>
          <w:rFonts w:hint="eastAsia"/>
        </w:rPr>
        <w:t>能够</w:t>
      </w:r>
      <w:r>
        <w:t>为</w:t>
      </w:r>
      <w:r>
        <w:rPr>
          <w:rFonts w:hint="eastAsia"/>
        </w:rPr>
        <w:t>本文</w:t>
      </w:r>
      <w:r>
        <w:t>后续开展域内检测和跨域协同检测实验提供较为合适的验证基础。</w:t>
      </w:r>
    </w:p>
    <w:p w14:paraId="486BFDDC">
      <w:pPr>
        <w:pStyle w:val="4"/>
      </w:pPr>
      <w:bookmarkStart w:id="55" w:name="_Toc230086362"/>
      <w:r>
        <w:rPr>
          <w:rFonts w:hint="eastAsia"/>
        </w:rPr>
        <w:t>3.4.3 对比文献</w:t>
      </w:r>
      <w:bookmarkEnd w:id="55"/>
    </w:p>
    <w:p w14:paraId="71F6C58C">
      <w:pPr>
        <w:ind w:firstLine="480" w:firstLineChars="200"/>
      </w:pPr>
      <w:r>
        <w:rPr>
          <w:rFonts w:hint="eastAsia"/>
        </w:rPr>
        <w:t>为验证本文提出的特征选择方法的有效性，本章选取三篇具有代表性的在线特征选择文献方法作为对比，分别为OFSVF</w:t>
      </w:r>
      <w:r>
        <w:rPr>
          <w:vertAlign w:val="superscript"/>
        </w:rPr>
        <w:fldChar w:fldCharType="begin" w:fldLock="1"/>
      </w:r>
      <w:r>
        <w:rPr>
          <w:vertAlign w:val="superscript"/>
        </w:rPr>
        <w:instrText xml:space="preserve"> </w:instrText>
      </w:r>
      <w:r>
        <w:rPr>
          <w:rFonts w:hint="eastAsia"/>
          <w:vertAlign w:val="superscript"/>
        </w:rPr>
        <w:instrText xml:space="preserve">REF _Ref225361897 \r \h</w:instrText>
      </w:r>
      <w:r>
        <w:rPr>
          <w:vertAlign w:val="superscript"/>
        </w:rPr>
        <w:instrText xml:space="preserve">  \* MERGEFORMAT </w:instrText>
      </w:r>
      <w:r>
        <w:rPr>
          <w:vertAlign w:val="superscript"/>
        </w:rPr>
        <w:fldChar w:fldCharType="separate"/>
      </w:r>
      <w:r>
        <w:rPr>
          <w:vertAlign w:val="superscript"/>
        </w:rPr>
        <w:t>[51]</w:t>
      </w:r>
      <w:r>
        <w:rPr>
          <w:vertAlign w:val="superscript"/>
        </w:rPr>
        <w:fldChar w:fldCharType="end"/>
      </w:r>
      <w:r>
        <w:rPr>
          <w:rFonts w:hint="eastAsia"/>
        </w:rPr>
        <w:t>、OSFSS-W</w:t>
      </w:r>
      <w:r>
        <w:rPr>
          <w:vertAlign w:val="superscript"/>
        </w:rPr>
        <w:fldChar w:fldCharType="begin" w:fldLock="1"/>
      </w:r>
      <w:r>
        <w:rPr>
          <w:vertAlign w:val="superscript"/>
        </w:rPr>
        <w:instrText xml:space="preserve"> </w:instrText>
      </w:r>
      <w:r>
        <w:rPr>
          <w:rFonts w:hint="eastAsia"/>
          <w:vertAlign w:val="superscript"/>
        </w:rPr>
        <w:instrText xml:space="preserve">REF _Ref225430916 \r \h</w:instrText>
      </w:r>
      <w:r>
        <w:rPr>
          <w:vertAlign w:val="superscript"/>
        </w:rPr>
        <w:instrText xml:space="preserve">  \* MERGEFORMAT </w:instrText>
      </w:r>
      <w:r>
        <w:rPr>
          <w:vertAlign w:val="superscript"/>
        </w:rPr>
        <w:fldChar w:fldCharType="separate"/>
      </w:r>
      <w:r>
        <w:rPr>
          <w:vertAlign w:val="superscript"/>
        </w:rPr>
        <w:t>[52]</w:t>
      </w:r>
      <w:r>
        <w:rPr>
          <w:vertAlign w:val="superscript"/>
        </w:rPr>
        <w:fldChar w:fldCharType="end"/>
      </w:r>
      <w:r>
        <w:rPr>
          <w:rFonts w:hint="eastAsia"/>
        </w:rPr>
        <w:t>与OFFESEL</w:t>
      </w:r>
      <w:r>
        <w:rPr>
          <w:vertAlign w:val="superscript"/>
        </w:rPr>
        <w:fldChar w:fldCharType="begin" w:fldLock="1"/>
      </w:r>
      <w:r>
        <w:rPr>
          <w:vertAlign w:val="superscript"/>
        </w:rPr>
        <w:instrText xml:space="preserve"> </w:instrText>
      </w:r>
      <w:r>
        <w:rPr>
          <w:rFonts w:hint="eastAsia"/>
          <w:vertAlign w:val="superscript"/>
        </w:rPr>
        <w:instrText xml:space="preserve">REF _Ref225430932 \r \h</w:instrText>
      </w:r>
      <w:r>
        <w:rPr>
          <w:vertAlign w:val="superscript"/>
        </w:rPr>
        <w:instrText xml:space="preserve">  \* MERGEFORMAT </w:instrText>
      </w:r>
      <w:r>
        <w:rPr>
          <w:vertAlign w:val="superscript"/>
        </w:rPr>
        <w:fldChar w:fldCharType="separate"/>
      </w:r>
      <w:r>
        <w:rPr>
          <w:vertAlign w:val="superscript"/>
        </w:rPr>
        <w:t>[53]</w:t>
      </w:r>
      <w:r>
        <w:rPr>
          <w:vertAlign w:val="superscript"/>
        </w:rPr>
        <w:fldChar w:fldCharType="end"/>
      </w:r>
      <w:r>
        <w:rPr>
          <w:rFonts w:hint="eastAsia"/>
        </w:rPr>
        <w:t>。现有在线特征选择方法主要可分为在线嵌入法、在线包装法和在线筛选法三类，上述三种方法在本质上分别与之对应。其中，OFSVF面向特征空间变化与标注稀缺场景开展在线特征选择；OSFSS-W将在线特征子集选择与增量学习、演化计算结合起来；OFFESEL则在不依赖类别标签的条件下实现快速在线特征筛选。选取这三种方法，能够从不同类型在线特征选择方法的角度对本文方法进行比较。</w:t>
      </w:r>
    </w:p>
    <w:p w14:paraId="230589E4">
      <w:pPr>
        <w:ind w:firstLine="480" w:firstLineChars="200"/>
      </w:pPr>
      <w:r>
        <w:rPr>
          <w:rFonts w:hint="eastAsia"/>
        </w:rPr>
        <w:t>1）OFSVF：该方法针对特征空间变化且标注稀缺的在线场景，提出了一种面向变化特征空间的在线特征选择方法。其通过Gaussian Copula将混合类型且不完整的观测特征映射到完整潜在空间，并在此基础上结合树集成方式对在线到达特征进行动态选择；同时，利用样本的几何结构建立未标注样本与标注信息之间的联系，从而实现变化特征空间条件下的在线特征选择。</w:t>
      </w:r>
    </w:p>
    <w:p w14:paraId="2687B763">
      <w:pPr>
        <w:ind w:firstLine="480" w:firstLineChars="200"/>
      </w:pPr>
      <w:r>
        <w:rPr>
          <w:rFonts w:hint="eastAsia"/>
        </w:rPr>
        <w:t>2）OSFSS-W：该方法面向高维特征流场景，提出了一种包装式在线特征子集选择方法。其在特征流到达过程中，先通过两类vigilance tests去除无关特征与冗余特征，再结合增量学习机制保留已有特征选择结果，并使用基于容差的反馈机制实现知识延续与更新；随后引入BBPSO-L对特征子集进行优化，并在Spark环境下进行并行实现，以提升对大规模、高速度特征流的处理能力。</w:t>
      </w:r>
    </w:p>
    <w:p w14:paraId="14400B01">
      <w:pPr>
        <w:ind w:firstLine="480" w:firstLineChars="200"/>
      </w:pPr>
      <w:r>
        <w:rPr>
          <w:rFonts w:hint="eastAsia"/>
        </w:rPr>
        <w:t>3）OFFESEL：该方法面向平稳与非平稳数据流场景，提出了一种快速无监督在线特征选择方法。其在每个到达窗口内根据特征归一化后的均值统计量计算特征重要性得分，并在不依赖类别标签的条件下完成特征排序与选择，从而实现动态数据流环境下的快速在线特征筛选。</w:t>
      </w:r>
    </w:p>
    <w:p w14:paraId="4F4C522A">
      <w:pPr>
        <w:pStyle w:val="4"/>
      </w:pPr>
      <w:bookmarkStart w:id="56" w:name="_Toc230086363"/>
      <w:r>
        <w:rPr>
          <w:rFonts w:hint="eastAsia"/>
        </w:rPr>
        <w:t>3.4.4 降维效果分析</w:t>
      </w:r>
      <w:bookmarkEnd w:id="56"/>
    </w:p>
    <w:p w14:paraId="3DF8F71D">
      <w:pPr>
        <w:ind w:firstLine="480" w:firstLineChars="200"/>
      </w:pPr>
      <w:r>
        <w:t>在上述实验设置下，原始2072维日志经本文方法筛选后的平均特征维度为151.95。为进一步展示特征选择结果，</w:t>
      </w:r>
      <w:r>
        <w:rPr>
          <w:rFonts w:hint="eastAsia"/>
        </w:rPr>
        <w:t>本节</w:t>
      </w:r>
      <w:r>
        <w:t>分别从可视化和数值统计两个角度给出了各类特征在原始输入、</w:t>
      </w:r>
      <w:r>
        <w:rPr>
          <w:rFonts w:hint="eastAsia"/>
        </w:rPr>
        <w:t>基于对比学习的特征预筛选方法（Contrastive Learning-based Feature Preselection, CL-FP）预</w:t>
      </w:r>
      <w:r>
        <w:t>筛选后以及</w:t>
      </w:r>
      <w:r>
        <w:rPr>
          <w:rFonts w:hint="eastAsia"/>
        </w:rPr>
        <w:t>再由基于综合性能反馈的自适应特征掩码选择方法（</w:t>
      </w:r>
      <w:r>
        <w:t>Performance-Feedback-driven Adaptive Feature Mask Selection</w:t>
      </w:r>
      <w:r>
        <w:rPr>
          <w:rFonts w:hint="eastAsia"/>
        </w:rPr>
        <w:t>，</w:t>
      </w:r>
      <w:r>
        <w:t>PF-AFMS</w:t>
      </w:r>
      <w:r>
        <w:rPr>
          <w:rFonts w:hint="eastAsia"/>
        </w:rPr>
        <w:t>）</w:t>
      </w:r>
      <w:r>
        <w:t>筛选后的维度变化情况</w:t>
      </w:r>
      <w:r>
        <w:rPr>
          <w:rFonts w:hint="eastAsia"/>
        </w:rPr>
        <w:t>，如图3.3及表3.3所示</w:t>
      </w:r>
      <w:r>
        <w:t>。通过对不同特征类型保留结果的对比，</w:t>
      </w:r>
      <w:r>
        <w:rPr>
          <w:rFonts w:hint="eastAsia"/>
        </w:rPr>
        <w:t>能够</w:t>
      </w:r>
      <w:r>
        <w:t>更直观地观察两阶段特征选择方法对高维冗余特征的压缩效果，以及各类特征在后续检测中的相对保留情况。</w:t>
      </w:r>
    </w:p>
    <w:p w14:paraId="132CF5EB">
      <w:pPr>
        <w:jc w:val="center"/>
      </w:pPr>
      <w:r>
        <w:drawing>
          <wp:inline distT="0" distB="0" distL="0" distR="0">
            <wp:extent cx="5386705" cy="2850515"/>
            <wp:effectExtent l="0" t="0" r="0" b="0"/>
            <wp:docPr id="11614145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14509" name="图片 4"/>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a:xfrm>
                      <a:off x="0" y="0"/>
                      <a:ext cx="5409503" cy="2862588"/>
                    </a:xfrm>
                    <a:prstGeom prst="rect">
                      <a:avLst/>
                    </a:prstGeom>
                    <a:noFill/>
                    <a:ln>
                      <a:noFill/>
                    </a:ln>
                  </pic:spPr>
                </pic:pic>
              </a:graphicData>
            </a:graphic>
          </wp:inline>
        </w:drawing>
      </w:r>
    </w:p>
    <w:p w14:paraId="3EE2FECE">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3</w:t>
      </w:r>
      <w:r>
        <w:rPr>
          <w:rFonts w:cs="Times New Roman"/>
          <w:sz w:val="21"/>
          <w:szCs w:val="21"/>
        </w:rPr>
        <w:t>.</w:t>
      </w:r>
      <w:r>
        <w:rPr>
          <w:rFonts w:hint="eastAsia" w:cs="Times New Roman"/>
          <w:sz w:val="21"/>
          <w:szCs w:val="21"/>
        </w:rPr>
        <w:t>3</w:t>
      </w:r>
      <w:r>
        <w:rPr>
          <w:rFonts w:cs="Times New Roman"/>
          <w:sz w:val="21"/>
          <w:szCs w:val="21"/>
        </w:rPr>
        <w:t xml:space="preserve"> 各类特征两阶段筛选前后维度变化及保留比例</w:t>
      </w:r>
    </w:p>
    <w:p w14:paraId="388205CC">
      <w:pPr>
        <w:widowControl/>
        <w:tabs>
          <w:tab w:val="center" w:pos="4152"/>
          <w:tab w:val="right" w:pos="8306"/>
        </w:tabs>
        <w:spacing w:after="156" w:afterLines="50" w:line="400" w:lineRule="exact"/>
        <w:jc w:val="center"/>
        <w:rPr>
          <w:rFonts w:cs="Times New Roman"/>
          <w:sz w:val="21"/>
          <w:szCs w:val="21"/>
        </w:rPr>
      </w:pPr>
    </w:p>
    <w:p w14:paraId="01ABB2F2">
      <w:pPr>
        <w:widowControl/>
        <w:tabs>
          <w:tab w:val="center" w:pos="4152"/>
          <w:tab w:val="right" w:pos="8306"/>
        </w:tabs>
        <w:spacing w:after="156" w:afterLines="50" w:line="400" w:lineRule="exact"/>
        <w:jc w:val="center"/>
        <w:rPr>
          <w:rFonts w:cs="Times New Roman"/>
          <w:sz w:val="21"/>
          <w:szCs w:val="21"/>
        </w:rPr>
      </w:pPr>
    </w:p>
    <w:p w14:paraId="217A82FC">
      <w:pPr>
        <w:widowControl/>
        <w:tabs>
          <w:tab w:val="center" w:pos="4152"/>
          <w:tab w:val="right" w:pos="8306"/>
        </w:tabs>
        <w:spacing w:after="156" w:afterLines="50" w:line="400" w:lineRule="exact"/>
        <w:jc w:val="center"/>
        <w:rPr>
          <w:rFonts w:cs="Times New Roman"/>
          <w:sz w:val="21"/>
          <w:szCs w:val="21"/>
        </w:rPr>
      </w:pPr>
    </w:p>
    <w:p w14:paraId="388C676C">
      <w:pPr>
        <w:widowControl/>
        <w:tabs>
          <w:tab w:val="center" w:pos="4152"/>
          <w:tab w:val="right" w:pos="8306"/>
        </w:tabs>
        <w:spacing w:after="156" w:afterLines="50" w:line="400" w:lineRule="exact"/>
        <w:jc w:val="center"/>
        <w:rPr>
          <w:rFonts w:cs="Times New Roman"/>
          <w:sz w:val="21"/>
          <w:szCs w:val="21"/>
        </w:rPr>
      </w:pPr>
    </w:p>
    <w:p w14:paraId="2555F4C9">
      <w:pPr>
        <w:spacing w:line="400" w:lineRule="exact"/>
        <w:jc w:val="center"/>
        <w:rPr>
          <w:rFonts w:eastAsia="宋体" w:cs="Times New Roman"/>
          <w:sz w:val="21"/>
          <w:szCs w:val="21"/>
        </w:rPr>
      </w:pPr>
      <w:r>
        <w:rPr>
          <w:rFonts w:hint="eastAsia" w:eastAsia="宋体" w:cs="Times New Roman"/>
          <w:sz w:val="21"/>
          <w:szCs w:val="21"/>
        </w:rPr>
        <w:t>表3</w:t>
      </w:r>
      <w:r>
        <w:rPr>
          <w:rFonts w:eastAsia="宋体" w:cs="Times New Roman"/>
          <w:sz w:val="21"/>
          <w:szCs w:val="21"/>
        </w:rPr>
        <w:t>.</w:t>
      </w:r>
      <w:r>
        <w:rPr>
          <w:rFonts w:hint="eastAsia" w:eastAsia="宋体" w:cs="Times New Roman"/>
          <w:sz w:val="21"/>
          <w:szCs w:val="21"/>
        </w:rPr>
        <w:t>3</w:t>
      </w:r>
      <w:r>
        <w:rPr>
          <w:rFonts w:eastAsia="宋体" w:cs="Times New Roman"/>
          <w:sz w:val="21"/>
          <w:szCs w:val="21"/>
        </w:rPr>
        <w:t xml:space="preserve"> 各类特征两阶段筛选结果</w:t>
      </w:r>
    </w:p>
    <w:tbl>
      <w:tblPr>
        <w:tblStyle w:val="18"/>
        <w:tblW w:w="0" w:type="auto"/>
        <w:jc w:val="center"/>
        <w:tblLayout w:type="autofit"/>
        <w:tblCellMar>
          <w:top w:w="0" w:type="dxa"/>
          <w:left w:w="108" w:type="dxa"/>
          <w:bottom w:w="0" w:type="dxa"/>
          <w:right w:w="108" w:type="dxa"/>
        </w:tblCellMar>
      </w:tblPr>
      <w:tblGrid>
        <w:gridCol w:w="1150"/>
        <w:gridCol w:w="1056"/>
        <w:gridCol w:w="1471"/>
        <w:gridCol w:w="2194"/>
        <w:gridCol w:w="1056"/>
      </w:tblGrid>
      <w:tr w14:paraId="689FB2F4">
        <w:trPr>
          <w:trHeight w:val="377" w:hRule="atLeast"/>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D9C9597">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特征类型</w:t>
            </w:r>
          </w:p>
        </w:tc>
        <w:tc>
          <w:tcPr>
            <w:tcW w:w="0" w:type="auto"/>
            <w:tcBorders>
              <w:top w:val="single" w:color="000000" w:sz="12" w:space="0"/>
              <w:left w:val="nil"/>
              <w:bottom w:val="single" w:color="000000" w:sz="4" w:space="0"/>
              <w:right w:val="nil"/>
            </w:tcBorders>
            <w:shd w:val="clear" w:color="auto" w:fill="FFFFFF"/>
            <w:vAlign w:val="center"/>
          </w:tcPr>
          <w:p w14:paraId="2B23A224">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原始维度</w:t>
            </w:r>
          </w:p>
        </w:tc>
        <w:tc>
          <w:tcPr>
            <w:tcW w:w="0" w:type="auto"/>
            <w:tcBorders>
              <w:top w:val="single" w:color="000000" w:sz="12" w:space="0"/>
              <w:left w:val="nil"/>
              <w:bottom w:val="single" w:color="000000" w:sz="4" w:space="0"/>
              <w:right w:val="nil"/>
            </w:tcBorders>
            <w:shd w:val="clear" w:color="auto" w:fill="FFFFFF"/>
            <w:vAlign w:val="center"/>
          </w:tcPr>
          <w:p w14:paraId="1110024B">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CL-FP后维度</w:t>
            </w:r>
          </w:p>
        </w:tc>
        <w:tc>
          <w:tcPr>
            <w:tcW w:w="0" w:type="auto"/>
            <w:tcBorders>
              <w:top w:val="single" w:color="000000" w:sz="12" w:space="0"/>
              <w:left w:val="nil"/>
              <w:bottom w:val="single" w:color="000000" w:sz="4" w:space="0"/>
              <w:right w:val="nil"/>
            </w:tcBorders>
            <w:shd w:val="clear" w:color="auto" w:fill="FFFFFF"/>
            <w:vAlign w:val="center"/>
          </w:tcPr>
          <w:p w14:paraId="2E34A81A">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P</w:t>
            </w:r>
            <w:r>
              <w:rPr>
                <w:rFonts w:hint="eastAsia" w:eastAsia="宋体" w:cs="Times New Roman"/>
                <w:color w:val="000000"/>
                <w:kern w:val="0"/>
                <w:sz w:val="21"/>
                <w:szCs w:val="21"/>
                <w:lang w:bidi="ar"/>
              </w:rPr>
              <w:t>F</w:t>
            </w:r>
            <w:r>
              <w:rPr>
                <w:rFonts w:eastAsia="宋体" w:cs="Times New Roman"/>
                <w:color w:val="000000"/>
                <w:kern w:val="0"/>
                <w:sz w:val="21"/>
                <w:szCs w:val="21"/>
                <w:lang w:bidi="ar"/>
              </w:rPr>
              <w:t>-AFMS后</w:t>
            </w:r>
            <w:r>
              <w:rPr>
                <w:rFonts w:hint="eastAsia" w:eastAsia="宋体" w:cs="Times New Roman"/>
                <w:color w:val="000000"/>
                <w:kern w:val="0"/>
                <w:sz w:val="21"/>
                <w:szCs w:val="21"/>
                <w:lang w:bidi="ar"/>
              </w:rPr>
              <w:t>平均</w:t>
            </w:r>
            <w:r>
              <w:rPr>
                <w:rFonts w:eastAsia="宋体" w:cs="Times New Roman"/>
                <w:color w:val="000000"/>
                <w:kern w:val="0"/>
                <w:sz w:val="21"/>
                <w:szCs w:val="21"/>
                <w:lang w:bidi="ar"/>
              </w:rPr>
              <w:t>维度</w:t>
            </w:r>
          </w:p>
        </w:tc>
        <w:tc>
          <w:tcPr>
            <w:tcW w:w="0" w:type="auto"/>
            <w:tcBorders>
              <w:top w:val="single" w:color="000000" w:sz="12" w:space="0"/>
              <w:left w:val="nil"/>
              <w:bottom w:val="single" w:color="000000" w:sz="4" w:space="0"/>
              <w:right w:val="nil"/>
            </w:tcBorders>
            <w:shd w:val="clear" w:color="auto" w:fill="FFFFFF"/>
            <w:vAlign w:val="center"/>
          </w:tcPr>
          <w:p w14:paraId="3521B168">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保留比例</w:t>
            </w:r>
          </w:p>
        </w:tc>
      </w:tr>
      <w:tr w14:paraId="59D98F97">
        <w:tblPrEx>
          <w:tblCellMar>
            <w:top w:w="0" w:type="dxa"/>
            <w:left w:w="108" w:type="dxa"/>
            <w:bottom w:w="0" w:type="dxa"/>
            <w:right w:w="108" w:type="dxa"/>
          </w:tblCellMar>
        </w:tblPrEx>
        <w:trPr>
          <w:trHeight w:val="377" w:hRule="atLeast"/>
          <w:jc w:val="center"/>
        </w:trPr>
        <w:tc>
          <w:tcPr>
            <w:tcW w:w="0" w:type="auto"/>
            <w:tcBorders>
              <w:top w:val="single" w:color="000000" w:sz="4" w:space="0"/>
              <w:left w:val="nil"/>
              <w:bottom w:val="nil"/>
              <w:right w:val="nil"/>
            </w:tcBorders>
            <w:shd w:val="clear" w:color="auto" w:fill="FFFFFF"/>
            <w:vAlign w:val="center"/>
          </w:tcPr>
          <w:p w14:paraId="51A1221E">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reward</w:t>
            </w:r>
          </w:p>
        </w:tc>
        <w:tc>
          <w:tcPr>
            <w:tcW w:w="0" w:type="auto"/>
            <w:tcBorders>
              <w:top w:val="single" w:color="000000" w:sz="4" w:space="0"/>
              <w:left w:val="nil"/>
              <w:bottom w:val="nil"/>
              <w:right w:val="nil"/>
            </w:tcBorders>
            <w:shd w:val="clear" w:color="auto" w:fill="FFFFFF"/>
            <w:vAlign w:val="center"/>
          </w:tcPr>
          <w:p w14:paraId="2DA6ACD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single" w:color="000000" w:sz="4" w:space="0"/>
              <w:left w:val="nil"/>
              <w:bottom w:val="nil"/>
              <w:right w:val="nil"/>
            </w:tcBorders>
            <w:shd w:val="clear" w:color="auto" w:fill="FFFFFF"/>
            <w:vAlign w:val="center"/>
          </w:tcPr>
          <w:p w14:paraId="6E40B88C">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single" w:color="000000" w:sz="4" w:space="0"/>
              <w:left w:val="nil"/>
              <w:bottom w:val="nil"/>
              <w:right w:val="nil"/>
            </w:tcBorders>
            <w:shd w:val="clear" w:color="auto" w:fill="FFFFFF"/>
            <w:vAlign w:val="center"/>
          </w:tcPr>
          <w:p w14:paraId="43F4BEE8">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single" w:color="000000" w:sz="4" w:space="0"/>
              <w:left w:val="nil"/>
              <w:bottom w:val="nil"/>
              <w:right w:val="nil"/>
            </w:tcBorders>
            <w:shd w:val="clear" w:color="auto" w:fill="FFFFFF"/>
            <w:vAlign w:val="center"/>
          </w:tcPr>
          <w:p w14:paraId="1F4CA16D">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100.00%</w:t>
            </w:r>
          </w:p>
        </w:tc>
      </w:tr>
      <w:tr w14:paraId="0A2AE3B8">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0A666827">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t_step</w:t>
            </w:r>
          </w:p>
        </w:tc>
        <w:tc>
          <w:tcPr>
            <w:tcW w:w="0" w:type="auto"/>
            <w:tcBorders>
              <w:top w:val="nil"/>
              <w:left w:val="nil"/>
              <w:bottom w:val="nil"/>
              <w:right w:val="nil"/>
            </w:tcBorders>
            <w:shd w:val="clear" w:color="auto" w:fill="FFFFFF"/>
            <w:vAlign w:val="center"/>
          </w:tcPr>
          <w:p w14:paraId="15B660E9">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10B07BBA">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5D87411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3.8</w:t>
            </w:r>
            <w:r>
              <w:rPr>
                <w:rFonts w:hint="eastAsia" w:eastAsia="宋体" w:cs="Times New Roman"/>
                <w:color w:val="000000"/>
                <w:kern w:val="0"/>
                <w:sz w:val="21"/>
                <w:szCs w:val="21"/>
                <w:lang w:bidi="ar"/>
              </w:rPr>
              <w:t>0</w:t>
            </w:r>
          </w:p>
        </w:tc>
        <w:tc>
          <w:tcPr>
            <w:tcW w:w="0" w:type="auto"/>
            <w:tcBorders>
              <w:top w:val="nil"/>
              <w:left w:val="nil"/>
              <w:bottom w:val="nil"/>
              <w:right w:val="nil"/>
            </w:tcBorders>
            <w:shd w:val="clear" w:color="auto" w:fill="FFFFFF"/>
            <w:vAlign w:val="center"/>
          </w:tcPr>
          <w:p w14:paraId="28D839B7">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95.00%</w:t>
            </w:r>
          </w:p>
        </w:tc>
      </w:tr>
      <w:tr w14:paraId="7B902C7D">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2A6ED333">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risk_proxy</w:t>
            </w:r>
          </w:p>
        </w:tc>
        <w:tc>
          <w:tcPr>
            <w:tcW w:w="0" w:type="auto"/>
            <w:tcBorders>
              <w:top w:val="nil"/>
              <w:left w:val="nil"/>
              <w:bottom w:val="nil"/>
              <w:right w:val="nil"/>
            </w:tcBorders>
            <w:shd w:val="clear" w:color="auto" w:fill="FFFFFF"/>
            <w:vAlign w:val="center"/>
          </w:tcPr>
          <w:p w14:paraId="78A91EB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0B0B8455">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53E0797C">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3.4</w:t>
            </w:r>
            <w:r>
              <w:rPr>
                <w:rFonts w:hint="eastAsia" w:eastAsia="宋体" w:cs="Times New Roman"/>
                <w:color w:val="000000"/>
                <w:kern w:val="0"/>
                <w:sz w:val="21"/>
                <w:szCs w:val="21"/>
                <w:lang w:bidi="ar"/>
              </w:rPr>
              <w:t>2</w:t>
            </w:r>
          </w:p>
        </w:tc>
        <w:tc>
          <w:tcPr>
            <w:tcW w:w="0" w:type="auto"/>
            <w:tcBorders>
              <w:top w:val="nil"/>
              <w:left w:val="nil"/>
              <w:bottom w:val="nil"/>
              <w:right w:val="nil"/>
            </w:tcBorders>
            <w:shd w:val="clear" w:color="auto" w:fill="FFFFFF"/>
            <w:vAlign w:val="center"/>
          </w:tcPr>
          <w:p w14:paraId="65A1644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85.</w:t>
            </w:r>
            <w:r>
              <w:rPr>
                <w:rFonts w:hint="eastAsia" w:eastAsia="宋体" w:cs="Times New Roman"/>
                <w:color w:val="000000"/>
                <w:kern w:val="0"/>
                <w:sz w:val="21"/>
                <w:szCs w:val="21"/>
                <w:lang w:bidi="ar"/>
              </w:rPr>
              <w:t>5</w:t>
            </w:r>
            <w:r>
              <w:rPr>
                <w:rFonts w:eastAsia="宋体" w:cs="Times New Roman"/>
                <w:color w:val="000000"/>
                <w:kern w:val="0"/>
                <w:sz w:val="21"/>
                <w:szCs w:val="21"/>
                <w:lang w:bidi="ar"/>
              </w:rPr>
              <w:t>0%</w:t>
            </w:r>
          </w:p>
        </w:tc>
      </w:tr>
      <w:tr w14:paraId="2B9D4F2A">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6507A28E">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risk</w:t>
            </w:r>
          </w:p>
        </w:tc>
        <w:tc>
          <w:tcPr>
            <w:tcW w:w="0" w:type="auto"/>
            <w:tcBorders>
              <w:top w:val="nil"/>
              <w:left w:val="nil"/>
              <w:bottom w:val="nil"/>
              <w:right w:val="nil"/>
            </w:tcBorders>
            <w:shd w:val="clear" w:color="auto" w:fill="FFFFFF"/>
            <w:vAlign w:val="center"/>
          </w:tcPr>
          <w:p w14:paraId="70F4183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5F51249B">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46F6449F">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3.2</w:t>
            </w:r>
            <w:r>
              <w:rPr>
                <w:rFonts w:hint="eastAsia" w:eastAsia="宋体" w:cs="Times New Roman"/>
                <w:color w:val="000000"/>
                <w:kern w:val="0"/>
                <w:sz w:val="21"/>
                <w:szCs w:val="21"/>
                <w:lang w:bidi="ar"/>
              </w:rPr>
              <w:t>1</w:t>
            </w:r>
          </w:p>
        </w:tc>
        <w:tc>
          <w:tcPr>
            <w:tcW w:w="0" w:type="auto"/>
            <w:tcBorders>
              <w:top w:val="nil"/>
              <w:left w:val="nil"/>
              <w:bottom w:val="nil"/>
              <w:right w:val="nil"/>
            </w:tcBorders>
            <w:shd w:val="clear" w:color="auto" w:fill="FFFFFF"/>
            <w:vAlign w:val="center"/>
          </w:tcPr>
          <w:p w14:paraId="70B35A54">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80.</w:t>
            </w:r>
            <w:r>
              <w:rPr>
                <w:rFonts w:hint="eastAsia" w:eastAsia="宋体" w:cs="Times New Roman"/>
                <w:color w:val="000000"/>
                <w:kern w:val="0"/>
                <w:sz w:val="21"/>
                <w:szCs w:val="21"/>
                <w:lang w:bidi="ar"/>
              </w:rPr>
              <w:t>25</w:t>
            </w:r>
            <w:r>
              <w:rPr>
                <w:rFonts w:eastAsia="宋体" w:cs="Times New Roman"/>
                <w:color w:val="000000"/>
                <w:kern w:val="0"/>
                <w:sz w:val="21"/>
                <w:szCs w:val="21"/>
                <w:lang w:bidi="ar"/>
              </w:rPr>
              <w:t>%</w:t>
            </w:r>
          </w:p>
        </w:tc>
      </w:tr>
      <w:tr w14:paraId="423B727B">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4CF2C178">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severity</w:t>
            </w:r>
          </w:p>
        </w:tc>
        <w:tc>
          <w:tcPr>
            <w:tcW w:w="0" w:type="auto"/>
            <w:tcBorders>
              <w:top w:val="nil"/>
              <w:left w:val="nil"/>
              <w:bottom w:val="nil"/>
              <w:right w:val="nil"/>
            </w:tcBorders>
            <w:shd w:val="clear" w:color="auto" w:fill="FFFFFF"/>
            <w:vAlign w:val="center"/>
          </w:tcPr>
          <w:p w14:paraId="17F4EFD0">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2AA0C28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w:t>
            </w:r>
          </w:p>
        </w:tc>
        <w:tc>
          <w:tcPr>
            <w:tcW w:w="0" w:type="auto"/>
            <w:tcBorders>
              <w:top w:val="nil"/>
              <w:left w:val="nil"/>
              <w:bottom w:val="nil"/>
              <w:right w:val="nil"/>
            </w:tcBorders>
            <w:shd w:val="clear" w:color="auto" w:fill="FFFFFF"/>
            <w:vAlign w:val="center"/>
          </w:tcPr>
          <w:p w14:paraId="74535EDA">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2.8</w:t>
            </w:r>
            <w:r>
              <w:rPr>
                <w:rFonts w:hint="eastAsia" w:eastAsia="宋体" w:cs="Times New Roman"/>
                <w:color w:val="000000"/>
                <w:kern w:val="0"/>
                <w:sz w:val="21"/>
                <w:szCs w:val="21"/>
                <w:lang w:bidi="ar"/>
              </w:rPr>
              <w:t>8</w:t>
            </w:r>
          </w:p>
        </w:tc>
        <w:tc>
          <w:tcPr>
            <w:tcW w:w="0" w:type="auto"/>
            <w:tcBorders>
              <w:top w:val="nil"/>
              <w:left w:val="nil"/>
              <w:bottom w:val="nil"/>
              <w:right w:val="nil"/>
            </w:tcBorders>
            <w:shd w:val="clear" w:color="auto" w:fill="FFFFFF"/>
            <w:vAlign w:val="center"/>
          </w:tcPr>
          <w:p w14:paraId="3D6AB8AC">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7</w:t>
            </w:r>
            <w:r>
              <w:rPr>
                <w:rFonts w:hint="eastAsia" w:eastAsia="宋体" w:cs="Times New Roman"/>
                <w:color w:val="000000"/>
                <w:kern w:val="0"/>
                <w:sz w:val="21"/>
                <w:szCs w:val="21"/>
                <w:lang w:bidi="ar"/>
              </w:rPr>
              <w:t>2</w:t>
            </w:r>
            <w:r>
              <w:rPr>
                <w:rFonts w:eastAsia="宋体" w:cs="Times New Roman"/>
                <w:color w:val="000000"/>
                <w:kern w:val="0"/>
                <w:sz w:val="21"/>
                <w:szCs w:val="21"/>
                <w:lang w:bidi="ar"/>
              </w:rPr>
              <w:t>.00%</w:t>
            </w:r>
          </w:p>
        </w:tc>
      </w:tr>
      <w:tr w14:paraId="1F7DFC82">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7DA3A3E8">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done_flag</w:t>
            </w:r>
          </w:p>
        </w:tc>
        <w:tc>
          <w:tcPr>
            <w:tcW w:w="0" w:type="auto"/>
            <w:tcBorders>
              <w:top w:val="nil"/>
              <w:left w:val="nil"/>
              <w:bottom w:val="nil"/>
              <w:right w:val="nil"/>
            </w:tcBorders>
            <w:shd w:val="clear" w:color="auto" w:fill="FFFFFF"/>
            <w:vAlign w:val="center"/>
          </w:tcPr>
          <w:p w14:paraId="09D40993">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p>
        </w:tc>
        <w:tc>
          <w:tcPr>
            <w:tcW w:w="0" w:type="auto"/>
            <w:tcBorders>
              <w:top w:val="nil"/>
              <w:left w:val="nil"/>
              <w:bottom w:val="nil"/>
              <w:right w:val="nil"/>
            </w:tcBorders>
            <w:shd w:val="clear" w:color="auto" w:fill="FFFFFF"/>
            <w:vAlign w:val="center"/>
          </w:tcPr>
          <w:p w14:paraId="267FFD7B">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w:t>
            </w:r>
          </w:p>
        </w:tc>
        <w:tc>
          <w:tcPr>
            <w:tcW w:w="0" w:type="auto"/>
            <w:tcBorders>
              <w:top w:val="nil"/>
              <w:left w:val="nil"/>
              <w:bottom w:val="nil"/>
              <w:right w:val="nil"/>
            </w:tcBorders>
            <w:shd w:val="clear" w:color="auto" w:fill="FFFFFF"/>
            <w:vAlign w:val="center"/>
          </w:tcPr>
          <w:p w14:paraId="172C308D">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1.9</w:t>
            </w:r>
            <w:r>
              <w:rPr>
                <w:rFonts w:hint="eastAsia" w:eastAsia="宋体" w:cs="Times New Roman"/>
                <w:color w:val="000000"/>
                <w:kern w:val="0"/>
                <w:sz w:val="21"/>
                <w:szCs w:val="21"/>
                <w:lang w:bidi="ar"/>
              </w:rPr>
              <w:t>1</w:t>
            </w:r>
          </w:p>
        </w:tc>
        <w:tc>
          <w:tcPr>
            <w:tcW w:w="0" w:type="auto"/>
            <w:tcBorders>
              <w:top w:val="nil"/>
              <w:left w:val="nil"/>
              <w:bottom w:val="nil"/>
              <w:right w:val="nil"/>
            </w:tcBorders>
            <w:shd w:val="clear" w:color="auto" w:fill="FFFFFF"/>
            <w:vAlign w:val="center"/>
          </w:tcPr>
          <w:p w14:paraId="154F5509">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47.</w:t>
            </w:r>
            <w:r>
              <w:rPr>
                <w:rFonts w:hint="eastAsia" w:eastAsia="宋体" w:cs="Times New Roman"/>
                <w:color w:val="000000"/>
                <w:kern w:val="0"/>
                <w:sz w:val="21"/>
                <w:szCs w:val="21"/>
                <w:lang w:bidi="ar"/>
              </w:rPr>
              <w:t>75</w:t>
            </w:r>
            <w:r>
              <w:rPr>
                <w:rFonts w:eastAsia="宋体" w:cs="Times New Roman"/>
                <w:color w:val="000000"/>
                <w:kern w:val="0"/>
                <w:sz w:val="21"/>
                <w:szCs w:val="21"/>
                <w:lang w:bidi="ar"/>
              </w:rPr>
              <w:t>%</w:t>
            </w:r>
          </w:p>
        </w:tc>
      </w:tr>
      <w:tr w14:paraId="01351A8B">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3F4CD095">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event_desc</w:t>
            </w:r>
          </w:p>
        </w:tc>
        <w:tc>
          <w:tcPr>
            <w:tcW w:w="0" w:type="auto"/>
            <w:tcBorders>
              <w:top w:val="nil"/>
              <w:left w:val="nil"/>
              <w:bottom w:val="nil"/>
              <w:right w:val="nil"/>
            </w:tcBorders>
            <w:shd w:val="clear" w:color="auto" w:fill="FFFFFF"/>
            <w:vAlign w:val="center"/>
          </w:tcPr>
          <w:p w14:paraId="00EAB74E">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4786D047">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92</w:t>
            </w:r>
          </w:p>
        </w:tc>
        <w:tc>
          <w:tcPr>
            <w:tcW w:w="0" w:type="auto"/>
            <w:tcBorders>
              <w:top w:val="nil"/>
              <w:left w:val="nil"/>
              <w:bottom w:val="nil"/>
              <w:right w:val="nil"/>
            </w:tcBorders>
            <w:shd w:val="clear" w:color="auto" w:fill="FFFFFF"/>
            <w:vAlign w:val="center"/>
          </w:tcPr>
          <w:p w14:paraId="19F0FC54">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60</w:t>
            </w:r>
            <w:r>
              <w:rPr>
                <w:rFonts w:hint="eastAsia" w:eastAsia="宋体" w:cs="Times New Roman"/>
                <w:color w:val="000000"/>
                <w:kern w:val="0"/>
                <w:sz w:val="21"/>
                <w:szCs w:val="21"/>
                <w:lang w:bidi="ar"/>
              </w:rPr>
              <w:t>.17</w:t>
            </w:r>
          </w:p>
        </w:tc>
        <w:tc>
          <w:tcPr>
            <w:tcW w:w="0" w:type="auto"/>
            <w:tcBorders>
              <w:top w:val="nil"/>
              <w:left w:val="nil"/>
              <w:bottom w:val="nil"/>
              <w:right w:val="nil"/>
            </w:tcBorders>
            <w:shd w:val="clear" w:color="auto" w:fill="FFFFFF"/>
            <w:vAlign w:val="center"/>
          </w:tcPr>
          <w:p w14:paraId="4D0CDADC">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23.</w:t>
            </w:r>
            <w:r>
              <w:rPr>
                <w:rFonts w:hint="eastAsia" w:eastAsia="宋体" w:cs="Times New Roman"/>
                <w:color w:val="000000"/>
                <w:kern w:val="0"/>
                <w:sz w:val="21"/>
                <w:szCs w:val="21"/>
                <w:lang w:bidi="ar"/>
              </w:rPr>
              <w:t>50</w:t>
            </w:r>
            <w:r>
              <w:rPr>
                <w:rFonts w:eastAsia="宋体" w:cs="Times New Roman"/>
                <w:color w:val="000000"/>
                <w:kern w:val="0"/>
                <w:sz w:val="21"/>
                <w:szCs w:val="21"/>
                <w:lang w:bidi="ar"/>
              </w:rPr>
              <w:t>%</w:t>
            </w:r>
          </w:p>
        </w:tc>
      </w:tr>
      <w:tr w14:paraId="4B7FDE82">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6D47FA3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src</w:t>
            </w:r>
          </w:p>
        </w:tc>
        <w:tc>
          <w:tcPr>
            <w:tcW w:w="0" w:type="auto"/>
            <w:tcBorders>
              <w:top w:val="nil"/>
              <w:left w:val="nil"/>
              <w:bottom w:val="nil"/>
              <w:right w:val="nil"/>
            </w:tcBorders>
            <w:shd w:val="clear" w:color="auto" w:fill="FFFFFF"/>
            <w:vAlign w:val="center"/>
          </w:tcPr>
          <w:p w14:paraId="7D5636BD">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6F7EEFA9">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39</w:t>
            </w:r>
          </w:p>
        </w:tc>
        <w:tc>
          <w:tcPr>
            <w:tcW w:w="0" w:type="auto"/>
            <w:tcBorders>
              <w:top w:val="nil"/>
              <w:left w:val="nil"/>
              <w:bottom w:val="nil"/>
              <w:right w:val="nil"/>
            </w:tcBorders>
            <w:shd w:val="clear" w:color="auto" w:fill="FFFFFF"/>
            <w:vAlign w:val="center"/>
          </w:tcPr>
          <w:p w14:paraId="73BD2219">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18.85</w:t>
            </w:r>
          </w:p>
        </w:tc>
        <w:tc>
          <w:tcPr>
            <w:tcW w:w="0" w:type="auto"/>
            <w:tcBorders>
              <w:top w:val="nil"/>
              <w:left w:val="nil"/>
              <w:bottom w:val="nil"/>
              <w:right w:val="nil"/>
            </w:tcBorders>
            <w:shd w:val="clear" w:color="auto" w:fill="FFFFFF"/>
            <w:vAlign w:val="center"/>
          </w:tcPr>
          <w:p w14:paraId="39D21517">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7.36%</w:t>
            </w:r>
          </w:p>
        </w:tc>
      </w:tr>
      <w:tr w14:paraId="5320B3DB">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03880230">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target_host</w:t>
            </w:r>
          </w:p>
        </w:tc>
        <w:tc>
          <w:tcPr>
            <w:tcW w:w="0" w:type="auto"/>
            <w:tcBorders>
              <w:top w:val="nil"/>
              <w:left w:val="nil"/>
              <w:bottom w:val="nil"/>
              <w:right w:val="nil"/>
            </w:tcBorders>
            <w:shd w:val="clear" w:color="auto" w:fill="FFFFFF"/>
            <w:vAlign w:val="center"/>
          </w:tcPr>
          <w:p w14:paraId="13C8A091">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12C485D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34</w:t>
            </w:r>
          </w:p>
        </w:tc>
        <w:tc>
          <w:tcPr>
            <w:tcW w:w="0" w:type="auto"/>
            <w:tcBorders>
              <w:top w:val="nil"/>
              <w:left w:val="nil"/>
              <w:bottom w:val="nil"/>
              <w:right w:val="nil"/>
            </w:tcBorders>
            <w:shd w:val="clear" w:color="auto" w:fill="FFFFFF"/>
            <w:vAlign w:val="center"/>
          </w:tcPr>
          <w:p w14:paraId="184F2E33">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16.5</w:t>
            </w:r>
            <w:r>
              <w:rPr>
                <w:rFonts w:hint="eastAsia" w:eastAsia="宋体" w:cs="Times New Roman"/>
                <w:color w:val="000000"/>
                <w:kern w:val="0"/>
                <w:sz w:val="21"/>
                <w:szCs w:val="21"/>
                <w:lang w:bidi="ar"/>
              </w:rPr>
              <w:t>3</w:t>
            </w:r>
          </w:p>
        </w:tc>
        <w:tc>
          <w:tcPr>
            <w:tcW w:w="0" w:type="auto"/>
            <w:tcBorders>
              <w:top w:val="nil"/>
              <w:left w:val="nil"/>
              <w:bottom w:val="nil"/>
              <w:right w:val="nil"/>
            </w:tcBorders>
            <w:shd w:val="clear" w:color="auto" w:fill="FFFFFF"/>
            <w:vAlign w:val="center"/>
          </w:tcPr>
          <w:p w14:paraId="30AC0AA2">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6.4</w:t>
            </w:r>
            <w:r>
              <w:rPr>
                <w:rFonts w:hint="eastAsia" w:eastAsia="宋体" w:cs="Times New Roman"/>
                <w:color w:val="000000"/>
                <w:kern w:val="0"/>
                <w:sz w:val="21"/>
                <w:szCs w:val="21"/>
                <w:lang w:bidi="ar"/>
              </w:rPr>
              <w:t>6</w:t>
            </w:r>
            <w:r>
              <w:rPr>
                <w:rFonts w:eastAsia="宋体" w:cs="Times New Roman"/>
                <w:color w:val="000000"/>
                <w:kern w:val="0"/>
                <w:sz w:val="21"/>
                <w:szCs w:val="21"/>
                <w:lang w:bidi="ar"/>
              </w:rPr>
              <w:t>%</w:t>
            </w:r>
          </w:p>
        </w:tc>
      </w:tr>
      <w:tr w14:paraId="681E3CF2">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28A0AB95">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dst</w:t>
            </w:r>
          </w:p>
        </w:tc>
        <w:tc>
          <w:tcPr>
            <w:tcW w:w="0" w:type="auto"/>
            <w:tcBorders>
              <w:top w:val="nil"/>
              <w:left w:val="nil"/>
              <w:bottom w:val="nil"/>
              <w:right w:val="nil"/>
            </w:tcBorders>
            <w:shd w:val="clear" w:color="auto" w:fill="FFFFFF"/>
            <w:vAlign w:val="center"/>
          </w:tcPr>
          <w:p w14:paraId="36E3307F">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44C848E9">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28</w:t>
            </w:r>
          </w:p>
        </w:tc>
        <w:tc>
          <w:tcPr>
            <w:tcW w:w="0" w:type="auto"/>
            <w:tcBorders>
              <w:top w:val="nil"/>
              <w:left w:val="nil"/>
              <w:bottom w:val="nil"/>
              <w:right w:val="nil"/>
            </w:tcBorders>
            <w:shd w:val="clear" w:color="auto" w:fill="FFFFFF"/>
            <w:vAlign w:val="center"/>
          </w:tcPr>
          <w:p w14:paraId="52A1E524">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12.</w:t>
            </w:r>
            <w:r>
              <w:rPr>
                <w:rFonts w:hint="eastAsia" w:eastAsia="宋体" w:cs="Times New Roman"/>
                <w:color w:val="000000"/>
                <w:kern w:val="0"/>
                <w:sz w:val="21"/>
                <w:szCs w:val="21"/>
                <w:lang w:bidi="ar"/>
              </w:rPr>
              <w:t>05</w:t>
            </w:r>
          </w:p>
        </w:tc>
        <w:tc>
          <w:tcPr>
            <w:tcW w:w="0" w:type="auto"/>
            <w:tcBorders>
              <w:top w:val="nil"/>
              <w:left w:val="nil"/>
              <w:bottom w:val="nil"/>
              <w:right w:val="nil"/>
            </w:tcBorders>
            <w:shd w:val="clear" w:color="auto" w:fill="FFFFFF"/>
            <w:vAlign w:val="center"/>
          </w:tcPr>
          <w:p w14:paraId="27E06F65">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4.</w:t>
            </w:r>
            <w:r>
              <w:rPr>
                <w:rFonts w:hint="eastAsia" w:eastAsia="宋体" w:cs="Times New Roman"/>
                <w:color w:val="000000"/>
                <w:kern w:val="0"/>
                <w:sz w:val="21"/>
                <w:szCs w:val="21"/>
                <w:lang w:bidi="ar"/>
              </w:rPr>
              <w:t>71</w:t>
            </w:r>
            <w:r>
              <w:rPr>
                <w:rFonts w:eastAsia="宋体" w:cs="Times New Roman"/>
                <w:color w:val="000000"/>
                <w:kern w:val="0"/>
                <w:sz w:val="21"/>
                <w:szCs w:val="21"/>
                <w:lang w:bidi="ar"/>
              </w:rPr>
              <w:t>%</w:t>
            </w:r>
          </w:p>
        </w:tc>
      </w:tr>
      <w:tr w14:paraId="7041766C">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6B15062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zone</w:t>
            </w:r>
          </w:p>
        </w:tc>
        <w:tc>
          <w:tcPr>
            <w:tcW w:w="0" w:type="auto"/>
            <w:tcBorders>
              <w:top w:val="nil"/>
              <w:left w:val="nil"/>
              <w:bottom w:val="nil"/>
              <w:right w:val="nil"/>
            </w:tcBorders>
            <w:shd w:val="clear" w:color="auto" w:fill="FFFFFF"/>
            <w:vAlign w:val="center"/>
          </w:tcPr>
          <w:p w14:paraId="2099D1C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4811570C">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26</w:t>
            </w:r>
          </w:p>
        </w:tc>
        <w:tc>
          <w:tcPr>
            <w:tcW w:w="0" w:type="auto"/>
            <w:tcBorders>
              <w:top w:val="nil"/>
              <w:left w:val="nil"/>
              <w:bottom w:val="nil"/>
              <w:right w:val="nil"/>
            </w:tcBorders>
            <w:shd w:val="clear" w:color="auto" w:fill="FFFFFF"/>
            <w:vAlign w:val="center"/>
          </w:tcPr>
          <w:p w14:paraId="5C45311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9.5</w:t>
            </w:r>
            <w:r>
              <w:rPr>
                <w:rFonts w:hint="eastAsia" w:eastAsia="宋体" w:cs="Times New Roman"/>
                <w:color w:val="000000"/>
                <w:kern w:val="0"/>
                <w:sz w:val="21"/>
                <w:szCs w:val="21"/>
                <w:lang w:bidi="ar"/>
              </w:rPr>
              <w:t>0</w:t>
            </w:r>
          </w:p>
        </w:tc>
        <w:tc>
          <w:tcPr>
            <w:tcW w:w="0" w:type="auto"/>
            <w:tcBorders>
              <w:top w:val="nil"/>
              <w:left w:val="nil"/>
              <w:bottom w:val="nil"/>
              <w:right w:val="nil"/>
            </w:tcBorders>
            <w:shd w:val="clear" w:color="auto" w:fill="FFFFFF"/>
            <w:vAlign w:val="center"/>
          </w:tcPr>
          <w:p w14:paraId="65790F01">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3.71%</w:t>
            </w:r>
          </w:p>
        </w:tc>
      </w:tr>
      <w:tr w14:paraId="4CF2A655">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1A68FE01">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action</w:t>
            </w:r>
          </w:p>
        </w:tc>
        <w:tc>
          <w:tcPr>
            <w:tcW w:w="0" w:type="auto"/>
            <w:tcBorders>
              <w:top w:val="nil"/>
              <w:left w:val="nil"/>
              <w:bottom w:val="nil"/>
              <w:right w:val="nil"/>
            </w:tcBorders>
            <w:shd w:val="clear" w:color="auto" w:fill="FFFFFF"/>
            <w:vAlign w:val="center"/>
          </w:tcPr>
          <w:p w14:paraId="48E52E13">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1B257435">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17</w:t>
            </w:r>
          </w:p>
        </w:tc>
        <w:tc>
          <w:tcPr>
            <w:tcW w:w="0" w:type="auto"/>
            <w:tcBorders>
              <w:top w:val="nil"/>
              <w:left w:val="nil"/>
              <w:bottom w:val="nil"/>
              <w:right w:val="nil"/>
            </w:tcBorders>
            <w:shd w:val="clear" w:color="auto" w:fill="FFFFFF"/>
            <w:vAlign w:val="center"/>
          </w:tcPr>
          <w:p w14:paraId="06E7DEEA">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7.</w:t>
            </w:r>
            <w:r>
              <w:rPr>
                <w:rFonts w:hint="eastAsia" w:eastAsia="宋体" w:cs="Times New Roman"/>
                <w:color w:val="000000"/>
                <w:kern w:val="0"/>
                <w:sz w:val="21"/>
                <w:szCs w:val="21"/>
                <w:lang w:bidi="ar"/>
              </w:rPr>
              <w:t>34</w:t>
            </w:r>
          </w:p>
        </w:tc>
        <w:tc>
          <w:tcPr>
            <w:tcW w:w="0" w:type="auto"/>
            <w:tcBorders>
              <w:top w:val="nil"/>
              <w:left w:val="nil"/>
              <w:bottom w:val="nil"/>
              <w:right w:val="nil"/>
            </w:tcBorders>
            <w:shd w:val="clear" w:color="auto" w:fill="FFFFFF"/>
            <w:vAlign w:val="center"/>
          </w:tcPr>
          <w:p w14:paraId="085F5954">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w:t>
            </w:r>
            <w:r>
              <w:rPr>
                <w:rFonts w:hint="eastAsia" w:eastAsia="宋体" w:cs="Times New Roman"/>
                <w:color w:val="000000"/>
                <w:kern w:val="0"/>
                <w:sz w:val="21"/>
                <w:szCs w:val="21"/>
                <w:lang w:bidi="ar"/>
              </w:rPr>
              <w:t>87</w:t>
            </w:r>
            <w:r>
              <w:rPr>
                <w:rFonts w:eastAsia="宋体" w:cs="Times New Roman"/>
                <w:color w:val="000000"/>
                <w:kern w:val="0"/>
                <w:sz w:val="21"/>
                <w:szCs w:val="21"/>
                <w:lang w:bidi="ar"/>
              </w:rPr>
              <w:t>%</w:t>
            </w:r>
          </w:p>
        </w:tc>
      </w:tr>
      <w:tr w14:paraId="709A7E2F">
        <w:tblPrEx>
          <w:tblCellMar>
            <w:top w:w="0" w:type="dxa"/>
            <w:left w:w="108" w:type="dxa"/>
            <w:bottom w:w="0" w:type="dxa"/>
            <w:right w:w="108" w:type="dxa"/>
          </w:tblCellMar>
        </w:tblPrEx>
        <w:trPr>
          <w:trHeight w:val="377" w:hRule="atLeast"/>
          <w:jc w:val="center"/>
        </w:trPr>
        <w:tc>
          <w:tcPr>
            <w:tcW w:w="0" w:type="auto"/>
            <w:tcBorders>
              <w:top w:val="nil"/>
              <w:left w:val="nil"/>
              <w:bottom w:val="nil"/>
              <w:right w:val="nil"/>
            </w:tcBorders>
            <w:shd w:val="clear" w:color="auto" w:fill="FFFFFF"/>
            <w:vAlign w:val="center"/>
          </w:tcPr>
          <w:p w14:paraId="13E3FB4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success</w:t>
            </w:r>
          </w:p>
        </w:tc>
        <w:tc>
          <w:tcPr>
            <w:tcW w:w="0" w:type="auto"/>
            <w:tcBorders>
              <w:top w:val="nil"/>
              <w:left w:val="nil"/>
              <w:bottom w:val="nil"/>
              <w:right w:val="nil"/>
            </w:tcBorders>
            <w:shd w:val="clear" w:color="auto" w:fill="FFFFFF"/>
            <w:vAlign w:val="center"/>
          </w:tcPr>
          <w:p w14:paraId="2C2B7197">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nil"/>
              <w:right w:val="nil"/>
            </w:tcBorders>
            <w:shd w:val="clear" w:color="auto" w:fill="FFFFFF"/>
            <w:vAlign w:val="center"/>
          </w:tcPr>
          <w:p w14:paraId="19B17A6F">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13</w:t>
            </w:r>
          </w:p>
        </w:tc>
        <w:tc>
          <w:tcPr>
            <w:tcW w:w="0" w:type="auto"/>
            <w:tcBorders>
              <w:top w:val="nil"/>
              <w:left w:val="nil"/>
              <w:bottom w:val="nil"/>
              <w:right w:val="nil"/>
            </w:tcBorders>
            <w:shd w:val="clear" w:color="auto" w:fill="FFFFFF"/>
            <w:vAlign w:val="center"/>
          </w:tcPr>
          <w:p w14:paraId="48B2C03A">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5.5</w:t>
            </w:r>
            <w:r>
              <w:rPr>
                <w:rFonts w:hint="eastAsia" w:eastAsia="宋体" w:cs="Times New Roman"/>
                <w:color w:val="000000"/>
                <w:kern w:val="0"/>
                <w:sz w:val="21"/>
                <w:szCs w:val="21"/>
                <w:lang w:bidi="ar"/>
              </w:rPr>
              <w:t>3</w:t>
            </w:r>
          </w:p>
        </w:tc>
        <w:tc>
          <w:tcPr>
            <w:tcW w:w="0" w:type="auto"/>
            <w:tcBorders>
              <w:top w:val="nil"/>
              <w:left w:val="nil"/>
              <w:bottom w:val="nil"/>
              <w:right w:val="nil"/>
            </w:tcBorders>
            <w:shd w:val="clear" w:color="auto" w:fill="FFFFFF"/>
            <w:vAlign w:val="center"/>
          </w:tcPr>
          <w:p w14:paraId="0C854AFD">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2.1</w:t>
            </w:r>
            <w:r>
              <w:rPr>
                <w:rFonts w:hint="eastAsia" w:eastAsia="宋体" w:cs="Times New Roman"/>
                <w:color w:val="000000"/>
                <w:kern w:val="0"/>
                <w:sz w:val="21"/>
                <w:szCs w:val="21"/>
                <w:lang w:bidi="ar"/>
              </w:rPr>
              <w:t>6</w:t>
            </w:r>
            <w:r>
              <w:rPr>
                <w:rFonts w:eastAsia="宋体" w:cs="Times New Roman"/>
                <w:color w:val="000000"/>
                <w:kern w:val="0"/>
                <w:sz w:val="21"/>
                <w:szCs w:val="21"/>
                <w:lang w:bidi="ar"/>
              </w:rPr>
              <w:t>%</w:t>
            </w:r>
          </w:p>
        </w:tc>
      </w:tr>
      <w:tr w14:paraId="241AE563">
        <w:tblPrEx>
          <w:tblCellMar>
            <w:top w:w="0" w:type="dxa"/>
            <w:left w:w="108" w:type="dxa"/>
            <w:bottom w:w="0" w:type="dxa"/>
            <w:right w:w="108" w:type="dxa"/>
          </w:tblCellMar>
        </w:tblPrEx>
        <w:trPr>
          <w:trHeight w:val="377" w:hRule="atLeast"/>
          <w:jc w:val="center"/>
        </w:trPr>
        <w:tc>
          <w:tcPr>
            <w:tcW w:w="0" w:type="auto"/>
            <w:tcBorders>
              <w:top w:val="nil"/>
              <w:left w:val="nil"/>
              <w:bottom w:val="single" w:color="000000" w:sz="12" w:space="0"/>
              <w:right w:val="nil"/>
            </w:tcBorders>
            <w:shd w:val="clear" w:color="auto" w:fill="FFFFFF"/>
            <w:vAlign w:val="center"/>
          </w:tcPr>
          <w:p w14:paraId="71E7CCB4">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region_id</w:t>
            </w:r>
          </w:p>
        </w:tc>
        <w:tc>
          <w:tcPr>
            <w:tcW w:w="0" w:type="auto"/>
            <w:tcBorders>
              <w:top w:val="nil"/>
              <w:left w:val="nil"/>
              <w:bottom w:val="single" w:color="000000" w:sz="12" w:space="0"/>
              <w:right w:val="nil"/>
            </w:tcBorders>
            <w:shd w:val="clear" w:color="auto" w:fill="FFFFFF"/>
            <w:vAlign w:val="center"/>
          </w:tcPr>
          <w:p w14:paraId="64A50A80">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256</w:t>
            </w:r>
          </w:p>
        </w:tc>
        <w:tc>
          <w:tcPr>
            <w:tcW w:w="0" w:type="auto"/>
            <w:tcBorders>
              <w:top w:val="nil"/>
              <w:left w:val="nil"/>
              <w:bottom w:val="single" w:color="000000" w:sz="12" w:space="0"/>
              <w:right w:val="nil"/>
            </w:tcBorders>
            <w:shd w:val="clear" w:color="auto" w:fill="FFFFFF"/>
            <w:vAlign w:val="center"/>
          </w:tcPr>
          <w:p w14:paraId="2A90CD1B">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10</w:t>
            </w:r>
          </w:p>
        </w:tc>
        <w:tc>
          <w:tcPr>
            <w:tcW w:w="0" w:type="auto"/>
            <w:tcBorders>
              <w:top w:val="nil"/>
              <w:left w:val="nil"/>
              <w:bottom w:val="single" w:color="000000" w:sz="12" w:space="0"/>
              <w:right w:val="nil"/>
            </w:tcBorders>
            <w:shd w:val="clear" w:color="auto" w:fill="FFFFFF"/>
            <w:vAlign w:val="center"/>
          </w:tcPr>
          <w:p w14:paraId="10196146">
            <w:pPr>
              <w:widowControl/>
              <w:spacing w:line="240" w:lineRule="auto"/>
              <w:jc w:val="center"/>
              <w:textAlignment w:val="center"/>
              <w:rPr>
                <w:rFonts w:eastAsia="宋体" w:cs="Times New Roman"/>
                <w:color w:val="000000"/>
                <w:sz w:val="21"/>
                <w:szCs w:val="21"/>
              </w:rPr>
            </w:pPr>
            <w:r>
              <w:rPr>
                <w:rFonts w:eastAsia="宋体" w:cs="Times New Roman"/>
                <w:color w:val="000000"/>
                <w:kern w:val="0"/>
                <w:sz w:val="21"/>
                <w:szCs w:val="21"/>
                <w:lang w:bidi="ar"/>
              </w:rPr>
              <w:t>2.</w:t>
            </w:r>
            <w:r>
              <w:rPr>
                <w:rFonts w:hint="eastAsia" w:eastAsia="宋体" w:cs="Times New Roman"/>
                <w:color w:val="000000"/>
                <w:kern w:val="0"/>
                <w:sz w:val="21"/>
                <w:szCs w:val="21"/>
                <w:lang w:bidi="ar"/>
              </w:rPr>
              <w:t>76</w:t>
            </w:r>
          </w:p>
        </w:tc>
        <w:tc>
          <w:tcPr>
            <w:tcW w:w="0" w:type="auto"/>
            <w:tcBorders>
              <w:top w:val="nil"/>
              <w:left w:val="nil"/>
              <w:bottom w:val="single" w:color="000000" w:sz="12" w:space="0"/>
              <w:right w:val="nil"/>
            </w:tcBorders>
            <w:shd w:val="clear" w:color="auto" w:fill="FFFFFF"/>
            <w:vAlign w:val="center"/>
          </w:tcPr>
          <w:p w14:paraId="38B57373">
            <w:pPr>
              <w:widowControl/>
              <w:spacing w:line="240" w:lineRule="auto"/>
              <w:jc w:val="center"/>
              <w:textAlignment w:val="center"/>
              <w:rPr>
                <w:rFonts w:eastAsia="宋体" w:cs="Times New Roman"/>
                <w:color w:val="000000"/>
                <w:sz w:val="21"/>
                <w:szCs w:val="21"/>
              </w:rPr>
            </w:pPr>
            <w:r>
              <w:rPr>
                <w:rFonts w:hint="eastAsia" w:eastAsia="宋体" w:cs="Times New Roman"/>
                <w:color w:val="000000"/>
                <w:kern w:val="0"/>
                <w:sz w:val="21"/>
                <w:szCs w:val="21"/>
                <w:lang w:bidi="ar"/>
              </w:rPr>
              <w:t>1</w:t>
            </w:r>
            <w:r>
              <w:rPr>
                <w:rFonts w:eastAsia="宋体" w:cs="Times New Roman"/>
                <w:color w:val="000000"/>
                <w:kern w:val="0"/>
                <w:sz w:val="21"/>
                <w:szCs w:val="21"/>
                <w:lang w:bidi="ar"/>
              </w:rPr>
              <w:t>.</w:t>
            </w:r>
            <w:r>
              <w:rPr>
                <w:rFonts w:hint="eastAsia" w:eastAsia="宋体" w:cs="Times New Roman"/>
                <w:color w:val="000000"/>
                <w:kern w:val="0"/>
                <w:sz w:val="21"/>
                <w:szCs w:val="21"/>
                <w:lang w:bidi="ar"/>
              </w:rPr>
              <w:t>08</w:t>
            </w:r>
            <w:r>
              <w:rPr>
                <w:rFonts w:eastAsia="宋体" w:cs="Times New Roman"/>
                <w:color w:val="000000"/>
                <w:kern w:val="0"/>
                <w:sz w:val="21"/>
                <w:szCs w:val="21"/>
                <w:lang w:bidi="ar"/>
              </w:rPr>
              <w:t>%</w:t>
            </w:r>
          </w:p>
        </w:tc>
      </w:tr>
    </w:tbl>
    <w:p w14:paraId="36DEBBF1">
      <w:pPr>
        <w:spacing w:before="156" w:beforeLines="50"/>
        <w:ind w:firstLine="480" w:firstLineChars="200"/>
      </w:pPr>
      <w:r>
        <w:t>从</w:t>
      </w:r>
      <w:r>
        <w:rPr>
          <w:rFonts w:hint="eastAsia"/>
        </w:rPr>
        <w:t>图3.3及</w:t>
      </w:r>
      <w:r>
        <w:t>表3.</w:t>
      </w:r>
      <w:r>
        <w:rPr>
          <w:rFonts w:hint="eastAsia"/>
        </w:rPr>
        <w:t>3中</w:t>
      </w:r>
      <w:r>
        <w:t>可以看出，经过CL-FP与P</w:t>
      </w:r>
      <w:r>
        <w:rPr>
          <w:rFonts w:hint="eastAsia"/>
        </w:rPr>
        <w:t>F</w:t>
      </w:r>
      <w:r>
        <w:t>-AFMS两阶段筛选后，不同类型特征的保留情况存在</w:t>
      </w:r>
      <w:r>
        <w:rPr>
          <w:rFonts w:hint="eastAsia"/>
        </w:rPr>
        <w:t>一定</w:t>
      </w:r>
      <w:r>
        <w:t>的差异。其中，reward、t_step、risk_proxy和risk等低维特征</w:t>
      </w:r>
      <w:r>
        <w:rPr>
          <w:rFonts w:hint="eastAsia"/>
        </w:rPr>
        <w:t>类型</w:t>
      </w:r>
      <w:r>
        <w:t>保留比例相对较高，说明这类特征与后续检测任务具有更直接的关联</w:t>
      </w:r>
      <w:r>
        <w:rPr>
          <w:rFonts w:hint="eastAsia"/>
        </w:rPr>
        <w:t>。</w:t>
      </w:r>
      <w:r>
        <w:t>相比之下，event_desc、src、target_host、dst、zone、action、success和region_id等原始维度较高的特征</w:t>
      </w:r>
      <w:r>
        <w:rPr>
          <w:rFonts w:hint="eastAsia"/>
        </w:rPr>
        <w:t>类型</w:t>
      </w:r>
      <w:r>
        <w:t>在筛选后均被明显压缩，表明所提方法能够较有效地剔除高维表示中的冗余信息。</w:t>
      </w:r>
      <w:r>
        <w:rPr>
          <w:rFonts w:hint="eastAsia"/>
        </w:rPr>
        <w:t>此外</w:t>
      </w:r>
      <w:r>
        <w:t>，在高维特征</w:t>
      </w:r>
      <w:r>
        <w:rPr>
          <w:rFonts w:hint="eastAsia"/>
        </w:rPr>
        <w:t>类型</w:t>
      </w:r>
      <w:r>
        <w:t>中，event_desc保留维度相对较高，而region_id等</w:t>
      </w:r>
      <w:r>
        <w:rPr>
          <w:rFonts w:hint="eastAsia"/>
        </w:rPr>
        <w:t>类型的</w:t>
      </w:r>
      <w:r>
        <w:t>特征压缩更为明显，这说明</w:t>
      </w:r>
      <w:r>
        <w:rPr>
          <w:rFonts w:hint="eastAsia"/>
        </w:rPr>
        <w:t>本文</w:t>
      </w:r>
      <w:r>
        <w:t>特征选择方法并非对各类特征进行简单均匀压缩，而是能够结合不同</w:t>
      </w:r>
      <w:r>
        <w:rPr>
          <w:rFonts w:hint="eastAsia"/>
        </w:rPr>
        <w:t>类型</w:t>
      </w:r>
      <w:r>
        <w:t>特征对后续检测的实际作用进行差异化保留。整体来看，原始高维日志特征经</w:t>
      </w:r>
      <w:r>
        <w:rPr>
          <w:rFonts w:hint="eastAsia"/>
        </w:rPr>
        <w:t>特征选择</w:t>
      </w:r>
      <w:r>
        <w:t>后被压缩为更紧凑的低维输入形式，从而为后续APT检测提供了更有针对性的特征基础。</w:t>
      </w:r>
    </w:p>
    <w:p w14:paraId="13FD8818">
      <w:pPr>
        <w:pStyle w:val="4"/>
      </w:pPr>
      <w:bookmarkStart w:id="57" w:name="_Toc230086364"/>
      <w:r>
        <w:rPr>
          <w:rFonts w:hint="eastAsia"/>
        </w:rPr>
        <w:t>3.4.5 攻击检测效果验证</w:t>
      </w:r>
      <w:bookmarkEnd w:id="57"/>
    </w:p>
    <w:p w14:paraId="0B1021F0">
      <w:pPr>
        <w:ind w:firstLine="480" w:firstLineChars="200"/>
      </w:pPr>
      <w:r>
        <w:t>为验证本文所提出特征选择方法对</w:t>
      </w:r>
      <w:r>
        <w:rPr>
          <w:rFonts w:hint="eastAsia"/>
        </w:rPr>
        <w:t>提升</w:t>
      </w:r>
      <w:r>
        <w:t>APT检测</w:t>
      </w:r>
      <w:r>
        <w:rPr>
          <w:rFonts w:hint="eastAsia"/>
        </w:rPr>
        <w:t>的</w:t>
      </w:r>
      <w:r>
        <w:t>有效性，</w:t>
      </w:r>
      <w:r>
        <w:rPr>
          <w:rFonts w:hint="eastAsia"/>
        </w:rPr>
        <w:t>本节</w:t>
      </w:r>
      <w:r>
        <w:t>将其与现有文献中的</w:t>
      </w:r>
      <w:r>
        <w:rPr>
          <w:rFonts w:hint="eastAsia"/>
        </w:rPr>
        <w:t>在线</w:t>
      </w:r>
      <w:r>
        <w:t>特征选择方法进行对比实验。对比过程中，仅将特征选择方法作为变量，其余实验设置保持一致，并统一将不同方法筛选后的特征</w:t>
      </w:r>
      <w:r>
        <w:rPr>
          <w:rFonts w:hint="eastAsia"/>
        </w:rPr>
        <w:t>日志</w:t>
      </w:r>
      <w:r>
        <w:t>输入</w:t>
      </w:r>
      <w:r>
        <w:rPr>
          <w:rFonts w:hint="eastAsia"/>
        </w:rPr>
        <w:t>本文</w:t>
      </w:r>
      <w:r>
        <w:t>后续检测方法进行测试，以保证各方法之间具有可比性。具体实验结果如表3.</w:t>
      </w:r>
      <w:r>
        <w:rPr>
          <w:rFonts w:hint="eastAsia"/>
        </w:rPr>
        <w:t>4</w:t>
      </w:r>
      <w:r>
        <w:t>所示。</w:t>
      </w:r>
    </w:p>
    <w:p w14:paraId="5F4CCDF3">
      <w:pPr>
        <w:ind w:firstLine="480" w:firstLineChars="200"/>
      </w:pPr>
    </w:p>
    <w:p w14:paraId="23F76BE0">
      <w:pPr>
        <w:spacing w:line="400" w:lineRule="exact"/>
        <w:jc w:val="center"/>
        <w:rPr>
          <w:rFonts w:eastAsia="宋体" w:cs="Times New Roman"/>
          <w:sz w:val="21"/>
          <w:szCs w:val="21"/>
        </w:rPr>
      </w:pPr>
      <w:r>
        <w:rPr>
          <w:rFonts w:hint="eastAsia" w:eastAsia="宋体" w:cs="Times New Roman"/>
          <w:sz w:val="21"/>
          <w:szCs w:val="21"/>
        </w:rPr>
        <w:t>表3</w:t>
      </w:r>
      <w:r>
        <w:rPr>
          <w:rFonts w:eastAsia="宋体" w:cs="Times New Roman"/>
          <w:sz w:val="21"/>
          <w:szCs w:val="21"/>
        </w:rPr>
        <w:t>.</w:t>
      </w:r>
      <w:r>
        <w:rPr>
          <w:rFonts w:hint="eastAsia" w:eastAsia="宋体" w:cs="Times New Roman"/>
          <w:sz w:val="21"/>
          <w:szCs w:val="21"/>
        </w:rPr>
        <w:t>4</w:t>
      </w:r>
      <w:r>
        <w:rPr>
          <w:rFonts w:eastAsia="宋体" w:cs="Times New Roman"/>
          <w:sz w:val="21"/>
          <w:szCs w:val="21"/>
        </w:rPr>
        <w:t xml:space="preserve"> </w:t>
      </w:r>
      <w:r>
        <w:rPr>
          <w:rFonts w:hint="eastAsia" w:eastAsia="宋体" w:cs="Times New Roman"/>
          <w:sz w:val="21"/>
          <w:szCs w:val="21"/>
        </w:rPr>
        <w:t>与其他文献方法对比实验结果</w:t>
      </w:r>
    </w:p>
    <w:tbl>
      <w:tblPr>
        <w:tblStyle w:val="19"/>
        <w:tblW w:w="85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1518"/>
        <w:gridCol w:w="1559"/>
        <w:gridCol w:w="1276"/>
        <w:gridCol w:w="1559"/>
        <w:gridCol w:w="1317"/>
      </w:tblGrid>
      <w:tr w14:paraId="78FE1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12" w:space="0"/>
              <w:bottom w:val="single" w:color="auto" w:sz="4" w:space="0"/>
            </w:tcBorders>
          </w:tcPr>
          <w:p w14:paraId="1AD8740A">
            <w:pPr>
              <w:spacing w:line="288" w:lineRule="auto"/>
              <w:jc w:val="center"/>
              <w:rPr>
                <w:rFonts w:eastAsia="宋体" w:cs="Times New Roman"/>
                <w:sz w:val="21"/>
              </w:rPr>
            </w:pPr>
          </w:p>
        </w:tc>
        <w:tc>
          <w:tcPr>
            <w:tcW w:w="1518" w:type="dxa"/>
            <w:tcBorders>
              <w:top w:val="single" w:color="auto" w:sz="12" w:space="0"/>
              <w:bottom w:val="single" w:color="auto" w:sz="4" w:space="0"/>
            </w:tcBorders>
          </w:tcPr>
          <w:p w14:paraId="7CE8714B">
            <w:pPr>
              <w:spacing w:line="288" w:lineRule="auto"/>
              <w:jc w:val="center"/>
              <w:rPr>
                <w:rFonts w:eastAsia="宋体" w:cs="Times New Roman"/>
                <w:sz w:val="21"/>
              </w:rPr>
            </w:pPr>
            <w:r>
              <w:rPr>
                <w:rFonts w:hint="eastAsia" w:eastAsia="宋体" w:cs="Times New Roman"/>
                <w:sz w:val="21"/>
                <w:szCs w:val="21"/>
              </w:rPr>
              <w:t>平均特征维度</w:t>
            </w:r>
          </w:p>
        </w:tc>
        <w:tc>
          <w:tcPr>
            <w:tcW w:w="1559" w:type="dxa"/>
            <w:tcBorders>
              <w:top w:val="single" w:color="auto" w:sz="12" w:space="0"/>
              <w:bottom w:val="single" w:color="auto" w:sz="4" w:space="0"/>
            </w:tcBorders>
          </w:tcPr>
          <w:p w14:paraId="7C4F41A4">
            <w:pPr>
              <w:spacing w:line="288" w:lineRule="auto"/>
              <w:jc w:val="center"/>
              <w:rPr>
                <w:rFonts w:eastAsia="宋体" w:cs="Times New Roman"/>
                <w:sz w:val="21"/>
              </w:rPr>
            </w:pPr>
            <w:r>
              <w:rPr>
                <w:rFonts w:hint="eastAsia" w:eastAsia="宋体" w:cs="Times New Roman"/>
                <w:sz w:val="21"/>
                <w:szCs w:val="21"/>
              </w:rPr>
              <w:t>平均回报</w:t>
            </w:r>
          </w:p>
        </w:tc>
        <w:tc>
          <w:tcPr>
            <w:tcW w:w="1276" w:type="dxa"/>
            <w:tcBorders>
              <w:top w:val="single" w:color="auto" w:sz="12" w:space="0"/>
              <w:bottom w:val="single" w:color="auto" w:sz="4" w:space="0"/>
            </w:tcBorders>
          </w:tcPr>
          <w:p w14:paraId="07962EB0">
            <w:pPr>
              <w:spacing w:line="288" w:lineRule="auto"/>
              <w:jc w:val="center"/>
              <w:rPr>
                <w:rFonts w:eastAsia="宋体" w:cs="Times New Roman"/>
                <w:sz w:val="21"/>
              </w:rPr>
            </w:pPr>
            <w:r>
              <w:rPr>
                <w:rFonts w:hint="eastAsia" w:eastAsia="宋体" w:cs="Times New Roman"/>
                <w:sz w:val="21"/>
                <w:szCs w:val="21"/>
              </w:rPr>
              <w:t>回报标准差</w:t>
            </w:r>
          </w:p>
        </w:tc>
        <w:tc>
          <w:tcPr>
            <w:tcW w:w="1559" w:type="dxa"/>
            <w:tcBorders>
              <w:top w:val="single" w:color="auto" w:sz="12" w:space="0"/>
              <w:bottom w:val="single" w:color="auto" w:sz="4" w:space="0"/>
            </w:tcBorders>
          </w:tcPr>
          <w:p w14:paraId="2789BE07">
            <w:pPr>
              <w:spacing w:line="288" w:lineRule="auto"/>
              <w:jc w:val="center"/>
              <w:rPr>
                <w:rFonts w:eastAsia="宋体" w:cs="Times New Roman"/>
                <w:sz w:val="21"/>
              </w:rPr>
            </w:pPr>
            <w:r>
              <w:rPr>
                <w:rFonts w:hint="eastAsia" w:eastAsia="宋体" w:cs="Times New Roman"/>
                <w:sz w:val="21"/>
                <w:szCs w:val="21"/>
              </w:rPr>
              <w:t>平均恢复时间</w:t>
            </w:r>
          </w:p>
        </w:tc>
        <w:tc>
          <w:tcPr>
            <w:tcW w:w="1317" w:type="dxa"/>
            <w:tcBorders>
              <w:top w:val="single" w:color="auto" w:sz="12" w:space="0"/>
              <w:bottom w:val="single" w:color="auto" w:sz="4" w:space="0"/>
            </w:tcBorders>
          </w:tcPr>
          <w:p w14:paraId="6A4BCCD6">
            <w:pPr>
              <w:spacing w:line="288" w:lineRule="auto"/>
              <w:jc w:val="center"/>
              <w:rPr>
                <w:rFonts w:eastAsia="宋体" w:cs="Times New Roman"/>
                <w:sz w:val="21"/>
              </w:rPr>
            </w:pPr>
            <w:r>
              <w:rPr>
                <w:rFonts w:hint="eastAsia" w:eastAsia="宋体" w:cs="Times New Roman"/>
                <w:sz w:val="21"/>
                <w:szCs w:val="21"/>
              </w:rPr>
              <w:t>恢复精确率</w:t>
            </w:r>
          </w:p>
        </w:tc>
      </w:tr>
      <w:tr w14:paraId="56F5ED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7815FCA7">
            <w:pPr>
              <w:spacing w:line="288" w:lineRule="auto"/>
              <w:jc w:val="center"/>
              <w:rPr>
                <w:rFonts w:eastAsia="宋体" w:cs="Times New Roman"/>
                <w:sz w:val="21"/>
              </w:rPr>
            </w:pPr>
            <w:r>
              <w:rPr>
                <w:rFonts w:eastAsia="宋体" w:cs="Times New Roman"/>
                <w:sz w:val="21"/>
                <w:szCs w:val="21"/>
              </w:rPr>
              <w:t>OFSVF</w:t>
            </w:r>
            <w:r>
              <w:rPr>
                <w:rFonts w:eastAsia="宋体" w:cs="Times New Roman"/>
                <w:sz w:val="21"/>
                <w:szCs w:val="21"/>
                <w:vertAlign w:val="superscript"/>
              </w:rPr>
              <w:fldChar w:fldCharType="begin" w:fldLock="1"/>
            </w:r>
            <w:r>
              <w:rPr>
                <w:rFonts w:eastAsia="宋体" w:cs="Times New Roman"/>
                <w:sz w:val="21"/>
                <w:szCs w:val="21"/>
                <w:vertAlign w:val="superscript"/>
              </w:rPr>
              <w:instrText xml:space="preserve"> REF _Ref225361897 \r \h  \* MERGEFORMAT </w:instrText>
            </w:r>
            <w:r>
              <w:rPr>
                <w:rFonts w:eastAsia="宋体" w:cs="Times New Roman"/>
                <w:sz w:val="21"/>
                <w:szCs w:val="21"/>
                <w:vertAlign w:val="superscript"/>
              </w:rPr>
              <w:fldChar w:fldCharType="separate"/>
            </w:r>
            <w:r>
              <w:rPr>
                <w:rFonts w:eastAsia="宋体" w:cs="Times New Roman"/>
                <w:sz w:val="21"/>
                <w:szCs w:val="21"/>
                <w:vertAlign w:val="superscript"/>
              </w:rPr>
              <w:t>[51]</w:t>
            </w:r>
            <w:r>
              <w:rPr>
                <w:rFonts w:eastAsia="宋体" w:cs="Times New Roman"/>
                <w:sz w:val="21"/>
                <w:szCs w:val="21"/>
                <w:vertAlign w:val="superscript"/>
              </w:rPr>
              <w:fldChar w:fldCharType="end"/>
            </w:r>
          </w:p>
        </w:tc>
        <w:tc>
          <w:tcPr>
            <w:tcW w:w="1518" w:type="dxa"/>
          </w:tcPr>
          <w:p w14:paraId="7E8A9CAF">
            <w:pPr>
              <w:spacing w:line="288" w:lineRule="auto"/>
              <w:jc w:val="center"/>
              <w:rPr>
                <w:rFonts w:eastAsia="宋体" w:cs="Times New Roman"/>
                <w:sz w:val="21"/>
              </w:rPr>
            </w:pPr>
            <w:r>
              <w:rPr>
                <w:rFonts w:hint="eastAsia" w:eastAsia="宋体" w:cs="Times New Roman"/>
                <w:sz w:val="21"/>
              </w:rPr>
              <w:t>183.46</w:t>
            </w:r>
          </w:p>
        </w:tc>
        <w:tc>
          <w:tcPr>
            <w:tcW w:w="1559" w:type="dxa"/>
          </w:tcPr>
          <w:p w14:paraId="26A9D5E5">
            <w:pPr>
              <w:spacing w:line="288" w:lineRule="auto"/>
              <w:jc w:val="center"/>
              <w:rPr>
                <w:rFonts w:eastAsia="宋体" w:cs="Times New Roman"/>
                <w:sz w:val="21"/>
              </w:rPr>
            </w:pPr>
            <w:r>
              <w:rPr>
                <w:rFonts w:hint="eastAsia" w:eastAsia="宋体" w:cs="Times New Roman"/>
                <w:sz w:val="21"/>
              </w:rPr>
              <w:t>-143.37</w:t>
            </w:r>
          </w:p>
        </w:tc>
        <w:tc>
          <w:tcPr>
            <w:tcW w:w="1276" w:type="dxa"/>
          </w:tcPr>
          <w:p w14:paraId="5C7F7075">
            <w:pPr>
              <w:spacing w:line="288" w:lineRule="auto"/>
              <w:jc w:val="center"/>
              <w:rPr>
                <w:rFonts w:eastAsia="宋体" w:cs="Times New Roman"/>
                <w:sz w:val="21"/>
              </w:rPr>
            </w:pPr>
            <w:r>
              <w:rPr>
                <w:rFonts w:hint="eastAsia" w:eastAsia="宋体" w:cs="Times New Roman"/>
                <w:sz w:val="21"/>
              </w:rPr>
              <w:t>54.12</w:t>
            </w:r>
          </w:p>
        </w:tc>
        <w:tc>
          <w:tcPr>
            <w:tcW w:w="1559" w:type="dxa"/>
          </w:tcPr>
          <w:p w14:paraId="200A102C">
            <w:pPr>
              <w:spacing w:line="288" w:lineRule="auto"/>
              <w:jc w:val="center"/>
              <w:rPr>
                <w:rFonts w:eastAsia="宋体" w:cs="Times New Roman"/>
                <w:sz w:val="21"/>
              </w:rPr>
            </w:pPr>
            <w:r>
              <w:rPr>
                <w:rFonts w:hint="eastAsia" w:eastAsia="宋体" w:cs="Times New Roman"/>
                <w:sz w:val="21"/>
              </w:rPr>
              <w:t>52.57</w:t>
            </w:r>
          </w:p>
        </w:tc>
        <w:tc>
          <w:tcPr>
            <w:tcW w:w="1317" w:type="dxa"/>
          </w:tcPr>
          <w:p w14:paraId="3D1B2F64">
            <w:pPr>
              <w:spacing w:line="288" w:lineRule="auto"/>
              <w:jc w:val="center"/>
              <w:rPr>
                <w:rFonts w:eastAsia="宋体" w:cs="Times New Roman"/>
                <w:sz w:val="21"/>
              </w:rPr>
            </w:pPr>
            <w:r>
              <w:rPr>
                <w:rFonts w:hint="eastAsia" w:eastAsia="宋体" w:cs="Times New Roman"/>
                <w:sz w:val="21"/>
              </w:rPr>
              <w:t>0.59</w:t>
            </w:r>
          </w:p>
        </w:tc>
      </w:tr>
      <w:tr w14:paraId="61CF5F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33974171">
            <w:pPr>
              <w:spacing w:line="288" w:lineRule="auto"/>
              <w:jc w:val="center"/>
              <w:rPr>
                <w:rFonts w:eastAsia="宋体" w:cs="Times New Roman"/>
                <w:sz w:val="21"/>
              </w:rPr>
            </w:pPr>
            <w:r>
              <w:rPr>
                <w:rFonts w:eastAsia="宋体" w:cs="Times New Roman"/>
                <w:sz w:val="21"/>
              </w:rPr>
              <w:t>OSFSS-W</w:t>
            </w:r>
            <w:r>
              <w:rPr>
                <w:rFonts w:eastAsia="宋体" w:cs="Times New Roman"/>
                <w:sz w:val="21"/>
                <w:vertAlign w:val="superscript"/>
              </w:rPr>
              <w:fldChar w:fldCharType="begin" w:fldLock="1"/>
            </w:r>
            <w:r>
              <w:rPr>
                <w:rFonts w:eastAsia="宋体" w:cs="Times New Roman"/>
                <w:sz w:val="21"/>
                <w:vertAlign w:val="superscript"/>
              </w:rPr>
              <w:instrText xml:space="preserve"> REF _Ref225430916 \r \h  \* MERGEFORMAT </w:instrText>
            </w:r>
            <w:r>
              <w:rPr>
                <w:rFonts w:eastAsia="宋体" w:cs="Times New Roman"/>
                <w:sz w:val="21"/>
                <w:vertAlign w:val="superscript"/>
              </w:rPr>
              <w:fldChar w:fldCharType="separate"/>
            </w:r>
            <w:r>
              <w:rPr>
                <w:rFonts w:eastAsia="宋体" w:cs="Times New Roman"/>
                <w:sz w:val="21"/>
                <w:vertAlign w:val="superscript"/>
              </w:rPr>
              <w:t>[52]</w:t>
            </w:r>
            <w:r>
              <w:rPr>
                <w:rFonts w:eastAsia="宋体" w:cs="Times New Roman"/>
                <w:sz w:val="21"/>
                <w:vertAlign w:val="superscript"/>
              </w:rPr>
              <w:fldChar w:fldCharType="end"/>
            </w:r>
          </w:p>
        </w:tc>
        <w:tc>
          <w:tcPr>
            <w:tcW w:w="1518" w:type="dxa"/>
          </w:tcPr>
          <w:p w14:paraId="4CB64AD7">
            <w:pPr>
              <w:spacing w:line="288" w:lineRule="auto"/>
              <w:jc w:val="center"/>
              <w:rPr>
                <w:rFonts w:eastAsia="宋体" w:cs="Times New Roman"/>
                <w:sz w:val="21"/>
              </w:rPr>
            </w:pPr>
            <w:r>
              <w:rPr>
                <w:rFonts w:hint="eastAsia" w:eastAsia="宋体" w:cs="Times New Roman"/>
                <w:sz w:val="21"/>
              </w:rPr>
              <w:t>356.72</w:t>
            </w:r>
          </w:p>
        </w:tc>
        <w:tc>
          <w:tcPr>
            <w:tcW w:w="1559" w:type="dxa"/>
          </w:tcPr>
          <w:p w14:paraId="0861FC31">
            <w:pPr>
              <w:spacing w:line="288" w:lineRule="auto"/>
              <w:jc w:val="center"/>
              <w:rPr>
                <w:rFonts w:eastAsia="宋体" w:cs="Times New Roman"/>
                <w:sz w:val="21"/>
              </w:rPr>
            </w:pPr>
            <w:r>
              <w:rPr>
                <w:rFonts w:hint="eastAsia" w:eastAsia="宋体" w:cs="Times New Roman"/>
                <w:sz w:val="21"/>
              </w:rPr>
              <w:t>-155.64</w:t>
            </w:r>
          </w:p>
        </w:tc>
        <w:tc>
          <w:tcPr>
            <w:tcW w:w="1276" w:type="dxa"/>
          </w:tcPr>
          <w:p w14:paraId="32148E5C">
            <w:pPr>
              <w:spacing w:line="288" w:lineRule="auto"/>
              <w:jc w:val="center"/>
              <w:rPr>
                <w:rFonts w:eastAsia="宋体" w:cs="Times New Roman"/>
                <w:sz w:val="21"/>
              </w:rPr>
            </w:pPr>
            <w:r>
              <w:rPr>
                <w:rFonts w:hint="eastAsia" w:eastAsia="宋体" w:cs="Times New Roman"/>
                <w:sz w:val="21"/>
              </w:rPr>
              <w:t>57.45</w:t>
            </w:r>
          </w:p>
        </w:tc>
        <w:tc>
          <w:tcPr>
            <w:tcW w:w="1559" w:type="dxa"/>
          </w:tcPr>
          <w:p w14:paraId="59A63FDA">
            <w:pPr>
              <w:spacing w:line="288" w:lineRule="auto"/>
              <w:jc w:val="center"/>
              <w:rPr>
                <w:rFonts w:eastAsia="宋体" w:cs="Times New Roman"/>
                <w:sz w:val="21"/>
              </w:rPr>
            </w:pPr>
            <w:r>
              <w:rPr>
                <w:rFonts w:hint="eastAsia" w:eastAsia="宋体" w:cs="Times New Roman"/>
                <w:sz w:val="21"/>
              </w:rPr>
              <w:t>49.18</w:t>
            </w:r>
          </w:p>
        </w:tc>
        <w:tc>
          <w:tcPr>
            <w:tcW w:w="1317" w:type="dxa"/>
          </w:tcPr>
          <w:p w14:paraId="59EC85A1">
            <w:pPr>
              <w:spacing w:line="288" w:lineRule="auto"/>
              <w:jc w:val="center"/>
              <w:rPr>
                <w:rFonts w:eastAsia="宋体" w:cs="Times New Roman"/>
                <w:sz w:val="21"/>
              </w:rPr>
            </w:pPr>
            <w:r>
              <w:rPr>
                <w:rFonts w:hint="eastAsia" w:eastAsia="宋体" w:cs="Times New Roman"/>
                <w:sz w:val="21"/>
              </w:rPr>
              <w:t>0.54</w:t>
            </w:r>
          </w:p>
        </w:tc>
      </w:tr>
      <w:tr w14:paraId="539B1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6B9D43C0">
            <w:pPr>
              <w:spacing w:line="288" w:lineRule="auto"/>
              <w:jc w:val="center"/>
              <w:rPr>
                <w:rFonts w:eastAsia="宋体" w:cs="Times New Roman"/>
                <w:sz w:val="21"/>
              </w:rPr>
            </w:pPr>
            <w:r>
              <w:rPr>
                <w:rFonts w:eastAsia="宋体" w:cs="Times New Roman"/>
                <w:sz w:val="21"/>
                <w:szCs w:val="21"/>
              </w:rPr>
              <w:t>OFFESEL</w:t>
            </w:r>
            <w:r>
              <w:rPr>
                <w:rFonts w:eastAsia="宋体" w:cs="Times New Roman"/>
                <w:sz w:val="21"/>
                <w:szCs w:val="21"/>
                <w:vertAlign w:val="superscript"/>
              </w:rPr>
              <w:fldChar w:fldCharType="begin" w:fldLock="1"/>
            </w:r>
            <w:r>
              <w:rPr>
                <w:rFonts w:eastAsia="宋体" w:cs="Times New Roman"/>
                <w:sz w:val="21"/>
                <w:szCs w:val="21"/>
                <w:vertAlign w:val="superscript"/>
              </w:rPr>
              <w:instrText xml:space="preserve"> REF _Ref225430932 \r \h  \* MERGEFORMAT </w:instrText>
            </w:r>
            <w:r>
              <w:rPr>
                <w:rFonts w:eastAsia="宋体" w:cs="Times New Roman"/>
                <w:sz w:val="21"/>
                <w:szCs w:val="21"/>
                <w:vertAlign w:val="superscript"/>
              </w:rPr>
              <w:fldChar w:fldCharType="separate"/>
            </w:r>
            <w:r>
              <w:rPr>
                <w:rFonts w:eastAsia="宋体" w:cs="Times New Roman"/>
                <w:sz w:val="21"/>
                <w:szCs w:val="21"/>
                <w:vertAlign w:val="superscript"/>
              </w:rPr>
              <w:t>[53]</w:t>
            </w:r>
            <w:r>
              <w:rPr>
                <w:rFonts w:eastAsia="宋体" w:cs="Times New Roman"/>
                <w:sz w:val="21"/>
                <w:szCs w:val="21"/>
                <w:vertAlign w:val="superscript"/>
              </w:rPr>
              <w:fldChar w:fldCharType="end"/>
            </w:r>
          </w:p>
        </w:tc>
        <w:tc>
          <w:tcPr>
            <w:tcW w:w="1518" w:type="dxa"/>
          </w:tcPr>
          <w:p w14:paraId="0B3D0BDF">
            <w:pPr>
              <w:spacing w:line="288" w:lineRule="auto"/>
              <w:jc w:val="center"/>
              <w:rPr>
                <w:rFonts w:eastAsia="宋体" w:cs="Times New Roman"/>
                <w:sz w:val="21"/>
              </w:rPr>
            </w:pPr>
            <w:r>
              <w:rPr>
                <w:rFonts w:hint="eastAsia" w:eastAsia="宋体" w:cs="Times New Roman"/>
                <w:sz w:val="21"/>
              </w:rPr>
              <w:t>480.10</w:t>
            </w:r>
          </w:p>
        </w:tc>
        <w:tc>
          <w:tcPr>
            <w:tcW w:w="1559" w:type="dxa"/>
          </w:tcPr>
          <w:p w14:paraId="3FFD2BE0">
            <w:pPr>
              <w:spacing w:line="288" w:lineRule="auto"/>
              <w:jc w:val="center"/>
              <w:rPr>
                <w:rFonts w:eastAsia="宋体" w:cs="Times New Roman"/>
                <w:sz w:val="21"/>
              </w:rPr>
            </w:pPr>
            <w:r>
              <w:rPr>
                <w:rFonts w:hint="eastAsia" w:eastAsia="宋体" w:cs="Times New Roman"/>
                <w:sz w:val="21"/>
              </w:rPr>
              <w:t>-164.59</w:t>
            </w:r>
          </w:p>
        </w:tc>
        <w:tc>
          <w:tcPr>
            <w:tcW w:w="1276" w:type="dxa"/>
          </w:tcPr>
          <w:p w14:paraId="6E88FD40">
            <w:pPr>
              <w:spacing w:line="288" w:lineRule="auto"/>
              <w:jc w:val="center"/>
              <w:rPr>
                <w:rFonts w:eastAsia="宋体" w:cs="Times New Roman"/>
                <w:sz w:val="21"/>
              </w:rPr>
            </w:pPr>
            <w:r>
              <w:rPr>
                <w:rFonts w:hint="eastAsia" w:eastAsia="宋体" w:cs="Times New Roman"/>
                <w:sz w:val="21"/>
              </w:rPr>
              <w:t>56.30</w:t>
            </w:r>
          </w:p>
        </w:tc>
        <w:tc>
          <w:tcPr>
            <w:tcW w:w="1559" w:type="dxa"/>
          </w:tcPr>
          <w:p w14:paraId="18686807">
            <w:pPr>
              <w:spacing w:line="288" w:lineRule="auto"/>
              <w:jc w:val="center"/>
              <w:rPr>
                <w:rFonts w:eastAsia="宋体" w:cs="Times New Roman"/>
                <w:sz w:val="21"/>
              </w:rPr>
            </w:pPr>
            <w:r>
              <w:rPr>
                <w:rFonts w:hint="eastAsia" w:eastAsia="宋体" w:cs="Times New Roman"/>
                <w:sz w:val="21"/>
              </w:rPr>
              <w:t>58.02</w:t>
            </w:r>
          </w:p>
        </w:tc>
        <w:tc>
          <w:tcPr>
            <w:tcW w:w="1317" w:type="dxa"/>
          </w:tcPr>
          <w:p w14:paraId="786B9E0B">
            <w:pPr>
              <w:spacing w:line="288" w:lineRule="auto"/>
              <w:jc w:val="center"/>
              <w:rPr>
                <w:rFonts w:eastAsia="宋体" w:cs="Times New Roman"/>
                <w:sz w:val="21"/>
              </w:rPr>
            </w:pPr>
            <w:r>
              <w:rPr>
                <w:rFonts w:hint="eastAsia" w:eastAsia="宋体" w:cs="Times New Roman"/>
                <w:sz w:val="21"/>
              </w:rPr>
              <w:t>0.49</w:t>
            </w:r>
          </w:p>
        </w:tc>
      </w:tr>
      <w:tr w14:paraId="511E1E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7F46A5A7">
            <w:pPr>
              <w:spacing w:line="288" w:lineRule="auto"/>
              <w:jc w:val="center"/>
              <w:rPr>
                <w:rFonts w:eastAsia="宋体" w:cs="宋体"/>
                <w:b/>
                <w:bCs/>
                <w:kern w:val="0"/>
                <w:sz w:val="21"/>
                <w:szCs w:val="21"/>
              </w:rPr>
            </w:pPr>
            <w:r>
              <w:rPr>
                <w:rFonts w:hint="eastAsia" w:eastAsia="宋体" w:cs="宋体"/>
                <w:b/>
                <w:bCs/>
                <w:kern w:val="0"/>
                <w:sz w:val="21"/>
                <w:szCs w:val="21"/>
              </w:rPr>
              <w:t>Ours</w:t>
            </w:r>
          </w:p>
        </w:tc>
        <w:tc>
          <w:tcPr>
            <w:tcW w:w="1518" w:type="dxa"/>
          </w:tcPr>
          <w:p w14:paraId="544DE74F">
            <w:pPr>
              <w:spacing w:line="288" w:lineRule="auto"/>
              <w:jc w:val="center"/>
              <w:rPr>
                <w:rFonts w:eastAsia="宋体" w:cs="Times New Roman"/>
                <w:b/>
                <w:bCs/>
                <w:sz w:val="21"/>
              </w:rPr>
            </w:pPr>
            <w:r>
              <w:rPr>
                <w:rFonts w:hint="eastAsia" w:eastAsia="宋体" w:cs="Times New Roman"/>
                <w:b/>
                <w:bCs/>
                <w:sz w:val="21"/>
              </w:rPr>
              <w:t>151.95</w:t>
            </w:r>
          </w:p>
        </w:tc>
        <w:tc>
          <w:tcPr>
            <w:tcW w:w="1559" w:type="dxa"/>
          </w:tcPr>
          <w:p w14:paraId="4BAFB46A">
            <w:pPr>
              <w:spacing w:line="288" w:lineRule="auto"/>
              <w:jc w:val="center"/>
              <w:rPr>
                <w:rFonts w:eastAsia="宋体" w:cs="Times New Roman"/>
                <w:b/>
                <w:bCs/>
                <w:sz w:val="21"/>
              </w:rPr>
            </w:pPr>
            <w:r>
              <w:rPr>
                <w:rFonts w:hint="eastAsia" w:eastAsia="宋体" w:cs="Times New Roman"/>
                <w:b/>
                <w:bCs/>
                <w:sz w:val="21"/>
              </w:rPr>
              <w:t>-125.65</w:t>
            </w:r>
          </w:p>
        </w:tc>
        <w:tc>
          <w:tcPr>
            <w:tcW w:w="1276" w:type="dxa"/>
          </w:tcPr>
          <w:p w14:paraId="2EA923DF">
            <w:pPr>
              <w:spacing w:line="288" w:lineRule="auto"/>
              <w:jc w:val="center"/>
              <w:rPr>
                <w:rFonts w:eastAsia="宋体" w:cs="Times New Roman"/>
                <w:b/>
                <w:bCs/>
                <w:sz w:val="21"/>
              </w:rPr>
            </w:pPr>
            <w:r>
              <w:rPr>
                <w:rFonts w:hint="eastAsia" w:eastAsia="宋体" w:cs="Times New Roman"/>
                <w:b/>
                <w:bCs/>
                <w:sz w:val="21"/>
              </w:rPr>
              <w:t>50.32</w:t>
            </w:r>
          </w:p>
        </w:tc>
        <w:tc>
          <w:tcPr>
            <w:tcW w:w="1559" w:type="dxa"/>
          </w:tcPr>
          <w:p w14:paraId="29D1E1ED">
            <w:pPr>
              <w:spacing w:line="288" w:lineRule="auto"/>
              <w:jc w:val="center"/>
              <w:rPr>
                <w:rFonts w:eastAsia="宋体" w:cs="Times New Roman"/>
                <w:b/>
                <w:bCs/>
                <w:sz w:val="21"/>
              </w:rPr>
            </w:pPr>
            <w:r>
              <w:rPr>
                <w:rFonts w:hint="eastAsia" w:eastAsia="宋体" w:cs="Times New Roman"/>
                <w:b/>
                <w:bCs/>
                <w:sz w:val="21"/>
              </w:rPr>
              <w:t>42.87</w:t>
            </w:r>
          </w:p>
        </w:tc>
        <w:tc>
          <w:tcPr>
            <w:tcW w:w="1317" w:type="dxa"/>
          </w:tcPr>
          <w:p w14:paraId="73D5189C">
            <w:pPr>
              <w:spacing w:line="288" w:lineRule="auto"/>
              <w:jc w:val="center"/>
              <w:rPr>
                <w:rFonts w:eastAsia="宋体" w:cs="Times New Roman"/>
                <w:b/>
                <w:bCs/>
                <w:sz w:val="21"/>
              </w:rPr>
            </w:pPr>
            <w:r>
              <w:rPr>
                <w:rFonts w:hint="eastAsia" w:eastAsia="宋体" w:cs="Times New Roman"/>
                <w:b/>
                <w:bCs/>
                <w:sz w:val="21"/>
              </w:rPr>
              <w:t>0.63</w:t>
            </w:r>
          </w:p>
        </w:tc>
      </w:tr>
    </w:tbl>
    <w:p w14:paraId="6063A09E">
      <w:pPr>
        <w:spacing w:before="156" w:beforeLines="50"/>
        <w:ind w:firstLine="480" w:firstLineChars="200"/>
      </w:pPr>
      <w:r>
        <w:rPr>
          <w:rFonts w:hint="eastAsia"/>
        </w:rPr>
        <w:t>从表3.4中可以看出，本文方法在平均特征维度、平均回报、回报标准差、平均恢复时间及恢复精确率等指标上效果更优，其中平均回报相比现有方法提升了17.72。表明本文方法能够在有效压缩特征维度的同时，更有效地提升后续APT检测的性能与效果，这证明了经过本文方法筛选后的特征更有利于后续检测方法进行攻击检测、状态判断与恢复决策。</w:t>
      </w:r>
    </w:p>
    <w:p w14:paraId="7E870349">
      <w:pPr>
        <w:ind w:firstLine="480" w:firstLineChars="200"/>
      </w:pPr>
      <w:r>
        <w:rPr>
          <w:rFonts w:hint="eastAsia"/>
        </w:rPr>
        <w:t>进一步分析可知，现有文献方法虽然能够在一定程度上降低输入维度，但其特征选择过程主要面向一般数据流场景，未针对APT日志进行方法设计，缺乏对APT检测中检测收益、恢复效果及环境反馈的针对性考虑，因此在后续检测任务中的整体表现仍存在一定不足。相比之下，本文方法在CL-FP预筛选的基础上，进一步结合PF-AFMS通过性能反馈对特征进行优化，且综合考虑了</w:t>
      </w:r>
      <w:r>
        <w:rPr>
          <w:rFonts w:hint="eastAsia" w:eastAsia="宋体" w:cs="Times New Roman"/>
        </w:rPr>
        <w:t>误报惩罚及预警延迟惩罚等因素，</w:t>
      </w:r>
      <w:r>
        <w:rPr>
          <w:rFonts w:hint="eastAsia"/>
        </w:rPr>
        <w:t>使保留的特征能够更符合后续APT检测任务的实际需求。因此，本文方法不仅在特征降维方面表现较好，而且在后续检测性能方面也具有更明显的优势。</w:t>
      </w:r>
    </w:p>
    <w:p w14:paraId="226DF717">
      <w:pPr>
        <w:ind w:firstLine="480" w:firstLineChars="200"/>
      </w:pPr>
      <w:r>
        <w:rPr>
          <w:rFonts w:hint="eastAsia"/>
        </w:rPr>
        <w:t>综上所述，本文所提出的特征选择方法能够在降低特征维度的同时有效提升后续检测性能，验证了其在新型电力系统APT检测场景下的有效性。</w:t>
      </w:r>
    </w:p>
    <w:p w14:paraId="5E606A71">
      <w:pPr>
        <w:pStyle w:val="4"/>
      </w:pPr>
      <w:bookmarkStart w:id="58" w:name="_Toc230086365"/>
      <w:r>
        <w:rPr>
          <w:rFonts w:hint="eastAsia"/>
        </w:rPr>
        <w:t>3.4.6 提前预警能力验证</w:t>
      </w:r>
      <w:bookmarkEnd w:id="58"/>
    </w:p>
    <w:p w14:paraId="75B47D0F">
      <w:pPr>
        <w:ind w:firstLine="480" w:firstLineChars="200"/>
      </w:pPr>
      <w:r>
        <w:t>为比较不同特征选择方法在</w:t>
      </w:r>
      <w:r>
        <w:rPr>
          <w:rFonts w:hint="eastAsia"/>
        </w:rPr>
        <w:t>早期</w:t>
      </w:r>
      <w:r>
        <w:t>检测场景下的</w:t>
      </w:r>
      <w:r>
        <w:rPr>
          <w:rFonts w:hint="eastAsia"/>
        </w:rPr>
        <w:t>性能</w:t>
      </w:r>
      <w:r>
        <w:t>表现，</w:t>
      </w:r>
      <w:r>
        <w:rPr>
          <w:rFonts w:hint="eastAsia"/>
        </w:rPr>
        <w:t>本节</w:t>
      </w:r>
      <w:r>
        <w:t>选取平均预警提前步数作为评价指标，并将</w:t>
      </w:r>
      <w:r>
        <w:rPr>
          <w:rFonts w:hint="eastAsia"/>
        </w:rPr>
        <w:t>本文</w:t>
      </w:r>
      <w:r>
        <w:t>方法与OFSVF、OSFSS-W和OFFESEL三种</w:t>
      </w:r>
      <w:r>
        <w:rPr>
          <w:rFonts w:hint="eastAsia"/>
        </w:rPr>
        <w:t>现有</w:t>
      </w:r>
      <w:r>
        <w:t>文献方法进行对比。具体实验结果如图3.</w:t>
      </w:r>
      <w:r>
        <w:rPr>
          <w:rFonts w:hint="eastAsia"/>
        </w:rPr>
        <w:t>4</w:t>
      </w:r>
      <w:r>
        <w:t>所示。</w:t>
      </w:r>
    </w:p>
    <w:p w14:paraId="0510DD9F">
      <w:pPr>
        <w:jc w:val="center"/>
      </w:pPr>
      <w:r>
        <w:drawing>
          <wp:inline distT="0" distB="0" distL="0" distR="0">
            <wp:extent cx="3148330" cy="1778635"/>
            <wp:effectExtent l="0" t="0" r="0" b="0"/>
            <wp:docPr id="5151739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73986" name="图片 2"/>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3166156" cy="1788680"/>
                    </a:xfrm>
                    <a:prstGeom prst="rect">
                      <a:avLst/>
                    </a:prstGeom>
                    <a:noFill/>
                    <a:ln>
                      <a:noFill/>
                    </a:ln>
                  </pic:spPr>
                </pic:pic>
              </a:graphicData>
            </a:graphic>
          </wp:inline>
        </w:drawing>
      </w:r>
    </w:p>
    <w:p w14:paraId="19216521">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3</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与其他文献方法的对比结果</w:t>
      </w:r>
    </w:p>
    <w:p w14:paraId="3DF82FD7">
      <w:pPr>
        <w:ind w:firstLine="480" w:firstLineChars="200"/>
      </w:pPr>
      <w:r>
        <w:t>从图3.</w:t>
      </w:r>
      <w:r>
        <w:rPr>
          <w:rFonts w:hint="eastAsia"/>
        </w:rPr>
        <w:t>4中</w:t>
      </w:r>
      <w:r>
        <w:t>可以看出，本文方法对应的平均预警提前步数最高，达到49.40</w:t>
      </w:r>
      <w:r>
        <w:rPr>
          <w:rFonts w:hint="eastAsia"/>
        </w:rPr>
        <w:t>步</w:t>
      </w:r>
      <w:r>
        <w:t>，</w:t>
      </w:r>
      <w:r>
        <w:rPr>
          <w:rFonts w:hint="eastAsia"/>
        </w:rPr>
        <w:t>相比现有方法提升了5.62步</w:t>
      </w:r>
      <w:r>
        <w:t>。这说明经过本文方法筛选后的特征，能够更早反映APT攻击的异常变化，从而使后续检测方法在攻击造成实质影响之前</w:t>
      </w:r>
      <w:r>
        <w:rPr>
          <w:rFonts w:hint="eastAsia"/>
        </w:rPr>
        <w:t>提出</w:t>
      </w:r>
      <w:r>
        <w:t>预警。相较于现有文献方法，本文方法不仅能够较有效地</w:t>
      </w:r>
      <w:r>
        <w:rPr>
          <w:rFonts w:hint="eastAsia"/>
        </w:rPr>
        <w:t>降低特征</w:t>
      </w:r>
      <w:r>
        <w:t>维度，而且在及早检测方面表现更好，表明所保留特征与APT早期弱异常线索具有更强的关联性，能够为后续检测提供更</w:t>
      </w:r>
      <w:r>
        <w:rPr>
          <w:rFonts w:hint="eastAsia"/>
        </w:rPr>
        <w:t>有效</w:t>
      </w:r>
      <w:r>
        <w:t>的提前预警</w:t>
      </w:r>
      <w:r>
        <w:rPr>
          <w:rFonts w:hint="eastAsia"/>
        </w:rPr>
        <w:t>证据</w:t>
      </w:r>
      <w:r>
        <w:t>。</w:t>
      </w:r>
    </w:p>
    <w:p w14:paraId="51250D81">
      <w:pPr>
        <w:pStyle w:val="4"/>
      </w:pPr>
      <w:bookmarkStart w:id="59" w:name="_Toc230086366"/>
      <w:r>
        <w:rPr>
          <w:rFonts w:hint="eastAsia"/>
        </w:rPr>
        <w:t>3.4.7 消融实验</w:t>
      </w:r>
      <w:bookmarkEnd w:id="59"/>
    </w:p>
    <w:p w14:paraId="22BF9DE3">
      <w:pPr>
        <w:ind w:firstLine="480" w:firstLineChars="200"/>
      </w:pPr>
      <w:r>
        <w:rPr>
          <w:rFonts w:hint="eastAsia"/>
        </w:rPr>
        <w:t>为验证本文所提出方法各部分的有效性，本节设计了消融实验，在第四章基于大模型先验和预测型强化学习的APT检测方法（</w:t>
      </w:r>
      <w:r>
        <w:t>LLM</w:t>
      </w:r>
      <w:r>
        <w:rPr>
          <w:rFonts w:hint="eastAsia"/>
        </w:rPr>
        <w:t>-prior</w:t>
      </w:r>
      <w:r>
        <w:t xml:space="preserve"> and World-Model-guided RL APT Detection</w:t>
      </w:r>
      <w:r>
        <w:rPr>
          <w:rFonts w:hint="eastAsia"/>
        </w:rPr>
        <w:t>，LWM-RL）方法的基础上，以特征选择作为变量，测试不同特征选择方法对LWM-RL检测结果的影响。各方法的含义如下：No-FS为基础方法，不进行特征选择，直接将原始全部特征作为后续检测模型的输入；CL-FP Only在No-FS的基础上增加了基于对比学习的特征预筛选方法，仅使用候选特征池的特征作为后续检测模型的输入；PF-AFMS Only在No-FS的基础上增加了基于预测奖励的自适应掩码特征选择方法，但是不使用CL-FP方法进行特征预筛选；</w:t>
      </w:r>
      <w:r>
        <w:t>Full表示采用两阶段完整特征选择方法，其对应第四章最终方法LWM-RL所使用的特征选择结果</w:t>
      </w:r>
      <w:r>
        <w:rPr>
          <w:rFonts w:hint="eastAsia"/>
        </w:rPr>
        <w:t>。实验结果为四个区域的平均值，具体结果如表3.5所示。</w:t>
      </w:r>
    </w:p>
    <w:p w14:paraId="00BB91CD">
      <w:pPr>
        <w:spacing w:line="400" w:lineRule="exact"/>
        <w:jc w:val="center"/>
        <w:rPr>
          <w:rFonts w:eastAsia="宋体" w:cs="Times New Roman"/>
          <w:sz w:val="21"/>
          <w:szCs w:val="21"/>
        </w:rPr>
      </w:pPr>
      <w:r>
        <w:rPr>
          <w:rFonts w:hint="eastAsia" w:eastAsia="宋体" w:cs="Times New Roman"/>
          <w:sz w:val="21"/>
          <w:szCs w:val="21"/>
        </w:rPr>
        <w:t>表3</w:t>
      </w:r>
      <w:r>
        <w:rPr>
          <w:rFonts w:eastAsia="宋体" w:cs="Times New Roman"/>
          <w:sz w:val="21"/>
          <w:szCs w:val="21"/>
        </w:rPr>
        <w:t>.</w:t>
      </w:r>
      <w:r>
        <w:rPr>
          <w:rFonts w:hint="eastAsia" w:eastAsia="宋体" w:cs="Times New Roman"/>
          <w:sz w:val="21"/>
          <w:szCs w:val="21"/>
        </w:rPr>
        <w:t>5</w:t>
      </w:r>
      <w:r>
        <w:rPr>
          <w:rFonts w:eastAsia="宋体" w:cs="Times New Roman"/>
          <w:sz w:val="21"/>
          <w:szCs w:val="21"/>
        </w:rPr>
        <w:t xml:space="preserve"> </w:t>
      </w:r>
      <w:r>
        <w:rPr>
          <w:rFonts w:hint="eastAsia" w:eastAsia="宋体" w:cs="Times New Roman"/>
          <w:sz w:val="21"/>
          <w:szCs w:val="21"/>
        </w:rPr>
        <w:t>特征选择消融实验结果</w:t>
      </w:r>
    </w:p>
    <w:tbl>
      <w:tblPr>
        <w:tblStyle w:val="19"/>
        <w:tblW w:w="82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276"/>
        <w:gridCol w:w="1559"/>
        <w:gridCol w:w="1276"/>
        <w:gridCol w:w="2410"/>
      </w:tblGrid>
      <w:tr w14:paraId="25E3F4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12" w:space="0"/>
              <w:bottom w:val="single" w:color="auto" w:sz="4" w:space="0"/>
            </w:tcBorders>
          </w:tcPr>
          <w:p w14:paraId="36D50398">
            <w:pPr>
              <w:spacing w:line="288" w:lineRule="auto"/>
              <w:jc w:val="center"/>
              <w:rPr>
                <w:rFonts w:eastAsia="宋体" w:cs="Times New Roman"/>
                <w:sz w:val="21"/>
              </w:rPr>
            </w:pPr>
          </w:p>
        </w:tc>
        <w:tc>
          <w:tcPr>
            <w:tcW w:w="1276" w:type="dxa"/>
            <w:tcBorders>
              <w:top w:val="single" w:color="auto" w:sz="12" w:space="0"/>
              <w:bottom w:val="single" w:color="auto" w:sz="4" w:space="0"/>
            </w:tcBorders>
          </w:tcPr>
          <w:p w14:paraId="24F7B8CF">
            <w:pPr>
              <w:spacing w:line="288" w:lineRule="auto"/>
              <w:jc w:val="center"/>
              <w:rPr>
                <w:rFonts w:eastAsia="宋体" w:cs="Times New Roman"/>
                <w:sz w:val="21"/>
              </w:rPr>
            </w:pPr>
            <w:r>
              <w:rPr>
                <w:rFonts w:hint="eastAsia" w:eastAsia="宋体" w:cs="Times New Roman"/>
                <w:sz w:val="21"/>
                <w:szCs w:val="21"/>
              </w:rPr>
              <w:t>特征维度</w:t>
            </w:r>
          </w:p>
        </w:tc>
        <w:tc>
          <w:tcPr>
            <w:tcW w:w="1559" w:type="dxa"/>
            <w:tcBorders>
              <w:top w:val="single" w:color="auto" w:sz="12" w:space="0"/>
              <w:bottom w:val="single" w:color="auto" w:sz="4" w:space="0"/>
            </w:tcBorders>
          </w:tcPr>
          <w:p w14:paraId="4E79B34B">
            <w:pPr>
              <w:spacing w:line="288" w:lineRule="auto"/>
              <w:jc w:val="center"/>
              <w:rPr>
                <w:rFonts w:eastAsia="宋体" w:cs="Times New Roman"/>
                <w:sz w:val="21"/>
              </w:rPr>
            </w:pPr>
            <w:r>
              <w:rPr>
                <w:rFonts w:hint="eastAsia" w:eastAsia="宋体" w:cs="Times New Roman"/>
                <w:sz w:val="21"/>
              </w:rPr>
              <w:t>平均回报</w:t>
            </w:r>
          </w:p>
        </w:tc>
        <w:tc>
          <w:tcPr>
            <w:tcW w:w="1276" w:type="dxa"/>
            <w:tcBorders>
              <w:top w:val="single" w:color="auto" w:sz="12" w:space="0"/>
              <w:bottom w:val="single" w:color="auto" w:sz="4" w:space="0"/>
            </w:tcBorders>
          </w:tcPr>
          <w:p w14:paraId="2DE012C6">
            <w:pPr>
              <w:spacing w:line="288" w:lineRule="auto"/>
              <w:jc w:val="center"/>
              <w:rPr>
                <w:rFonts w:eastAsia="宋体" w:cs="Times New Roman"/>
                <w:sz w:val="21"/>
              </w:rPr>
            </w:pPr>
            <w:r>
              <w:rPr>
                <w:rFonts w:hint="eastAsia" w:eastAsia="宋体" w:cs="Times New Roman"/>
                <w:sz w:val="21"/>
              </w:rPr>
              <w:t>回报标准差</w:t>
            </w:r>
          </w:p>
        </w:tc>
        <w:tc>
          <w:tcPr>
            <w:tcW w:w="2410" w:type="dxa"/>
            <w:tcBorders>
              <w:top w:val="single" w:color="auto" w:sz="12" w:space="0"/>
              <w:bottom w:val="single" w:color="auto" w:sz="4" w:space="0"/>
            </w:tcBorders>
          </w:tcPr>
          <w:p w14:paraId="083CF732">
            <w:pPr>
              <w:spacing w:line="288" w:lineRule="auto"/>
              <w:jc w:val="center"/>
              <w:rPr>
                <w:rFonts w:eastAsia="宋体" w:cs="Times New Roman"/>
                <w:sz w:val="21"/>
              </w:rPr>
            </w:pPr>
            <w:r>
              <w:rPr>
                <w:rFonts w:hint="eastAsia" w:eastAsia="宋体" w:cs="Times New Roman"/>
                <w:sz w:val="21"/>
                <w:szCs w:val="21"/>
              </w:rPr>
              <w:t>平均预警提前步数</w:t>
            </w:r>
          </w:p>
        </w:tc>
      </w:tr>
      <w:tr w14:paraId="223AB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auto" w:sz="4" w:space="0"/>
            </w:tcBorders>
          </w:tcPr>
          <w:p w14:paraId="352DB36A">
            <w:pPr>
              <w:spacing w:line="288" w:lineRule="auto"/>
              <w:jc w:val="center"/>
              <w:rPr>
                <w:rFonts w:eastAsia="宋体" w:cs="Times New Roman"/>
                <w:sz w:val="21"/>
              </w:rPr>
            </w:pPr>
            <w:r>
              <w:rPr>
                <w:rFonts w:hint="eastAsia" w:eastAsia="宋体" w:cs="宋体"/>
                <w:kern w:val="0"/>
                <w:sz w:val="21"/>
                <w:szCs w:val="21"/>
              </w:rPr>
              <w:t>No-FS</w:t>
            </w:r>
          </w:p>
        </w:tc>
        <w:tc>
          <w:tcPr>
            <w:tcW w:w="1276" w:type="dxa"/>
            <w:tcBorders>
              <w:top w:val="single" w:color="auto" w:sz="4" w:space="0"/>
            </w:tcBorders>
          </w:tcPr>
          <w:p w14:paraId="3548AFF1">
            <w:pPr>
              <w:spacing w:line="288" w:lineRule="auto"/>
              <w:jc w:val="center"/>
              <w:rPr>
                <w:rFonts w:eastAsia="宋体" w:cs="Times New Roman"/>
                <w:sz w:val="21"/>
              </w:rPr>
            </w:pPr>
            <w:r>
              <w:rPr>
                <w:rFonts w:hint="eastAsia" w:eastAsia="宋体" w:cs="Times New Roman"/>
                <w:sz w:val="21"/>
              </w:rPr>
              <w:t>2072</w:t>
            </w:r>
          </w:p>
        </w:tc>
        <w:tc>
          <w:tcPr>
            <w:tcW w:w="1559" w:type="dxa"/>
            <w:tcBorders>
              <w:top w:val="single" w:color="auto" w:sz="4" w:space="0"/>
            </w:tcBorders>
          </w:tcPr>
          <w:p w14:paraId="40928080">
            <w:pPr>
              <w:spacing w:line="288" w:lineRule="auto"/>
              <w:jc w:val="center"/>
              <w:rPr>
                <w:rFonts w:eastAsia="宋体" w:cs="Times New Roman"/>
                <w:sz w:val="21"/>
              </w:rPr>
            </w:pPr>
            <w:r>
              <w:rPr>
                <w:rFonts w:hint="eastAsia" w:eastAsia="宋体" w:cs="Times New Roman"/>
                <w:sz w:val="21"/>
              </w:rPr>
              <w:t>-171.32</w:t>
            </w:r>
          </w:p>
        </w:tc>
        <w:tc>
          <w:tcPr>
            <w:tcW w:w="1276" w:type="dxa"/>
            <w:tcBorders>
              <w:top w:val="single" w:color="auto" w:sz="4" w:space="0"/>
            </w:tcBorders>
          </w:tcPr>
          <w:p w14:paraId="4F588112">
            <w:pPr>
              <w:spacing w:line="288" w:lineRule="auto"/>
              <w:jc w:val="center"/>
              <w:rPr>
                <w:rFonts w:eastAsia="宋体" w:cs="Times New Roman"/>
                <w:sz w:val="21"/>
              </w:rPr>
            </w:pPr>
            <w:r>
              <w:rPr>
                <w:rFonts w:hint="eastAsia" w:eastAsia="宋体" w:cs="Times New Roman"/>
                <w:sz w:val="21"/>
              </w:rPr>
              <w:t>58.27</w:t>
            </w:r>
          </w:p>
        </w:tc>
        <w:tc>
          <w:tcPr>
            <w:tcW w:w="2410" w:type="dxa"/>
            <w:tcBorders>
              <w:top w:val="single" w:color="auto" w:sz="4" w:space="0"/>
            </w:tcBorders>
          </w:tcPr>
          <w:p w14:paraId="115C6FD3">
            <w:pPr>
              <w:spacing w:line="288" w:lineRule="auto"/>
              <w:jc w:val="center"/>
              <w:rPr>
                <w:rFonts w:eastAsia="宋体" w:cs="Times New Roman"/>
                <w:sz w:val="21"/>
              </w:rPr>
            </w:pPr>
            <w:r>
              <w:rPr>
                <w:rFonts w:hint="eastAsia" w:eastAsia="宋体" w:cs="Times New Roman"/>
                <w:sz w:val="21"/>
              </w:rPr>
              <w:t>37.16</w:t>
            </w:r>
          </w:p>
        </w:tc>
      </w:tr>
      <w:tr w14:paraId="3BCDD8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13679A2">
            <w:pPr>
              <w:spacing w:line="288" w:lineRule="auto"/>
              <w:jc w:val="center"/>
              <w:rPr>
                <w:rFonts w:eastAsia="宋体" w:cs="Times New Roman"/>
                <w:sz w:val="21"/>
              </w:rPr>
            </w:pPr>
            <w:r>
              <w:rPr>
                <w:rFonts w:hint="eastAsia" w:eastAsia="宋体" w:cs="Times New Roman"/>
                <w:sz w:val="21"/>
              </w:rPr>
              <w:t>CL-FP Only</w:t>
            </w:r>
          </w:p>
        </w:tc>
        <w:tc>
          <w:tcPr>
            <w:tcW w:w="1276" w:type="dxa"/>
          </w:tcPr>
          <w:p w14:paraId="61E503EE">
            <w:pPr>
              <w:spacing w:line="288" w:lineRule="auto"/>
              <w:jc w:val="center"/>
              <w:rPr>
                <w:rFonts w:eastAsia="宋体" w:cs="Times New Roman"/>
                <w:sz w:val="21"/>
              </w:rPr>
            </w:pPr>
            <w:r>
              <w:rPr>
                <w:rFonts w:hint="eastAsia" w:eastAsia="宋体" w:cs="Times New Roman"/>
                <w:sz w:val="21"/>
              </w:rPr>
              <w:t>280</w:t>
            </w:r>
          </w:p>
        </w:tc>
        <w:tc>
          <w:tcPr>
            <w:tcW w:w="1559" w:type="dxa"/>
          </w:tcPr>
          <w:p w14:paraId="29D4B7A0">
            <w:pPr>
              <w:spacing w:line="288" w:lineRule="auto"/>
              <w:jc w:val="center"/>
              <w:rPr>
                <w:rFonts w:eastAsia="宋体" w:cs="Times New Roman"/>
                <w:sz w:val="21"/>
              </w:rPr>
            </w:pPr>
            <w:r>
              <w:rPr>
                <w:rFonts w:hint="eastAsia" w:eastAsia="宋体" w:cs="Times New Roman"/>
                <w:sz w:val="21"/>
              </w:rPr>
              <w:t>-149.13</w:t>
            </w:r>
          </w:p>
        </w:tc>
        <w:tc>
          <w:tcPr>
            <w:tcW w:w="1276" w:type="dxa"/>
          </w:tcPr>
          <w:p w14:paraId="609539C2">
            <w:pPr>
              <w:spacing w:line="288" w:lineRule="auto"/>
              <w:jc w:val="center"/>
              <w:rPr>
                <w:rFonts w:eastAsia="宋体" w:cs="Times New Roman"/>
                <w:sz w:val="21"/>
              </w:rPr>
            </w:pPr>
            <w:r>
              <w:rPr>
                <w:rFonts w:hint="eastAsia" w:eastAsia="宋体" w:cs="Times New Roman"/>
                <w:sz w:val="21"/>
              </w:rPr>
              <w:t>53.75</w:t>
            </w:r>
          </w:p>
        </w:tc>
        <w:tc>
          <w:tcPr>
            <w:tcW w:w="2410" w:type="dxa"/>
          </w:tcPr>
          <w:p w14:paraId="57D5B000">
            <w:pPr>
              <w:spacing w:line="288" w:lineRule="auto"/>
              <w:jc w:val="center"/>
              <w:rPr>
                <w:rFonts w:eastAsia="宋体" w:cs="Times New Roman"/>
                <w:sz w:val="21"/>
              </w:rPr>
            </w:pPr>
            <w:r>
              <w:rPr>
                <w:rFonts w:hint="eastAsia" w:eastAsia="宋体" w:cs="Times New Roman"/>
                <w:sz w:val="21"/>
              </w:rPr>
              <w:t>42.85</w:t>
            </w:r>
          </w:p>
        </w:tc>
      </w:tr>
      <w:tr w14:paraId="14BECC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301150A">
            <w:pPr>
              <w:spacing w:line="288" w:lineRule="auto"/>
              <w:jc w:val="center"/>
              <w:rPr>
                <w:rFonts w:eastAsia="宋体" w:cs="Times New Roman"/>
                <w:sz w:val="21"/>
              </w:rPr>
            </w:pPr>
            <w:r>
              <w:rPr>
                <w:rFonts w:hint="eastAsia" w:eastAsia="宋体" w:cs="Times New Roman"/>
                <w:sz w:val="21"/>
              </w:rPr>
              <w:t>PF-AFMS Only</w:t>
            </w:r>
          </w:p>
        </w:tc>
        <w:tc>
          <w:tcPr>
            <w:tcW w:w="1276" w:type="dxa"/>
          </w:tcPr>
          <w:p w14:paraId="3B9111ED">
            <w:pPr>
              <w:spacing w:line="288" w:lineRule="auto"/>
              <w:jc w:val="center"/>
              <w:rPr>
                <w:rFonts w:eastAsia="宋体" w:cs="Times New Roman"/>
                <w:sz w:val="21"/>
              </w:rPr>
            </w:pPr>
            <w:r>
              <w:rPr>
                <w:rFonts w:hint="eastAsia" w:eastAsia="宋体" w:cs="Times New Roman"/>
                <w:sz w:val="21"/>
              </w:rPr>
              <w:t>396.70</w:t>
            </w:r>
          </w:p>
        </w:tc>
        <w:tc>
          <w:tcPr>
            <w:tcW w:w="1559" w:type="dxa"/>
          </w:tcPr>
          <w:p w14:paraId="47697D26">
            <w:pPr>
              <w:spacing w:line="288" w:lineRule="auto"/>
              <w:jc w:val="center"/>
              <w:rPr>
                <w:rFonts w:eastAsia="宋体" w:cs="Times New Roman"/>
                <w:sz w:val="21"/>
              </w:rPr>
            </w:pPr>
            <w:r>
              <w:rPr>
                <w:rFonts w:hint="eastAsia" w:eastAsia="宋体" w:cs="Times New Roman"/>
                <w:sz w:val="21"/>
              </w:rPr>
              <w:t>-143.80</w:t>
            </w:r>
          </w:p>
        </w:tc>
        <w:tc>
          <w:tcPr>
            <w:tcW w:w="1276" w:type="dxa"/>
          </w:tcPr>
          <w:p w14:paraId="34F302A8">
            <w:pPr>
              <w:spacing w:line="288" w:lineRule="auto"/>
              <w:jc w:val="center"/>
              <w:rPr>
                <w:rFonts w:eastAsia="宋体" w:cs="Times New Roman"/>
                <w:sz w:val="21"/>
              </w:rPr>
            </w:pPr>
            <w:r>
              <w:rPr>
                <w:rFonts w:hint="eastAsia" w:eastAsia="宋体" w:cs="Times New Roman"/>
                <w:sz w:val="21"/>
              </w:rPr>
              <w:t>55.08</w:t>
            </w:r>
          </w:p>
        </w:tc>
        <w:tc>
          <w:tcPr>
            <w:tcW w:w="2410" w:type="dxa"/>
          </w:tcPr>
          <w:p w14:paraId="69B9B76D">
            <w:pPr>
              <w:spacing w:line="288" w:lineRule="auto"/>
              <w:jc w:val="center"/>
              <w:rPr>
                <w:rFonts w:eastAsia="宋体" w:cs="Times New Roman"/>
                <w:sz w:val="21"/>
              </w:rPr>
            </w:pPr>
            <w:r>
              <w:rPr>
                <w:rFonts w:hint="eastAsia" w:eastAsia="宋体" w:cs="Times New Roman"/>
                <w:sz w:val="21"/>
              </w:rPr>
              <w:t>44.06</w:t>
            </w:r>
          </w:p>
        </w:tc>
      </w:tr>
      <w:tr w14:paraId="141354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6CA80BD">
            <w:pPr>
              <w:spacing w:line="288" w:lineRule="auto"/>
              <w:jc w:val="center"/>
              <w:rPr>
                <w:rFonts w:eastAsia="宋体" w:cs="Times New Roman"/>
                <w:b/>
                <w:bCs/>
                <w:sz w:val="21"/>
              </w:rPr>
            </w:pPr>
            <w:r>
              <w:rPr>
                <w:rFonts w:hint="eastAsia" w:eastAsia="宋体" w:cs="宋体"/>
                <w:b/>
                <w:bCs/>
                <w:kern w:val="0"/>
                <w:sz w:val="21"/>
                <w:szCs w:val="21"/>
              </w:rPr>
              <w:t>Full (LWM-RL)</w:t>
            </w:r>
          </w:p>
        </w:tc>
        <w:tc>
          <w:tcPr>
            <w:tcW w:w="1276" w:type="dxa"/>
          </w:tcPr>
          <w:p w14:paraId="51B9BE68">
            <w:pPr>
              <w:spacing w:line="288" w:lineRule="auto"/>
              <w:jc w:val="center"/>
              <w:rPr>
                <w:rFonts w:eastAsia="宋体" w:cs="Times New Roman"/>
                <w:b/>
                <w:bCs/>
                <w:sz w:val="21"/>
              </w:rPr>
            </w:pPr>
            <w:r>
              <w:rPr>
                <w:rFonts w:hint="eastAsia" w:eastAsia="宋体" w:cs="Times New Roman"/>
                <w:b/>
                <w:bCs/>
                <w:sz w:val="21"/>
              </w:rPr>
              <w:t>151.95</w:t>
            </w:r>
          </w:p>
        </w:tc>
        <w:tc>
          <w:tcPr>
            <w:tcW w:w="1559" w:type="dxa"/>
          </w:tcPr>
          <w:p w14:paraId="5DCA7D69">
            <w:pPr>
              <w:spacing w:line="288" w:lineRule="auto"/>
              <w:jc w:val="center"/>
              <w:rPr>
                <w:rFonts w:eastAsia="宋体" w:cs="Times New Roman"/>
                <w:b/>
                <w:bCs/>
                <w:sz w:val="21"/>
              </w:rPr>
            </w:pPr>
            <w:r>
              <w:rPr>
                <w:rFonts w:eastAsia="宋体" w:cs="Times New Roman"/>
                <w:b/>
                <w:bCs/>
                <w:sz w:val="21"/>
              </w:rPr>
              <w:t>-125.65</w:t>
            </w:r>
          </w:p>
        </w:tc>
        <w:tc>
          <w:tcPr>
            <w:tcW w:w="1276" w:type="dxa"/>
          </w:tcPr>
          <w:p w14:paraId="3C3A18FC">
            <w:pPr>
              <w:spacing w:line="288" w:lineRule="auto"/>
              <w:jc w:val="center"/>
              <w:rPr>
                <w:rFonts w:eastAsia="宋体" w:cs="Times New Roman"/>
                <w:b/>
                <w:bCs/>
                <w:sz w:val="21"/>
              </w:rPr>
            </w:pPr>
            <w:r>
              <w:rPr>
                <w:rFonts w:eastAsia="宋体" w:cs="Times New Roman"/>
                <w:b/>
                <w:bCs/>
                <w:sz w:val="21"/>
              </w:rPr>
              <w:t>50.32</w:t>
            </w:r>
          </w:p>
        </w:tc>
        <w:tc>
          <w:tcPr>
            <w:tcW w:w="2410" w:type="dxa"/>
          </w:tcPr>
          <w:p w14:paraId="1BDD4E58">
            <w:pPr>
              <w:spacing w:line="288" w:lineRule="auto"/>
              <w:jc w:val="center"/>
              <w:rPr>
                <w:rFonts w:eastAsia="宋体" w:cs="Times New Roman"/>
                <w:b/>
                <w:bCs/>
                <w:sz w:val="21"/>
              </w:rPr>
            </w:pPr>
            <w:r>
              <w:rPr>
                <w:rFonts w:hint="eastAsia" w:eastAsia="宋体" w:cs="Times New Roman"/>
                <w:b/>
                <w:bCs/>
                <w:sz w:val="21"/>
              </w:rPr>
              <w:t>49.40</w:t>
            </w:r>
          </w:p>
        </w:tc>
      </w:tr>
    </w:tbl>
    <w:p w14:paraId="44A8CCE2">
      <w:pPr>
        <w:spacing w:before="156" w:beforeLines="50"/>
        <w:ind w:firstLine="480" w:firstLineChars="200"/>
      </w:pPr>
      <w:r>
        <w:rPr>
          <w:rFonts w:hint="eastAsia"/>
        </w:rPr>
        <w:t>从表3.5中可以看出，随着CL-FP与PF-AFMS方法的引入，模型的整体检测性能得以提升，具体分析如下：</w:t>
      </w:r>
    </w:p>
    <w:p w14:paraId="1AC8CB7A">
      <w:pPr>
        <w:ind w:firstLine="480" w:firstLineChars="200"/>
      </w:pPr>
      <w:r>
        <w:rPr>
          <w:rFonts w:hint="eastAsia"/>
        </w:rPr>
        <w:t>1）相较于No-FS方法，CL-FP Only与PF-AFMS Only方法在各项指标上均有提升，且平均回报提升较大。这表明CL-FP与PF-AFMS方法均能够在一定程度上减少无效特征对后续检测模型的干扰，从而提升模型的检测与预警能力。</w:t>
      </w:r>
    </w:p>
    <w:p w14:paraId="2432C4D7">
      <w:pPr>
        <w:ind w:firstLine="480" w:firstLineChars="200"/>
      </w:pPr>
      <w:r>
        <w:rPr>
          <w:rFonts w:hint="eastAsia"/>
        </w:rPr>
        <w:t>2）相较于CL-FP Only，PF-AFMS Only方法在平均回报与平均预警提前步数上表现更优，但是其选择的特征数较多，且回报标准差比CL-FP O</w:t>
      </w:r>
      <w:r>
        <w:t>n</w:t>
      </w:r>
      <w:r>
        <w:rPr>
          <w:rFonts w:hint="eastAsia"/>
        </w:rPr>
        <w:t>ly略大。这表明相较于特征预筛选方法，基于性能反馈的自适应特征掩码选择方法能够更好地结合任务反馈，进行特征自适应调整，从而提升模型对APT攻击的检测效果与及早预警能力。然而，该方法未使用特征预筛选，仍需对高维的特征空间进行掩码选择，因此其特征选择能力与策略稳定性弱于CL-FP Only方法。</w:t>
      </w:r>
    </w:p>
    <w:p w14:paraId="4AB62474">
      <w:pPr>
        <w:ind w:firstLine="480" w:firstLineChars="200"/>
      </w:pPr>
      <w:r>
        <w:rPr>
          <w:rFonts w:hint="eastAsia"/>
        </w:rPr>
        <w:t>3）相较于单独使用CL-FP或PF-AFMS方法，完整使用两阶段特征选择方法的Full（即LWM-RL）在各项指标上均取得最优结果。实验结果表明，CL-FP Only与PF-AFMS Only方法具有较好的互补性且二者都不可或缺：</w:t>
      </w:r>
      <w:r>
        <w:t>前者能够更有效地降低特征维度</w:t>
      </w:r>
      <w:r>
        <w:rPr>
          <w:rFonts w:hint="eastAsia"/>
        </w:rPr>
        <w:t>，减少冗余信息带来的干扰；后者则能够在此基础上结合预测奖励反馈进一步对特征进行动态调整。将两者结合后能够兼顾特征降维能力、检测效果与模型稳定性，从而取得最优结果。</w:t>
      </w:r>
    </w:p>
    <w:p w14:paraId="3170D841">
      <w:pPr>
        <w:ind w:firstLine="480" w:firstLineChars="200"/>
      </w:pPr>
      <w:r>
        <w:rPr>
          <w:rFonts w:hint="eastAsia"/>
        </w:rPr>
        <w:t>综上所述，消融实验表明，本文提出的CL-FP与PF-AFMS方法均能够有效提升后续模型对APT攻击的检测性能。其中，CL-FP通过特征预筛选大幅降低特征维度，减少冗余信息以提升模型稳定性与检测效果；PF-AFMS通过预测奖励反馈的动态掩码选择进一步提升检测效果，二者结合后达到最优结果，证明了本文方法的有效性与合理性。</w:t>
      </w:r>
    </w:p>
    <w:p w14:paraId="5D31C881">
      <w:pPr>
        <w:pStyle w:val="3"/>
      </w:pPr>
      <w:bookmarkStart w:id="60" w:name="_Toc230086367"/>
      <w:r>
        <w:rPr>
          <w:rFonts w:hint="eastAsia"/>
        </w:rPr>
        <w:t>3.5 本章小结</w:t>
      </w:r>
      <w:bookmarkEnd w:id="60"/>
    </w:p>
    <w:p w14:paraId="10F90570">
      <w:pPr>
        <w:ind w:firstLine="480" w:firstLineChars="200"/>
      </w:pPr>
      <w:r>
        <w:rPr>
          <w:rFonts w:hint="eastAsia"/>
        </w:rPr>
        <w:t>本章提出了一种基于性能反馈的自适应掩码特征选择方法。首先，给出了本章方法概述。然后，提出了基于对比学习的特征预筛选方法，通过对多源异构日志进行统一表示、行为表示学习以及特征贡献评估与筛选，构建候选特征空间，有效降低了原始高维冗余特征对后续检测的干扰。</w:t>
      </w:r>
      <w:r>
        <w:t>接着，提出基于</w:t>
      </w:r>
      <w:r>
        <w:rPr>
          <w:rFonts w:hint="eastAsia"/>
        </w:rPr>
        <w:t>综合</w:t>
      </w:r>
      <w:r>
        <w:t>性能反馈的自适应特征掩码选择方法，通过特征掩码构建、轻量预检测以及基于</w:t>
      </w:r>
      <w:r>
        <w:rPr>
          <w:rFonts w:hint="eastAsia"/>
        </w:rPr>
        <w:t>综合</w:t>
      </w:r>
      <w:r>
        <w:t>性能反馈的特征选择策略优化，对特征组合进行动态优化，实现关键特征的自适应更新。</w:t>
      </w:r>
      <w:r>
        <w:rPr>
          <w:rFonts w:hint="eastAsia"/>
        </w:rPr>
        <w:t>最后，通过特征选择有效性验证和消融实验，证明了本章方法能够在显著降低特征维度的同时有效提升后续APT检测性能及提前预警能力。其中，所提方法将特征维度降低了92.67%，且选出的日志特征相比现有方法平均回报提升了17.72，平均提前预警步数提升了5.62步。</w:t>
      </w:r>
      <w:r>
        <w:br w:type="page"/>
      </w:r>
    </w:p>
    <w:p w14:paraId="28C9291B">
      <w:pPr>
        <w:pStyle w:val="2"/>
      </w:pPr>
      <w:bookmarkStart w:id="61" w:name="_Toc230086368"/>
      <w:r>
        <w:rPr>
          <w:rFonts w:hint="eastAsia"/>
        </w:rPr>
        <w:t>第四章 基于大模型先验和预测型强化学习的APT检测方法</w:t>
      </w:r>
      <w:bookmarkEnd w:id="61"/>
    </w:p>
    <w:p w14:paraId="68569501">
      <w:pPr>
        <w:ind w:firstLine="480" w:firstLineChars="200"/>
      </w:pPr>
      <w:r>
        <w:rPr>
          <w:rFonts w:hint="eastAsia"/>
        </w:rPr>
        <w:t>针对现有APT检测方法仅依据当前观测进行判别，缺乏对攻击后续演进过程的分析，因而难以兼顾检测效果与提前预警能力的问题，本章提出一种基于大模型先验和预测型强化学习的APT检测方法。首先，对本章方法进行概述；然后，阐述基于LLM的先验生成方法和基于集成动力概率学世界模型的前瞻评估方法，为APT检测提供先验信息与前瞻依据；接着，给出基于PPO的强化学习后验选择方法，实现候选计划的后验选择与策略优化；最后，通过实验与分析验证本章方法在APT检测及提前预警能力方面的有效性。</w:t>
      </w:r>
    </w:p>
    <w:p w14:paraId="581E1EF6">
      <w:pPr>
        <w:pStyle w:val="3"/>
      </w:pPr>
      <w:bookmarkStart w:id="62" w:name="_Toc224238194"/>
      <w:bookmarkStart w:id="63" w:name="_Toc230086369"/>
      <w:r>
        <w:rPr>
          <w:rFonts w:hint="eastAsia"/>
        </w:rPr>
        <w:t>4.1 方法概述</w:t>
      </w:r>
      <w:bookmarkEnd w:id="62"/>
      <w:bookmarkEnd w:id="63"/>
    </w:p>
    <w:p w14:paraId="622D1243">
      <w:pPr>
        <w:spacing w:line="400" w:lineRule="exact"/>
        <w:ind w:firstLine="480" w:firstLineChars="200"/>
        <w:rPr>
          <w:rFonts w:eastAsia="宋体" w:cs="Times New Roman"/>
        </w:rPr>
      </w:pPr>
      <w:r>
        <w:rPr>
          <w:rFonts w:hint="eastAsia" w:eastAsia="宋体" w:cs="Times New Roman"/>
        </w:rPr>
        <w:t>如2.1</w:t>
      </w:r>
      <w:r>
        <w:rPr>
          <w:rFonts w:eastAsia="宋体" w:cs="Times New Roman"/>
        </w:rPr>
        <w:t>节所述，新型</w:t>
      </w:r>
      <w:r>
        <w:rPr>
          <w:rFonts w:hint="eastAsia" w:eastAsia="宋体" w:cs="Times New Roman"/>
        </w:rPr>
        <w:t>电</w:t>
      </w:r>
      <w:r>
        <w:rPr>
          <w:rFonts w:eastAsia="宋体" w:cs="Times New Roman"/>
        </w:rPr>
        <w:t>力系统</w:t>
      </w:r>
      <w:r>
        <w:rPr>
          <w:rFonts w:hint="eastAsia" w:eastAsia="宋体" w:cs="Times New Roman"/>
        </w:rPr>
        <w:t>中的APT攻击通常具有早期异常线索微弱、攻击行为隐蔽及持续演进等特点，使得检测决策难以只根据单一时刻的局部观测结果完成可靠判断。在第三章完成自适应特征掩码选择后，检测过程已能够在关键特征基础上进行后续分析，但是若仍基于当前状态的直接判断或单步决策，则难以判断不同检测方案对后续状态演化、预警及时性及检测收益的影响。</w:t>
      </w:r>
      <w:r>
        <w:rPr>
          <w:rFonts w:eastAsia="宋体" w:cs="Times New Roman"/>
        </w:rPr>
        <w:t>现有方法多侧重于静态判别、即时响应或直接利用大模型输出进行决策引导，难以结合攻击持续演进过程对不同检测方案的后续影响进行比较与选择，因此不能实现及早预警、检测收益与执行代价间的平衡。</w:t>
      </w:r>
      <w:r>
        <w:rPr>
          <w:rFonts w:hint="eastAsia" w:eastAsia="宋体" w:cs="Times New Roman"/>
        </w:rPr>
        <w:t>针对上述问题，本章提出一种基于大模型先验和预测型强化学习的APT检测方法</w:t>
      </w:r>
      <w:r>
        <w:t>（LLM-prior and World-Model-guided RL APT Detection, LWM-RL）</w:t>
      </w:r>
      <w:r>
        <w:rPr>
          <w:rFonts w:hint="eastAsia" w:eastAsia="宋体" w:cs="Times New Roman"/>
        </w:rPr>
        <w:t>。该方法整体框架如图4.1</w:t>
      </w:r>
      <w:r>
        <w:rPr>
          <w:rFonts w:eastAsia="宋体" w:cs="Times New Roman"/>
        </w:rPr>
        <w:t>所示</w:t>
      </w:r>
      <w:r>
        <w:rPr>
          <w:rFonts w:hint="eastAsia" w:eastAsia="宋体" w:cs="Times New Roman"/>
        </w:rPr>
        <w:t>，主要包括基于LLM的先验生成、基于集成动力概率学世界模型的前瞻评估及基于PPO的强化学习后验选择三个部分。</w:t>
      </w:r>
      <w:r>
        <w:rPr>
          <w:rFonts w:eastAsia="宋体" w:cs="Times New Roman"/>
        </w:rPr>
        <w:t>其中，LLM用于根据当前状态摘要生成候选计划及其先验偏好，世界模型用于评估候选计划在未来多步状态演化中的潜在影响，PPO</w:t>
      </w:r>
      <w:r>
        <w:rPr>
          <w:rFonts w:hint="eastAsia" w:eastAsia="宋体" w:cs="Times New Roman"/>
        </w:rPr>
        <w:t>强化学习</w:t>
      </w:r>
      <w:r>
        <w:rPr>
          <w:rFonts w:eastAsia="宋体" w:cs="Times New Roman"/>
        </w:rPr>
        <w:t>则在先验信息和前瞻评估结果的基础上完成后验选择与策略优化。</w:t>
      </w:r>
    </w:p>
    <w:p w14:paraId="7622724C">
      <w:pPr>
        <w:spacing w:line="400" w:lineRule="exact"/>
        <w:ind w:firstLine="480" w:firstLineChars="200"/>
        <w:rPr>
          <w:rFonts w:eastAsia="宋体" w:cs="Times New Roman"/>
        </w:rPr>
      </w:pPr>
      <w:r>
        <w:rPr>
          <w:rFonts w:hint="eastAsia" w:eastAsia="宋体" w:cs="Times New Roman"/>
        </w:rPr>
        <w:t>1</w:t>
      </w:r>
      <w:r>
        <w:rPr>
          <w:rFonts w:eastAsia="宋体" w:cs="Times New Roman"/>
        </w:rPr>
        <w:t>）</w:t>
      </w:r>
      <w:r>
        <w:rPr>
          <w:rFonts w:hint="eastAsia" w:eastAsia="宋体" w:cs="Times New Roman"/>
        </w:rPr>
        <w:t>基于LLM的先验生成：</w:t>
      </w:r>
      <w:r>
        <w:rPr>
          <w:rFonts w:hint="eastAsia" w:eastAsia="宋体" w:cs="Times New Roman"/>
          <w:highlight w:val="red"/>
        </w:rPr>
        <w:t>在第三章筛选后的关键检测特征基础上</w:t>
      </w:r>
      <w:r>
        <w:rPr>
          <w:rFonts w:hint="eastAsia" w:eastAsia="宋体" w:cs="Times New Roman"/>
          <w:highlight w:val="none"/>
        </w:rPr>
        <w:t>，</w:t>
      </w:r>
      <w:r>
        <w:rPr>
          <w:rFonts w:hint="eastAsia" w:eastAsia="宋体" w:cs="Times New Roman"/>
        </w:rPr>
        <w:t>首先汇总近期检测证据，</w:t>
      </w:r>
      <w:r>
        <w:rPr>
          <w:rFonts w:hint="eastAsia" w:eastAsia="宋体" w:cs="Times New Roman"/>
          <w:highlight w:val="red"/>
        </w:rPr>
        <w:t>构造</w:t>
      </w:r>
      <w:r>
        <w:rPr>
          <w:rFonts w:hint="eastAsia" w:eastAsia="宋体" w:cs="Times New Roman"/>
        </w:rPr>
        <w:t>包含结构化状态信息与文本上下文的</w:t>
      </w:r>
      <w:r>
        <w:rPr>
          <w:rFonts w:hint="eastAsia" w:eastAsia="宋体" w:cs="Times New Roman"/>
          <w:highlight w:val="red"/>
        </w:rPr>
        <w:t>状态</w:t>
      </w:r>
      <w:r>
        <w:rPr>
          <w:rFonts w:hint="eastAsia" w:eastAsia="宋体" w:cs="Times New Roman"/>
        </w:rPr>
        <w:t>摘要；然后使LLM</w:t>
      </w:r>
      <w:r>
        <w:rPr>
          <w:rFonts w:eastAsia="宋体" w:cs="Times New Roman"/>
        </w:rPr>
        <w:t>根据状态摘要生成</w:t>
      </w:r>
      <w:r>
        <w:rPr>
          <w:rFonts w:eastAsia="宋体" w:cs="Times New Roman"/>
          <w:highlight w:val="red"/>
        </w:rPr>
        <w:t>当前时刻的候选计划集合</w:t>
      </w:r>
      <w:r>
        <w:rPr>
          <w:rFonts w:hint="eastAsia" w:eastAsia="宋体" w:cs="Times New Roman"/>
        </w:rPr>
        <w:t>及各候选计划的</w:t>
      </w:r>
      <w:r>
        <w:rPr>
          <w:rFonts w:hint="eastAsia" w:eastAsia="宋体" w:cs="Times New Roman"/>
          <w:highlight w:val="red"/>
        </w:rPr>
        <w:t>先验偏好</w:t>
      </w:r>
      <w:r>
        <w:rPr>
          <w:rFonts w:hint="eastAsia" w:eastAsia="宋体" w:cs="Times New Roman"/>
        </w:rPr>
        <w:t>。</w:t>
      </w:r>
    </w:p>
    <w:p w14:paraId="2287C546">
      <w:pPr>
        <w:spacing w:line="400" w:lineRule="exact"/>
        <w:ind w:firstLine="480" w:firstLineChars="200"/>
        <w:rPr>
          <w:rFonts w:eastAsia="宋体" w:cs="Times New Roman"/>
        </w:rPr>
      </w:pPr>
      <w:r>
        <w:rPr>
          <w:rFonts w:hint="eastAsia" w:eastAsia="宋体" w:cs="Times New Roman"/>
        </w:rPr>
        <w:t>2</w:t>
      </w:r>
      <w:r>
        <w:rPr>
          <w:rFonts w:eastAsia="宋体" w:cs="Times New Roman"/>
        </w:rPr>
        <w:t>）</w:t>
      </w:r>
      <w:r>
        <w:rPr>
          <w:rFonts w:hint="eastAsia" w:eastAsia="宋体" w:cs="Times New Roman"/>
        </w:rPr>
        <w:t>基于集成动力概率学世界模型的前瞻评估：首先，构建状态摘要与检测动作间的条件状态转移关系；然后，根据候选计划中的动作序列进行多步前瞻推演，从综合收益、预测不确定性及累计代价三个方面对候选计划进行评估。</w:t>
      </w:r>
    </w:p>
    <w:p w14:paraId="6E7B1BFA">
      <w:pPr>
        <w:spacing w:line="400" w:lineRule="exact"/>
        <w:ind w:firstLine="480" w:firstLineChars="200"/>
        <w:rPr>
          <w:rFonts w:eastAsia="宋体" w:cs="Times New Roman"/>
        </w:rPr>
      </w:pPr>
      <w:r>
        <w:rPr>
          <w:rFonts w:hint="eastAsia" w:eastAsia="宋体" w:cs="Times New Roman"/>
        </w:rPr>
        <w:t>3</w:t>
      </w:r>
      <w:r>
        <w:rPr>
          <w:rFonts w:eastAsia="宋体" w:cs="Times New Roman"/>
        </w:rPr>
        <w:t>）</w:t>
      </w:r>
      <w:r>
        <w:rPr>
          <w:rFonts w:hint="eastAsia" w:eastAsia="宋体" w:cs="Times New Roman"/>
        </w:rPr>
        <w:t>基于PPO的强化学习后验选择：在得到候选计划及其先验偏好和前瞻评估结果后，首先构造候选计划的后验表示，并定义其上的后验策略分布；然后，在环境交互过程中结合奖励反馈、价值评估与优势估计，对后验策略进行学习与优化，从而完成当前时刻的候选计划后验选择。</w:t>
      </w:r>
    </w:p>
    <w:p w14:paraId="54D6AAC3">
      <w:pPr>
        <w:spacing w:line="240" w:lineRule="auto"/>
        <w:ind w:firstLine="480" w:firstLineChars="200"/>
        <w:jc w:val="center"/>
        <w:rPr>
          <w:rFonts w:eastAsia="宋体" w:cs="Times New Roman"/>
        </w:rPr>
      </w:pPr>
      <w:r>
        <w:rPr>
          <w:rFonts w:eastAsia="宋体" w:cs="Times New Roman"/>
        </w:rPr>
        <w:object>
          <v:shape id="_x0000_i1173" o:spt="75" type="#_x0000_t75" style="height:344.45pt;width:233.85pt;" o:ole="t" filled="f" o:preferrelative="t" stroked="f" coordsize="21600,21600">
            <v:path/>
            <v:fill on="f" focussize="0,0"/>
            <v:stroke on="f" joinstyle="miter"/>
            <v:imagedata r:id="rId294" cropleft="792f" croptop="375f" cropright="861f" cropbottom="646f" o:title=""/>
            <o:lock v:ext="edit" aspectratio="t"/>
            <w10:wrap type="none"/>
            <w10:anchorlock/>
          </v:shape>
          <o:OLEObject Type="Embed" ProgID="Visio.Drawing.15" ShapeID="_x0000_i1173" DrawAspect="Content" ObjectID="_1468075873" r:id="rId293">
            <o:LockedField>false</o:LockedField>
          </o:OLEObject>
        </w:object>
      </w:r>
    </w:p>
    <w:p w14:paraId="19724E74">
      <w:pPr>
        <w:widowControl/>
        <w:tabs>
          <w:tab w:val="center" w:pos="4152"/>
          <w:tab w:val="right" w:pos="8306"/>
        </w:tabs>
        <w:spacing w:after="156" w:afterLines="50" w:line="400" w:lineRule="exact"/>
        <w:jc w:val="center"/>
        <w:rPr>
          <w:rFonts w:eastAsia="宋体" w:cs="Times New Roman"/>
          <w:sz w:val="21"/>
          <w:szCs w:val="21"/>
        </w:rPr>
      </w:pPr>
      <w:r>
        <w:rPr>
          <w:rFonts w:cs="Times New Roman"/>
          <w:sz w:val="21"/>
          <w:szCs w:val="21"/>
        </w:rPr>
        <w:t>图</w:t>
      </w:r>
      <w:r>
        <w:rPr>
          <w:rFonts w:hint="eastAsia" w:cs="Times New Roman"/>
          <w:sz w:val="21"/>
          <w:szCs w:val="21"/>
        </w:rPr>
        <w:t>4.1</w:t>
      </w:r>
      <w:r>
        <w:rPr>
          <w:rFonts w:cs="Times New Roman"/>
          <w:sz w:val="21"/>
          <w:szCs w:val="21"/>
        </w:rPr>
        <w:t xml:space="preserve"> </w:t>
      </w:r>
      <w:r>
        <w:rPr>
          <w:rFonts w:hint="eastAsia" w:eastAsia="宋体" w:cs="Times New Roman"/>
          <w:sz w:val="21"/>
          <w:szCs w:val="21"/>
        </w:rPr>
        <w:t>基于大模型先验和预测型强化学习的APT检测方法框架</w:t>
      </w:r>
    </w:p>
    <w:p w14:paraId="70A9F33F">
      <w:pPr>
        <w:ind w:firstLine="480" w:firstLineChars="200"/>
      </w:pPr>
      <w:r>
        <w:t>与现有大模型辅助强化学习方法相比，本章方法</w:t>
      </w:r>
      <w:r>
        <w:rPr>
          <w:rFonts w:hint="eastAsia"/>
        </w:rPr>
        <w:t>的</w:t>
      </w:r>
      <w:r>
        <w:t>主要</w:t>
      </w:r>
      <w:r>
        <w:rPr>
          <w:rFonts w:hint="eastAsia"/>
        </w:rPr>
        <w:t>区别</w:t>
      </w:r>
      <w:r>
        <w:t>体现在候选计划的生成、评估</w:t>
      </w:r>
      <w:r>
        <w:rPr>
          <w:rFonts w:hint="eastAsia"/>
        </w:rPr>
        <w:t>及</w:t>
      </w:r>
      <w:r>
        <w:t>选择方式。现有</w:t>
      </w:r>
      <w:r>
        <w:rPr>
          <w:rFonts w:hint="eastAsia"/>
        </w:rPr>
        <w:t>LLM与强化学习结合</w:t>
      </w:r>
      <w:r>
        <w:t>方法多将LLM生成的动作先验、高层规划或奖励信号直接用于后续决策，容易受大模型先验偏差和即时判断结果的影响；现有APT检测方法则多依据当前观测进行判别，缺少对攻击后续演进过程的分析。针对上述不足，本章并不直接将LLM生成的候选计划作为最终检测决策，而是将其作为具有语义先验的候选方案；进一步利用集成动力概率学世界模型对不同候选计划进行多步前瞻评估，比较其后续状态影响、检测收益和不确定性；最后，通过PPO</w:t>
      </w:r>
      <w:r>
        <w:rPr>
          <w:rFonts w:hint="eastAsia"/>
        </w:rPr>
        <w:t>强化学习</w:t>
      </w:r>
      <w:r>
        <w:t>完成候选计划的后验选择与策略优化。由此，本章将大模型语义先验、世界模型前瞻评估和强化学习后验优化</w:t>
      </w:r>
      <w:r>
        <w:rPr>
          <w:rFonts w:hint="eastAsia"/>
        </w:rPr>
        <w:t>相</w:t>
      </w:r>
      <w:r>
        <w:t>结合，使检测决策不仅依赖当前观测，也能够结合攻击演进趋势和执行代价进行动态</w:t>
      </w:r>
      <w:r>
        <w:rPr>
          <w:rFonts w:hint="eastAsia"/>
        </w:rPr>
        <w:t>选择</w:t>
      </w:r>
      <w:r>
        <w:t>。</w:t>
      </w:r>
    </w:p>
    <w:p w14:paraId="1696B39D">
      <w:pPr>
        <w:pStyle w:val="3"/>
      </w:pPr>
      <w:bookmarkStart w:id="64" w:name="_Toc230086370"/>
      <w:bookmarkStart w:id="65" w:name="_Toc224238195"/>
      <w:r>
        <w:rPr>
          <w:rFonts w:hint="eastAsia"/>
        </w:rPr>
        <w:t xml:space="preserve">4.2 </w:t>
      </w:r>
      <w:r>
        <w:t>基于</w:t>
      </w:r>
      <w:r>
        <w:rPr>
          <w:rFonts w:hint="eastAsia"/>
        </w:rPr>
        <w:t>LLM的先验生成</w:t>
      </w:r>
      <w:bookmarkEnd w:id="64"/>
      <w:bookmarkEnd w:id="65"/>
    </w:p>
    <w:p w14:paraId="4844E231">
      <w:pPr>
        <w:ind w:firstLine="480" w:firstLineChars="200"/>
      </w:pPr>
      <w:r>
        <w:rPr>
          <w:rFonts w:hint="eastAsia"/>
        </w:rPr>
        <w:t>在第三章完成自适应掩码特征选择后，本章APT检测不再直接面向原始全部高维观测，而是能够使用经选择的关键检测特征。然而，单一时刻的特征表示仍难以充分体现APT攻击隐蔽性强、早期异常线索微弱及状态持续演化的特性。因此，本文首先对近期检测证据进行汇总并生成状态摘要，在保留关键信息基础上构造统一状态输入，并使用LLM生成候选计划及其先验偏好，为后续世界模型前瞻评估与强化学习后验选择提供了先验信息。</w:t>
      </w:r>
    </w:p>
    <w:p w14:paraId="2E754542">
      <w:pPr>
        <w:pStyle w:val="4"/>
      </w:pPr>
      <w:bookmarkStart w:id="66" w:name="_Toc224238196"/>
      <w:bookmarkStart w:id="67" w:name="_Toc230086371"/>
      <w:r>
        <w:rPr>
          <w:rFonts w:hint="eastAsia"/>
        </w:rPr>
        <w:t>4.2.1 状态摘要</w:t>
      </w:r>
      <w:bookmarkEnd w:id="66"/>
      <w:r>
        <w:rPr>
          <w:rFonts w:hint="eastAsia"/>
        </w:rPr>
        <w:t>生成</w:t>
      </w:r>
      <w:bookmarkEnd w:id="67"/>
    </w:p>
    <w:p w14:paraId="62186C13">
      <w:pPr>
        <w:spacing w:line="400" w:lineRule="exact"/>
        <w:ind w:firstLine="480" w:firstLineChars="200"/>
        <w:rPr>
          <w:rFonts w:eastAsia="宋体" w:cs="Times New Roman"/>
        </w:rPr>
      </w:pPr>
      <w:r>
        <w:rPr>
          <w:rFonts w:hint="eastAsia" w:eastAsia="宋体" w:cs="Times New Roman"/>
        </w:rPr>
        <w:t>为体现APT攻击在近期时段内的线索累积与状态演化特性，本节不只根据单一时刻的检测结果进行判断，而是以长度为</w:t>
      </w:r>
      <w:r>
        <w:rPr>
          <w:rFonts w:eastAsia="宋体" w:cs="Times New Roman"/>
          <w:position w:val="-4"/>
        </w:rPr>
        <w:object>
          <v:shape id="_x0000_i1174" o:spt="75" type="#_x0000_t75" style="height:13.25pt;width:10.95pt;" o:ole="t" filled="f" o:preferrelative="t" stroked="f" coordsize="21600,21600">
            <v:path/>
            <v:fill on="f" focussize="0,0"/>
            <v:stroke on="f" joinstyle="miter"/>
            <v:imagedata r:id="rId296" o:title=""/>
            <o:lock v:ext="edit" aspectratio="t"/>
            <w10:wrap type="none"/>
            <w10:anchorlock/>
          </v:shape>
          <o:OLEObject Type="Embed" ProgID="Equation.DSMT4" ShapeID="_x0000_i1174" DrawAspect="Content" ObjectID="_1468075874" r:id="rId295">
            <o:LockedField>false</o:LockedField>
          </o:OLEObject>
        </w:object>
      </w:r>
      <w:r>
        <w:rPr>
          <w:rFonts w:hint="eastAsia" w:eastAsia="宋体" w:cs="Times New Roman"/>
        </w:rPr>
        <w:t>的滑动窗口</w:t>
      </w:r>
      <w:r>
        <w:rPr>
          <w:rFonts w:eastAsia="宋体" w:cs="Times New Roman"/>
          <w:position w:val="-12"/>
        </w:rPr>
        <w:object>
          <v:shape id="_x0000_i1175" o:spt="75" type="#_x0000_t75" style="height:18.15pt;width:87pt;" o:ole="t" filled="f" o:preferrelative="t" stroked="f" coordsize="21600,21600">
            <v:path/>
            <v:fill on="f" focussize="0,0"/>
            <v:stroke on="f" joinstyle="miter"/>
            <v:imagedata r:id="rId298" o:title=""/>
            <o:lock v:ext="edit" aspectratio="t"/>
            <w10:wrap type="none"/>
            <w10:anchorlock/>
          </v:shape>
          <o:OLEObject Type="Embed" ProgID="Equation.DSMT4" ShapeID="_x0000_i1175" DrawAspect="Content" ObjectID="_1468075875" r:id="rId297">
            <o:LockedField>false</o:LockedField>
          </o:OLEObject>
        </w:object>
      </w:r>
      <w:r>
        <w:rPr>
          <w:rFonts w:hint="eastAsia" w:eastAsia="宋体" w:cs="Times New Roman"/>
        </w:rPr>
        <w:t>汇总近期观测证据，并在第三章筛选后的关键特征基础上，结合窗口内的上下文信息构造时刻</w:t>
      </w:r>
      <w:r>
        <w:rPr>
          <w:rFonts w:eastAsia="宋体" w:cs="Times New Roman"/>
          <w:position w:val="-6"/>
        </w:rPr>
        <w:object>
          <v:shape id="_x0000_i1176" o:spt="75" type="#_x0000_t75" style="height:12.4pt;width:6.35pt;" o:ole="t" filled="f" o:preferrelative="t" stroked="f" coordsize="21600,21600">
            <v:path/>
            <v:fill on="f" focussize="0,0"/>
            <v:stroke on="f" joinstyle="miter"/>
            <v:imagedata r:id="rId300" o:title=""/>
            <o:lock v:ext="edit" aspectratio="t"/>
            <w10:wrap type="none"/>
            <w10:anchorlock/>
          </v:shape>
          <o:OLEObject Type="Embed" ProgID="Equation.DSMT4" ShapeID="_x0000_i1176" DrawAspect="Content" ObjectID="_1468075876" r:id="rId299">
            <o:LockedField>false</o:LockedField>
          </o:OLEObject>
        </w:object>
      </w:r>
      <w:r>
        <w:rPr>
          <w:rFonts w:hint="eastAsia" w:eastAsia="宋体" w:cs="Times New Roman"/>
        </w:rPr>
        <w:t>的状态摘要，其表示如式(4.1)。</w:t>
      </w:r>
    </w:p>
    <w:p w14:paraId="5DF6FE06">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177" o:spt="75" type="#_x0000_t75" style="height:18.15pt;width:95.6pt;" o:ole="t" filled="f" o:preferrelative="t" stroked="f" coordsize="21600,21600">
            <v:path/>
            <v:fill on="f" focussize="0,0"/>
            <v:stroke on="f" joinstyle="miter"/>
            <v:imagedata r:id="rId302" o:title=""/>
            <o:lock v:ext="edit" aspectratio="t"/>
            <w10:wrap type="none"/>
            <w10:anchorlock/>
          </v:shape>
          <o:OLEObject Type="Embed" ProgID="Equation.DSMT4" ShapeID="_x0000_i1177" DrawAspect="Content" ObjectID="_1468075877" r:id="rId301">
            <o:LockedField>false</o:LockedField>
          </o:OLEObject>
        </w:object>
      </w:r>
      <w:r>
        <w:rPr>
          <w:rFonts w:eastAsia="宋体" w:cs="Times New Roman"/>
        </w:rPr>
        <w:tab/>
      </w:r>
      <w:r>
        <w:rPr>
          <w:rFonts w:hint="eastAsia" w:eastAsia="宋体" w:cs="Times New Roman"/>
        </w:rPr>
        <w:t>(4.1)</w:t>
      </w:r>
    </w:p>
    <w:p w14:paraId="677C2650">
      <w:pPr>
        <w:spacing w:line="400" w:lineRule="exact"/>
        <w:rPr>
          <w:rFonts w:eastAsia="宋体" w:cs="Times New Roman"/>
        </w:rPr>
      </w:pPr>
      <w:r>
        <w:rPr>
          <w:rFonts w:hint="eastAsia" w:eastAsia="宋体" w:cs="Times New Roman"/>
        </w:rPr>
        <w:t>式中，</w:t>
      </w:r>
      <w:r>
        <w:rPr>
          <w:rFonts w:eastAsia="宋体" w:cs="Times New Roman"/>
          <w:position w:val="-12"/>
        </w:rPr>
        <w:object>
          <v:shape id="_x0000_i1178" o:spt="75" type="#_x0000_t75" style="height:18.15pt;width:12.4pt;" o:ole="t" filled="f" o:preferrelative="t" stroked="f" coordsize="21600,21600">
            <v:path/>
            <v:fill on="f" focussize="0,0"/>
            <v:stroke on="f" joinstyle="miter"/>
            <v:imagedata r:id="rId304" o:title=""/>
            <o:lock v:ext="edit" aspectratio="t"/>
            <w10:wrap type="none"/>
            <w10:anchorlock/>
          </v:shape>
          <o:OLEObject Type="Embed" ProgID="Equation.DSMT4" ShapeID="_x0000_i1178" DrawAspect="Content" ObjectID="_1468075878" r:id="rId303">
            <o:LockedField>false</o:LockedField>
          </o:OLEObject>
        </w:object>
      </w:r>
      <w:r>
        <w:rPr>
          <w:rFonts w:hint="eastAsia" w:eastAsia="宋体" w:cs="Times New Roman"/>
        </w:rPr>
        <w:t>表示由窗口内关键检测特征构成的结构化状态向量；</w:t>
      </w:r>
      <w:r>
        <w:rPr>
          <w:rFonts w:eastAsia="宋体" w:cs="Times New Roman"/>
          <w:position w:val="-12"/>
        </w:rPr>
        <w:object>
          <v:shape id="_x0000_i1179" o:spt="75" type="#_x0000_t75" style="height:18.15pt;width:10.95pt;" o:ole="t" filled="f" o:preferrelative="t" stroked="f" coordsize="21600,21600">
            <v:path/>
            <v:fill on="f" focussize="0,0"/>
            <v:stroke on="f" joinstyle="miter"/>
            <v:imagedata r:id="rId306" o:title=""/>
            <o:lock v:ext="edit" aspectratio="t"/>
            <w10:wrap type="none"/>
            <w10:anchorlock/>
          </v:shape>
          <o:OLEObject Type="Embed" ProgID="Equation.DSMT4" ShapeID="_x0000_i1179" DrawAspect="Content" ObjectID="_1468075879" r:id="rId305">
            <o:LockedField>false</o:LockedField>
          </o:OLEObject>
        </w:object>
      </w:r>
      <w:r>
        <w:rPr>
          <w:rFonts w:hint="eastAsia" w:eastAsia="宋体" w:cs="Times New Roman"/>
        </w:rPr>
        <w:t>表示对近期异常线索、可能攻击迹象及动作反馈压缩后形成的简要文本上下文；</w:t>
      </w:r>
      <w:r>
        <w:rPr>
          <w:rFonts w:eastAsia="宋体" w:cs="Times New Roman"/>
          <w:position w:val="-10"/>
        </w:rPr>
        <w:object>
          <v:shape id="_x0000_i1180" o:spt="75" type="#_x0000_t75" style="height:16.4pt;width:23.6pt;" o:ole="t" filled="f" o:preferrelative="t" stroked="f" coordsize="21600,21600">
            <v:path/>
            <v:fill on="f" focussize="0,0"/>
            <v:stroke on="f" joinstyle="miter"/>
            <v:imagedata r:id="rId308" o:title=""/>
            <o:lock v:ext="edit" aspectratio="t"/>
            <w10:wrap type="none"/>
            <w10:anchorlock/>
          </v:shape>
          <o:OLEObject Type="Embed" ProgID="Equation.DSMT4" ShapeID="_x0000_i1180" DrawAspect="Content" ObjectID="_1468075880" r:id="rId307">
            <o:LockedField>false</o:LockedField>
          </o:OLEObject>
        </w:object>
      </w:r>
      <w:r>
        <w:rPr>
          <w:rFonts w:hint="eastAsia" w:eastAsia="宋体" w:cs="Times New Roman"/>
        </w:rPr>
        <w:t>表示状态摘要映射函数。</w:t>
      </w:r>
    </w:p>
    <w:p w14:paraId="0AD0CF75">
      <w:pPr>
        <w:spacing w:line="400" w:lineRule="exact"/>
        <w:ind w:firstLine="480" w:firstLineChars="200"/>
        <w:rPr>
          <w:rFonts w:eastAsia="宋体" w:cs="Times New Roman"/>
        </w:rPr>
      </w:pPr>
      <w:r>
        <w:rPr>
          <w:rFonts w:hint="eastAsia" w:eastAsia="宋体" w:cs="Times New Roman"/>
        </w:rPr>
        <w:t>该状态摘要采用结构化表示与文本上下文相结合的形式。其中，</w:t>
      </w:r>
      <w:r>
        <w:rPr>
          <w:rFonts w:eastAsia="宋体" w:cs="Times New Roman"/>
          <w:position w:val="-12"/>
        </w:rPr>
        <w:object>
          <v:shape id="_x0000_i1181" o:spt="75" type="#_x0000_t75" style="height:18.15pt;width:12.4pt;" o:ole="t" filled="f" o:preferrelative="t" stroked="f" coordsize="21600,21600">
            <v:path/>
            <v:fill on="f" focussize="0,0"/>
            <v:stroke on="f" joinstyle="miter"/>
            <v:imagedata r:id="rId304" o:title=""/>
            <o:lock v:ext="edit" aspectratio="t"/>
            <w10:wrap type="none"/>
            <w10:anchorlock/>
          </v:shape>
          <o:OLEObject Type="Embed" ProgID="Equation.DSMT4" ShapeID="_x0000_i1181" DrawAspect="Content" ObjectID="_1468075881" r:id="rId309">
            <o:LockedField>false</o:LockedField>
          </o:OLEObject>
        </w:object>
      </w:r>
      <w:r>
        <w:rPr>
          <w:rFonts w:hint="eastAsia" w:eastAsia="宋体" w:cs="Times New Roman"/>
        </w:rPr>
        <w:t>侧重于体现当前检测状态中的关键量化信息，便于对不同状态下的检测特征统一表示，也更适合于世界模型及强化学习后验选择进行处理；</w:t>
      </w:r>
      <w:r>
        <w:rPr>
          <w:rFonts w:eastAsia="宋体" w:cs="Times New Roman"/>
          <w:position w:val="-12"/>
        </w:rPr>
        <w:object>
          <v:shape id="_x0000_i1182" o:spt="75" type="#_x0000_t75" style="height:18.15pt;width:10.95pt;" o:ole="t" filled="f" o:preferrelative="t" stroked="f" coordsize="21600,21600">
            <v:path/>
            <v:fill on="f" focussize="0,0"/>
            <v:stroke on="f" joinstyle="miter"/>
            <v:imagedata r:id="rId306" o:title=""/>
            <o:lock v:ext="edit" aspectratio="t"/>
            <w10:wrap type="none"/>
            <w10:anchorlock/>
          </v:shape>
          <o:OLEObject Type="Embed" ProgID="Equation.DSMT4" ShapeID="_x0000_i1182" DrawAspect="Content" ObjectID="_1468075882" r:id="rId310">
            <o:LockedField>false</o:LockedField>
          </o:OLEObject>
        </w:object>
      </w:r>
      <w:r>
        <w:rPr>
          <w:rFonts w:hint="eastAsia" w:eastAsia="宋体" w:cs="Times New Roman"/>
        </w:rPr>
        <w:t>侧重于体现窗口内异常线索之间的关联及其演进信息，更适合于LLM对其进行分析。若仅保留</w:t>
      </w:r>
      <w:r>
        <w:rPr>
          <w:rFonts w:eastAsia="宋体" w:cs="Times New Roman"/>
          <w:position w:val="-12"/>
        </w:rPr>
        <w:object>
          <v:shape id="_x0000_i1183" o:spt="75" type="#_x0000_t75" style="height:18.15pt;width:12.4pt;" o:ole="t" filled="f" o:preferrelative="t" stroked="f" coordsize="21600,21600">
            <v:path/>
            <v:fill on="f" focussize="0,0"/>
            <v:stroke on="f" joinstyle="miter"/>
            <v:imagedata r:id="rId304" o:title=""/>
            <o:lock v:ext="edit" aspectratio="t"/>
            <w10:wrap type="none"/>
            <w10:anchorlock/>
          </v:shape>
          <o:OLEObject Type="Embed" ProgID="Equation.DSMT4" ShapeID="_x0000_i1183" DrawAspect="Content" ObjectID="_1468075883" r:id="rId311">
            <o:LockedField>false</o:LockedField>
          </o:OLEObject>
        </w:object>
      </w:r>
      <w:r>
        <w:rPr>
          <w:rFonts w:hint="eastAsia" w:eastAsia="宋体" w:cs="Times New Roman"/>
        </w:rPr>
        <w:t>，其难以体现异常线索的上下文联系；若仅保留</w:t>
      </w:r>
      <w:r>
        <w:rPr>
          <w:rFonts w:eastAsia="宋体" w:cs="Times New Roman"/>
          <w:position w:val="-12"/>
        </w:rPr>
        <w:object>
          <v:shape id="_x0000_i1184" o:spt="75" type="#_x0000_t75" style="height:18.15pt;width:10.95pt;" o:ole="t" filled="f" o:preferrelative="t" stroked="f" coordsize="21600,21600">
            <v:path/>
            <v:fill on="f" focussize="0,0"/>
            <v:stroke on="f" joinstyle="miter"/>
            <v:imagedata r:id="rId306" o:title=""/>
            <o:lock v:ext="edit" aspectratio="t"/>
            <w10:wrap type="none"/>
            <w10:anchorlock/>
          </v:shape>
          <o:OLEObject Type="Embed" ProgID="Equation.DSMT4" ShapeID="_x0000_i1184" DrawAspect="Content" ObjectID="_1468075884" r:id="rId312">
            <o:LockedField>false</o:LockedField>
          </o:OLEObject>
        </w:object>
      </w:r>
      <w:r>
        <w:rPr>
          <w:rFonts w:hint="eastAsia" w:eastAsia="宋体" w:cs="Times New Roman"/>
        </w:rPr>
        <w:t>，其虽具有较强的语义表达效果，但会降低对关键检测信息的表示能力。因此，本文将二者结合构造状态摘要，以作为LLM先验生成的统一输入，并为后续前瞻评估与后验选择提供了一致的状态表示。</w:t>
      </w:r>
    </w:p>
    <w:p w14:paraId="63EEC9CB">
      <w:pPr>
        <w:pStyle w:val="4"/>
      </w:pPr>
      <w:bookmarkStart w:id="68" w:name="_Toc224238197"/>
      <w:bookmarkStart w:id="69" w:name="_Toc230086372"/>
      <w:r>
        <w:rPr>
          <w:rFonts w:hint="eastAsia"/>
        </w:rPr>
        <w:t>4.2.2 包含先验偏好的候选计划</w:t>
      </w:r>
      <w:bookmarkEnd w:id="68"/>
      <w:r>
        <w:rPr>
          <w:rFonts w:hint="eastAsia"/>
        </w:rPr>
        <w:t>生成</w:t>
      </w:r>
      <w:bookmarkEnd w:id="69"/>
    </w:p>
    <w:p w14:paraId="52C10B23">
      <w:pPr>
        <w:spacing w:line="400" w:lineRule="exact"/>
        <w:ind w:firstLine="480" w:firstLineChars="200"/>
        <w:rPr>
          <w:rFonts w:eastAsia="宋体" w:cs="Times New Roman"/>
        </w:rPr>
      </w:pPr>
      <w:r>
        <w:rPr>
          <w:rFonts w:hint="eastAsia" w:eastAsia="宋体" w:cs="Times New Roman"/>
        </w:rPr>
        <w:t>在生成状态摘要后，本节使用LLM推理生成当前时刻的候选计划集合。其中，候选计划不是单步动作，而是由许多高层检测行为构成的短时序决策序列，以描述在当前状态下可能采取的检测策略。时刻</w:t>
      </w:r>
      <w:r>
        <w:rPr>
          <w:rFonts w:eastAsia="宋体" w:cs="Times New Roman"/>
          <w:position w:val="-6"/>
        </w:rPr>
        <w:object>
          <v:shape id="_x0000_i1185" o:spt="75" type="#_x0000_t75" style="height:12.4pt;width:6.35pt;" o:ole="t" filled="f" o:preferrelative="t" stroked="f" coordsize="21600,21600">
            <v:path/>
            <v:fill on="f" focussize="0,0"/>
            <v:stroke on="f" joinstyle="miter"/>
            <v:imagedata r:id="rId314" o:title=""/>
            <o:lock v:ext="edit" aspectratio="t"/>
            <w10:wrap type="none"/>
            <w10:anchorlock/>
          </v:shape>
          <o:OLEObject Type="Embed" ProgID="Equation.DSMT4" ShapeID="_x0000_i1185" DrawAspect="Content" ObjectID="_1468075885" r:id="rId313">
            <o:LockedField>false</o:LockedField>
          </o:OLEObject>
        </w:object>
      </w:r>
      <w:r>
        <w:rPr>
          <w:rFonts w:hint="eastAsia" w:eastAsia="宋体" w:cs="Times New Roman"/>
        </w:rPr>
        <w:t>生成的候选计划集合如式(4.2)，且第</w:t>
      </w:r>
      <w:r>
        <w:rPr>
          <w:rFonts w:eastAsia="宋体" w:cs="Times New Roman"/>
          <w:position w:val="-6"/>
        </w:rPr>
        <w:object>
          <v:shape id="_x0000_i1186" o:spt="75" type="#_x0000_t75" style="height:13.25pt;width:6.35pt;" o:ole="t" filled="f" o:preferrelative="t" stroked="f" coordsize="21600,21600">
            <v:path/>
            <v:fill on="f" focussize="0,0"/>
            <v:stroke on="f" joinstyle="miter"/>
            <v:imagedata r:id="rId316" o:title=""/>
            <o:lock v:ext="edit" aspectratio="t"/>
            <w10:wrap type="none"/>
            <w10:anchorlock/>
          </v:shape>
          <o:OLEObject Type="Embed" ProgID="Equation.DSMT4" ShapeID="_x0000_i1186" DrawAspect="Content" ObjectID="_1468075886" r:id="rId315">
            <o:LockedField>false</o:LockedField>
          </o:OLEObject>
        </w:object>
      </w:r>
      <w:r>
        <w:rPr>
          <w:rFonts w:hint="eastAsia" w:eastAsia="宋体" w:cs="Times New Roman"/>
        </w:rPr>
        <w:t>个候选计划可表示如式(4.3)。</w:t>
      </w:r>
    </w:p>
    <w:p w14:paraId="52D50E30">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187" o:spt="75" type="#_x0000_t75" style="height:19pt;width:105.4pt;" o:ole="t" filled="f" o:preferrelative="t" stroked="f" coordsize="21600,21600">
            <v:path/>
            <v:fill on="f" focussize="0,0"/>
            <v:stroke on="f" joinstyle="miter"/>
            <v:imagedata r:id="rId318" o:title=""/>
            <o:lock v:ext="edit" aspectratio="t"/>
            <w10:wrap type="none"/>
            <w10:anchorlock/>
          </v:shape>
          <o:OLEObject Type="Embed" ProgID="Equation.DSMT4" ShapeID="_x0000_i1187" DrawAspect="Content" ObjectID="_1468075887" r:id="rId317">
            <o:LockedField>false</o:LockedField>
          </o:OLEObject>
        </w:object>
      </w:r>
      <w:r>
        <w:rPr>
          <w:rFonts w:eastAsia="宋体" w:cs="Times New Roman"/>
        </w:rPr>
        <w:tab/>
      </w:r>
      <w:r>
        <w:rPr>
          <w:rFonts w:hint="eastAsia" w:eastAsia="宋体" w:cs="Times New Roman"/>
        </w:rPr>
        <w:t>(4.2)</w:t>
      </w:r>
    </w:p>
    <w:p w14:paraId="528E246C">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188" o:spt="75" type="#_x0000_t75" style="height:19.6pt;width:160.7pt;" o:ole="t" filled="f" o:preferrelative="t" stroked="f" coordsize="21600,21600">
            <v:path/>
            <v:fill on="f" focussize="0,0"/>
            <v:stroke on="f" joinstyle="miter"/>
            <v:imagedata r:id="rId320" o:title=""/>
            <o:lock v:ext="edit" aspectratio="t"/>
            <w10:wrap type="none"/>
            <w10:anchorlock/>
          </v:shape>
          <o:OLEObject Type="Embed" ProgID="Equation.DSMT4" ShapeID="_x0000_i1188" DrawAspect="Content" ObjectID="_1468075888" r:id="rId319">
            <o:LockedField>false</o:LockedField>
          </o:OLEObject>
        </w:object>
      </w:r>
      <w:r>
        <w:rPr>
          <w:rFonts w:eastAsia="宋体" w:cs="Times New Roman"/>
        </w:rPr>
        <w:tab/>
      </w:r>
      <w:r>
        <w:rPr>
          <w:rFonts w:hint="eastAsia" w:eastAsia="宋体" w:cs="Times New Roman"/>
        </w:rPr>
        <w:t>(4.3)</w:t>
      </w:r>
    </w:p>
    <w:p w14:paraId="32182D09">
      <w:pPr>
        <w:spacing w:line="400" w:lineRule="exact"/>
        <w:rPr>
          <w:rFonts w:eastAsia="宋体" w:cs="Times New Roman"/>
        </w:rPr>
      </w:pPr>
      <w:r>
        <w:rPr>
          <w:rFonts w:hint="eastAsia" w:eastAsia="宋体" w:cs="Times New Roman"/>
        </w:rPr>
        <w:t>式中，</w:t>
      </w:r>
      <w:r>
        <w:rPr>
          <w:rFonts w:hint="eastAsia" w:eastAsia="宋体" w:cs="Times New Roman"/>
          <w:position w:val="-4"/>
        </w:rPr>
        <w:object>
          <v:shape id="_x0000_i1189" o:spt="75" type="#_x0000_t75" style="height:13.25pt;width:12.4pt;" o:ole="t" filled="f" o:preferrelative="t" stroked="f" coordsize="21600,21600">
            <v:path/>
            <v:fill on="f" focussize="0,0"/>
            <v:stroke on="f" joinstyle="miter"/>
            <v:imagedata r:id="rId322" o:title=""/>
            <o:lock v:ext="edit" aspectratio="t"/>
            <w10:wrap type="none"/>
            <w10:anchorlock/>
          </v:shape>
          <o:OLEObject Type="Embed" ProgID="Equation.DSMT4" ShapeID="_x0000_i1189" DrawAspect="Content" ObjectID="_1468075889" r:id="rId321">
            <o:LockedField>false</o:LockedField>
          </o:OLEObject>
        </w:object>
      </w:r>
      <w:r>
        <w:rPr>
          <w:rFonts w:hint="eastAsia" w:eastAsia="宋体" w:cs="Times New Roman"/>
        </w:rPr>
        <w:t>动作行为集合，</w:t>
      </w:r>
      <w:r>
        <w:rPr>
          <w:rFonts w:eastAsia="宋体" w:cs="Times New Roman"/>
        </w:rPr>
        <w:t>包含继续监测、轻量补证、重度补证、局部处置和强处置等动作类别</w:t>
      </w:r>
      <w:r>
        <w:rPr>
          <w:rFonts w:hint="eastAsia" w:eastAsia="宋体" w:cs="Times New Roman"/>
        </w:rPr>
        <w:t>；</w:t>
      </w:r>
      <w:r>
        <w:rPr>
          <w:rFonts w:hint="eastAsia" w:eastAsia="宋体" w:cs="Times New Roman"/>
          <w:position w:val="-4"/>
        </w:rPr>
        <w:object>
          <v:shape id="_x0000_i1190" o:spt="75" type="#_x0000_t75" style="height:13.25pt;width:13.8pt;" o:ole="t" filled="f" o:preferrelative="t" stroked="f" coordsize="21600,21600">
            <v:path/>
            <v:fill on="f" focussize="0,0"/>
            <v:stroke on="f" joinstyle="miter"/>
            <v:imagedata r:id="rId324" o:title=""/>
            <o:lock v:ext="edit" aspectratio="t"/>
            <w10:wrap type="none"/>
            <w10:anchorlock/>
          </v:shape>
          <o:OLEObject Type="Embed" ProgID="Equation.DSMT4" ShapeID="_x0000_i1190" DrawAspect="Content" ObjectID="_1468075890" r:id="rId323">
            <o:LockedField>false</o:LockedField>
          </o:OLEObject>
        </w:object>
      </w:r>
      <w:r>
        <w:rPr>
          <w:rFonts w:hint="eastAsia" w:eastAsia="宋体" w:cs="Times New Roman"/>
        </w:rPr>
        <w:t>表示计划长度；</w:t>
      </w:r>
      <w:r>
        <w:rPr>
          <w:rFonts w:hint="eastAsia" w:eastAsia="宋体" w:cs="Times New Roman"/>
          <w:position w:val="-6"/>
        </w:rPr>
        <w:object>
          <v:shape id="_x0000_i1191" o:spt="75" type="#_x0000_t75" style="height:13.8pt;width:13.8pt;" o:ole="t" filled="f" o:preferrelative="t" stroked="f" coordsize="21600,21600">
            <v:path/>
            <v:fill on="f" focussize="0,0"/>
            <v:stroke on="f" joinstyle="miter"/>
            <v:imagedata r:id="rId326" o:title=""/>
            <o:lock v:ext="edit" aspectratio="t"/>
            <w10:wrap type="none"/>
            <w10:anchorlock/>
          </v:shape>
          <o:OLEObject Type="Embed" ProgID="Equation.DSMT4" ShapeID="_x0000_i1191" DrawAspect="Content" ObjectID="_1468075891" r:id="rId325">
            <o:LockedField>false</o:LockedField>
          </o:OLEObject>
        </w:object>
      </w:r>
      <w:r>
        <w:rPr>
          <w:rFonts w:hint="eastAsia" w:eastAsia="宋体" w:cs="Times New Roman"/>
        </w:rPr>
        <w:t>表示候选计划数量。通过将决策目标限制为有限个候选计划，后续步骤无需在完整动作空间中直接搜索，而是对少量高质量候选计划进行评估与选择，从而降低了决策与搜索复杂度。</w:t>
      </w:r>
    </w:p>
    <w:p w14:paraId="64847807">
      <w:pPr>
        <w:spacing w:line="400" w:lineRule="exact"/>
        <w:ind w:firstLine="480" w:firstLineChars="200"/>
        <w:rPr>
          <w:rFonts w:eastAsia="宋体" w:cs="Times New Roman"/>
        </w:rPr>
      </w:pPr>
      <w:r>
        <w:rPr>
          <w:rFonts w:hint="eastAsia" w:eastAsia="宋体" w:cs="Times New Roman"/>
        </w:rPr>
        <w:t>在本节中，LLM的作用不是直接输出最终检测决策，而是根据状态摘要推理生成语义上较为合理的候选计划。这利用了LLM对复杂上下文信息的归纳分析能力，将当前状态下最可能采取的检测思路表示为规模可控、语义明确的候选集合，为后续前瞻评估与后验选择提供了初始决策范围。</w:t>
      </w:r>
    </w:p>
    <w:p w14:paraId="48FD8281">
      <w:pPr>
        <w:spacing w:line="400" w:lineRule="exact"/>
        <w:ind w:firstLine="480" w:firstLineChars="200"/>
        <w:rPr>
          <w:rFonts w:eastAsia="宋体" w:cs="Times New Roman"/>
        </w:rPr>
      </w:pPr>
      <w:r>
        <w:rPr>
          <w:rFonts w:hint="eastAsia" w:eastAsia="宋体" w:cs="Times New Roman"/>
        </w:rPr>
        <w:t>然而，若只提供候选计划，则只能够确定当前状态下的可选检测方案，而难以体现不同候选计划的相对适配程度。在此基础上，本节进一步引入先验偏好，以表示LLM对不同候选计划相对适配程度的评估。设LLM对候选计划</w:t>
      </w:r>
      <w:r>
        <w:rPr>
          <w:rFonts w:hint="eastAsia" w:eastAsia="宋体" w:cs="Times New Roman"/>
          <w:position w:val="-14"/>
        </w:rPr>
        <w:object>
          <v:shape id="_x0000_i1192" o:spt="75" type="#_x0000_t75" style="height:19pt;width:17pt;" o:ole="t" filled="f" o:preferrelative="t" stroked="f" coordsize="21600,21600">
            <v:path/>
            <v:fill on="f" focussize="0,0"/>
            <v:stroke on="f" joinstyle="miter"/>
            <v:imagedata r:id="rId328" o:title=""/>
            <o:lock v:ext="edit" aspectratio="t"/>
            <w10:wrap type="none"/>
            <w10:anchorlock/>
          </v:shape>
          <o:OLEObject Type="Embed" ProgID="Equation.DSMT4" ShapeID="_x0000_i1192" DrawAspect="Content" ObjectID="_1468075892" r:id="rId327">
            <o:LockedField>false</o:LockedField>
          </o:OLEObject>
        </w:object>
      </w:r>
      <w:r>
        <w:rPr>
          <w:rFonts w:hint="eastAsia" w:eastAsia="宋体" w:cs="Times New Roman"/>
        </w:rPr>
        <w:t>的评分为</w:t>
      </w:r>
      <w:r>
        <w:rPr>
          <w:rFonts w:hint="eastAsia" w:eastAsia="宋体" w:cs="Times New Roman"/>
          <w:position w:val="-14"/>
        </w:rPr>
        <w:object>
          <v:shape id="_x0000_i1193" o:spt="75" type="#_x0000_t75" style="height:19pt;width:16.4pt;" o:ole="t" filled="f" o:preferrelative="t" stroked="f" coordsize="21600,21600">
            <v:path/>
            <v:fill on="f" focussize="0,0"/>
            <v:stroke on="f" joinstyle="miter"/>
            <v:imagedata r:id="rId330" o:title=""/>
            <o:lock v:ext="edit" aspectratio="t"/>
            <w10:wrap type="none"/>
            <w10:anchorlock/>
          </v:shape>
          <o:OLEObject Type="Embed" ProgID="Equation.DSMT4" ShapeID="_x0000_i1193" DrawAspect="Content" ObjectID="_1468075893" r:id="rId329">
            <o:LockedField>false</o:LockedField>
          </o:OLEObject>
        </w:object>
      </w:r>
      <w:r>
        <w:rPr>
          <w:rFonts w:hint="eastAsia" w:eastAsia="宋体" w:cs="Times New Roman"/>
        </w:rPr>
        <w:t>，则候选计划的先验偏好分布可表示如式(4.4)。</w:t>
      </w:r>
    </w:p>
    <w:p w14:paraId="40846029">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40"/>
        </w:rPr>
        <w:object>
          <v:shape id="_x0000_i1194" o:spt="75" type="#_x0000_t75" style="height:40.05pt;width:190.95pt;" o:ole="t" filled="f" o:preferrelative="t" stroked="f" coordsize="21600,21600">
            <v:path/>
            <v:fill on="f" focussize="0,0"/>
            <v:stroke on="f" joinstyle="miter"/>
            <v:imagedata r:id="rId332" o:title=""/>
            <o:lock v:ext="edit" aspectratio="t"/>
            <w10:wrap type="none"/>
            <w10:anchorlock/>
          </v:shape>
          <o:OLEObject Type="Embed" ProgID="Equation.DSMT4" ShapeID="_x0000_i1194" DrawAspect="Content" ObjectID="_1468075894" r:id="rId331">
            <o:LockedField>false</o:LockedField>
          </o:OLEObject>
        </w:object>
      </w:r>
      <w:r>
        <w:rPr>
          <w:rFonts w:eastAsia="宋体" w:cs="Times New Roman"/>
        </w:rPr>
        <w:tab/>
      </w:r>
      <w:r>
        <w:rPr>
          <w:rFonts w:hint="eastAsia" w:eastAsia="宋体" w:cs="Times New Roman"/>
        </w:rPr>
        <w:t>(4.4)</w:t>
      </w:r>
    </w:p>
    <w:p w14:paraId="3169E1CF">
      <w:pPr>
        <w:spacing w:line="400" w:lineRule="exact"/>
        <w:rPr>
          <w:rFonts w:eastAsia="宋体" w:cs="Times New Roman"/>
        </w:rPr>
      </w:pPr>
      <w:r>
        <w:rPr>
          <w:rFonts w:eastAsia="宋体" w:cs="Times New Roman"/>
        </w:rPr>
        <w:t>式中，</w:t>
      </w:r>
      <w:r>
        <w:rPr>
          <w:rFonts w:hint="eastAsia" w:eastAsia="宋体" w:cs="Times New Roman"/>
          <w:position w:val="-6"/>
        </w:rPr>
        <w:object>
          <v:shape id="_x0000_i1195" o:spt="75" type="#_x0000_t75" style="height:10.95pt;width:10.1pt;" o:ole="t" filled="f" o:preferrelative="t" stroked="f" coordsize="21600,21600">
            <v:path/>
            <v:fill on="f" focussize="0,0"/>
            <v:stroke on="f" joinstyle="miter"/>
            <v:imagedata r:id="rId334" o:title=""/>
            <o:lock v:ext="edit" aspectratio="t"/>
            <w10:wrap type="none"/>
            <w10:anchorlock/>
          </v:shape>
          <o:OLEObject Type="Embed" ProgID="Equation.DSMT4" ShapeID="_x0000_i1195" DrawAspect="Content" ObjectID="_1468075895" r:id="rId333">
            <o:LockedField>false</o:LockedField>
          </o:OLEObject>
        </w:object>
      </w:r>
      <w:r>
        <w:rPr>
          <w:rFonts w:hint="eastAsia" w:eastAsia="宋体" w:cs="Times New Roman"/>
        </w:rPr>
        <w:t>为温度系数，用于调节先验偏好的集中程度；</w:t>
      </w:r>
      <w:r>
        <w:rPr>
          <w:rFonts w:hint="eastAsia" w:eastAsia="宋体" w:cs="Times New Roman"/>
          <w:position w:val="-14"/>
        </w:rPr>
        <w:object>
          <v:shape id="_x0000_i1196" o:spt="75" type="#_x0000_t75" style="height:19.6pt;width:28.2pt;" o:ole="t" filled="f" o:preferrelative="t" stroked="f" coordsize="21600,21600">
            <v:path/>
            <v:fill on="f" focussize="0,0"/>
            <v:stroke on="f" joinstyle="miter"/>
            <v:imagedata r:id="rId336" o:title=""/>
            <o:lock v:ext="edit" aspectratio="t"/>
            <w10:wrap type="none"/>
            <w10:anchorlock/>
          </v:shape>
          <o:OLEObject Type="Embed" ProgID="Equation.DSMT4" ShapeID="_x0000_i1196" DrawAspect="Content" ObjectID="_1468075896" r:id="rId335">
            <o:LockedField>false</o:LockedField>
          </o:OLEObject>
        </w:object>
      </w:r>
      <w:r>
        <w:rPr>
          <w:rFonts w:hint="eastAsia" w:eastAsia="宋体" w:cs="Times New Roman"/>
        </w:rPr>
        <w:t>表示LLM对各候选计划的相对偏好。</w:t>
      </w:r>
    </w:p>
    <w:p w14:paraId="7CAE643B">
      <w:pPr>
        <w:spacing w:line="400" w:lineRule="exact"/>
        <w:ind w:firstLine="480" w:firstLineChars="200"/>
        <w:rPr>
          <w:rFonts w:eastAsia="宋体" w:cs="Times New Roman"/>
        </w:rPr>
      </w:pPr>
      <w:r>
        <w:rPr>
          <w:rFonts w:eastAsia="宋体" w:cs="Times New Roman"/>
        </w:rPr>
        <w:t>经</w:t>
      </w:r>
      <w:r>
        <w:rPr>
          <w:rFonts w:hint="eastAsia" w:eastAsia="宋体" w:cs="Times New Roman"/>
        </w:rPr>
        <w:t>上述过程，本节得出了候选计划集合及其先验偏好。其中，候选计划为后续世界模型前瞻评估提供了更明确、范围更小的高质量比较目标；先验偏好则为后验选择提供了初始依据。</w:t>
      </w:r>
      <w:r>
        <w:rPr>
          <w:rFonts w:eastAsia="宋体" w:cs="Times New Roman"/>
        </w:rPr>
        <w:t>需要说明的是，候选计划表示当前状态下可能采取的检测方案集合，LLM给出的先验偏好仅反映其基于状态摘要得到的初始判断，并不等同于最终检测决策。</w:t>
      </w:r>
      <w:r>
        <w:rPr>
          <w:rFonts w:hint="eastAsia" w:eastAsia="宋体" w:cs="Times New Roman"/>
        </w:rPr>
        <w:t>在此基础上，4.3</w:t>
      </w:r>
      <w:r>
        <w:rPr>
          <w:rFonts w:eastAsia="宋体" w:cs="Times New Roman"/>
        </w:rPr>
        <w:t>节将进一步对候选计划进行前瞻评估，</w:t>
      </w:r>
      <w:r>
        <w:rPr>
          <w:rFonts w:hint="eastAsia" w:eastAsia="宋体" w:cs="Times New Roman"/>
        </w:rPr>
        <w:t>4.4</w:t>
      </w:r>
      <w:r>
        <w:rPr>
          <w:rFonts w:eastAsia="宋体" w:cs="Times New Roman"/>
        </w:rPr>
        <w:t>节则结合先验偏好完成后验选择。</w:t>
      </w:r>
    </w:p>
    <w:p w14:paraId="40B49019">
      <w:pPr>
        <w:pStyle w:val="3"/>
      </w:pPr>
      <w:bookmarkStart w:id="70" w:name="_Toc230086373"/>
      <w:bookmarkStart w:id="71" w:name="_Toc224238200"/>
      <w:r>
        <w:rPr>
          <w:rFonts w:hint="eastAsia"/>
        </w:rPr>
        <w:t>4.3 基于集成动力概率学世界模型的前瞻评估</w:t>
      </w:r>
      <w:bookmarkEnd w:id="70"/>
      <w:bookmarkEnd w:id="71"/>
    </w:p>
    <w:p w14:paraId="0606D3F4">
      <w:pPr>
        <w:ind w:firstLine="480" w:firstLineChars="200"/>
      </w:pPr>
      <w:r>
        <w:rPr>
          <w:rFonts w:hint="eastAsia"/>
        </w:rPr>
        <w:t>4.2节生成的候选计划能够反映当前状态下值得考虑的检测方案，但是其不能直接体现不同计划对于后续检测及状态演化的实际影响。对于APT检测而言，若缺少对未来状态演化的前瞻预测，则后续选择难以在检测收益、代价开销与预测及时性等方面实现平衡，也难以达到最优检测效果。这体现了使用具有前瞻预测能力模型的必要性，若能够对候选计划进行进一步前瞻评估，则在后验选择阶段便可以更高效、更准确地选择检测方案。因此，本文使用具有前瞻预测能力的集成动力概率学世界模型，对候选计划在未来一定步数内可能引起的状态变化进行预测，并在此基础上为后续候选计划评估提供状态演化依据。</w:t>
      </w:r>
    </w:p>
    <w:p w14:paraId="6A08E09A">
      <w:pPr>
        <w:pStyle w:val="4"/>
      </w:pPr>
      <w:bookmarkStart w:id="72" w:name="_Toc224238201"/>
      <w:bookmarkStart w:id="73" w:name="_Toc230086374"/>
      <w:r>
        <w:rPr>
          <w:rFonts w:hint="eastAsia"/>
        </w:rPr>
        <w:t>4.3.1 状态转移</w:t>
      </w:r>
      <w:bookmarkEnd w:id="72"/>
      <w:r>
        <w:rPr>
          <w:rFonts w:hint="eastAsia"/>
        </w:rPr>
        <w:t>模型</w:t>
      </w:r>
      <w:bookmarkEnd w:id="73"/>
    </w:p>
    <w:p w14:paraId="0A817F8E">
      <w:pPr>
        <w:spacing w:line="400" w:lineRule="exact"/>
        <w:ind w:firstLine="480" w:firstLineChars="200"/>
        <w:rPr>
          <w:rFonts w:eastAsia="宋体" w:cs="Times New Roman"/>
        </w:rPr>
      </w:pPr>
      <w:r>
        <w:rPr>
          <w:rFonts w:eastAsia="宋体" w:cs="Times New Roman"/>
        </w:rPr>
        <w:t>为</w:t>
      </w:r>
      <w:r>
        <w:rPr>
          <w:rFonts w:hint="eastAsia" w:eastAsia="宋体" w:cs="Times New Roman"/>
        </w:rPr>
        <w:t>实现对候选计划的前瞻评估，首先需要建立当前状态与检测动作间的状态转移关系。本节将单步状态变化建模为条件概率分布的形式，并采用由</w:t>
      </w:r>
      <w:r>
        <w:rPr>
          <w:rFonts w:hint="eastAsia" w:eastAsia="宋体" w:cs="Times New Roman"/>
          <w:position w:val="-4"/>
        </w:rPr>
        <w:object>
          <v:shape id="_x0000_i1197" o:spt="75" type="#_x0000_t75" style="height:13.25pt;width:16.4pt;" o:ole="t" filled="f" o:preferrelative="t" stroked="f" coordsize="21600,21600">
            <v:path/>
            <v:fill on="f" focussize="0,0"/>
            <v:stroke on="f" joinstyle="miter"/>
            <v:imagedata r:id="rId338" o:title=""/>
            <o:lock v:ext="edit" aspectratio="t"/>
            <w10:wrap type="none"/>
            <w10:anchorlock/>
          </v:shape>
          <o:OLEObject Type="Embed" ProgID="Equation.DSMT4" ShapeID="_x0000_i1197" DrawAspect="Content" ObjectID="_1468075897" r:id="rId337">
            <o:LockedField>false</o:LockedField>
          </o:OLEObject>
        </w:object>
      </w:r>
      <w:r>
        <w:rPr>
          <w:rFonts w:hint="eastAsia" w:eastAsia="宋体" w:cs="Times New Roman"/>
        </w:rPr>
        <w:t>个概率转移子模型构成的集成动力概率学世界模型对其进行表示。设</w:t>
      </w:r>
      <w:r>
        <w:rPr>
          <w:rFonts w:hint="eastAsia" w:eastAsia="宋体" w:cs="Times New Roman"/>
          <w:position w:val="-12"/>
        </w:rPr>
        <w:object>
          <v:shape id="_x0000_i1198" o:spt="75" type="#_x0000_t75" style="height:18.15pt;width:10.95pt;" o:ole="t" filled="f" o:preferrelative="t" stroked="f" coordsize="21600,21600">
            <v:path/>
            <v:fill on="f" focussize="0,0"/>
            <v:stroke on="f" joinstyle="miter"/>
            <v:imagedata r:id="rId340" o:title=""/>
            <o:lock v:ext="edit" aspectratio="t"/>
            <w10:wrap type="none"/>
            <w10:anchorlock/>
          </v:shape>
          <o:OLEObject Type="Embed" ProgID="Equation.DSMT4" ShapeID="_x0000_i1198" DrawAspect="Content" ObjectID="_1468075898" r:id="rId339">
            <o:LockedField>false</o:LockedField>
          </o:OLEObject>
        </w:object>
      </w:r>
      <w:r>
        <w:rPr>
          <w:rFonts w:hint="eastAsia" w:eastAsia="宋体" w:cs="Times New Roman"/>
        </w:rPr>
        <w:t>表示时刻</w:t>
      </w:r>
      <w:r>
        <w:rPr>
          <w:rFonts w:hint="eastAsia" w:eastAsia="宋体" w:cs="Times New Roman"/>
          <w:position w:val="-6"/>
        </w:rPr>
        <w:object>
          <v:shape id="_x0000_i1199" o:spt="75" type="#_x0000_t75" style="height:12.4pt;width:7.2pt;" o:ole="t" filled="f" o:preferrelative="t" stroked="f" coordsize="21600,21600">
            <v:path/>
            <v:fill on="f" focussize="0,0"/>
            <v:stroke on="f" joinstyle="miter"/>
            <v:imagedata r:id="rId342" o:title=""/>
            <o:lock v:ext="edit" aspectratio="t"/>
            <w10:wrap type="none"/>
            <w10:anchorlock/>
          </v:shape>
          <o:OLEObject Type="Embed" ProgID="Equation.DSMT4" ShapeID="_x0000_i1199" DrawAspect="Content" ObjectID="_1468075899" r:id="rId341">
            <o:LockedField>false</o:LockedField>
          </o:OLEObject>
        </w:object>
      </w:r>
      <w:r>
        <w:rPr>
          <w:rFonts w:hint="eastAsia" w:eastAsia="宋体" w:cs="Times New Roman"/>
        </w:rPr>
        <w:t>的状态摘要，</w:t>
      </w:r>
      <w:r>
        <w:rPr>
          <w:rFonts w:hint="eastAsia" w:eastAsia="宋体" w:cs="Times New Roman"/>
          <w:position w:val="-12"/>
        </w:rPr>
        <w:object>
          <v:shape id="_x0000_i1200" o:spt="75" type="#_x0000_t75" style="height:18.15pt;width:12.4pt;" o:ole="t" filled="f" o:preferrelative="t" stroked="f" coordsize="21600,21600">
            <v:path/>
            <v:fill on="f" focussize="0,0"/>
            <v:stroke on="f" joinstyle="miter"/>
            <v:imagedata r:id="rId344" o:title=""/>
            <o:lock v:ext="edit" aspectratio="t"/>
            <w10:wrap type="none"/>
            <w10:anchorlock/>
          </v:shape>
          <o:OLEObject Type="Embed" ProgID="Equation.DSMT4" ShapeID="_x0000_i1200" DrawAspect="Content" ObjectID="_1468075900" r:id="rId343">
            <o:LockedField>false</o:LockedField>
          </o:OLEObject>
        </w:object>
      </w:r>
      <w:r>
        <w:rPr>
          <w:rFonts w:hint="eastAsia" w:eastAsia="宋体" w:cs="Times New Roman"/>
        </w:rPr>
        <w:t>表示当前采取的检测动作，则单步</w:t>
      </w:r>
      <w:r>
        <w:rPr>
          <w:rFonts w:eastAsia="宋体" w:cs="Times New Roman"/>
        </w:rPr>
        <w:t>状态转移</w:t>
      </w:r>
      <w:r>
        <w:rPr>
          <w:rFonts w:hint="eastAsia" w:eastAsia="宋体" w:cs="Times New Roman"/>
        </w:rPr>
        <w:t>过程可表示为式(4.5)。</w:t>
      </w:r>
    </w:p>
    <w:p w14:paraId="25071D2A">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01" o:spt="75" type="#_x0000_t75" style="height:34pt;width:181.15pt;" o:ole="t" filled="f" o:preferrelative="t" stroked="f" coordsize="21600,21600">
            <v:path/>
            <v:fill on="f" focussize="0,0"/>
            <v:stroke on="f" joinstyle="miter"/>
            <v:imagedata r:id="rId346" o:title=""/>
            <o:lock v:ext="edit" aspectratio="t"/>
            <w10:wrap type="none"/>
            <w10:anchorlock/>
          </v:shape>
          <o:OLEObject Type="Embed" ProgID="Equation.DSMT4" ShapeID="_x0000_i1201" DrawAspect="Content" ObjectID="_1468075901" r:id="rId345">
            <o:LockedField>false</o:LockedField>
          </o:OLEObject>
        </w:object>
      </w:r>
      <w:r>
        <w:rPr>
          <w:rFonts w:eastAsia="宋体" w:cs="Times New Roman"/>
        </w:rPr>
        <w:tab/>
      </w:r>
      <w:r>
        <w:rPr>
          <w:rFonts w:hint="eastAsia" w:eastAsia="宋体" w:cs="Times New Roman"/>
        </w:rPr>
        <w:t>(4.5)</w:t>
      </w:r>
    </w:p>
    <w:p w14:paraId="1CF69F0A">
      <w:pPr>
        <w:spacing w:line="400" w:lineRule="exact"/>
        <w:rPr>
          <w:rFonts w:eastAsia="宋体" w:cs="Times New Roman"/>
        </w:rPr>
      </w:pPr>
      <w:r>
        <w:rPr>
          <w:rFonts w:eastAsia="宋体" w:cs="Times New Roman"/>
        </w:rPr>
        <w:t>式中，</w:t>
      </w:r>
      <w:r>
        <w:rPr>
          <w:rFonts w:hint="eastAsia" w:eastAsia="宋体" w:cs="Times New Roman"/>
          <w:position w:val="-12"/>
        </w:rPr>
        <w:object>
          <v:shape id="_x0000_i1202" o:spt="75" type="#_x0000_t75" style="height:18.15pt;width:88.15pt;" o:ole="t" filled="f" o:preferrelative="t" stroked="f" coordsize="21600,21600">
            <v:path/>
            <v:fill on="f" focussize="0,0"/>
            <v:stroke on="f" joinstyle="miter"/>
            <v:imagedata r:id="rId348" o:title=""/>
            <o:lock v:ext="edit" aspectratio="t"/>
            <w10:wrap type="none"/>
            <w10:anchorlock/>
          </v:shape>
          <o:OLEObject Type="Embed" ProgID="Equation.DSMT4" ShapeID="_x0000_i1202" DrawAspect="Content" ObjectID="_1468075902" r:id="rId347">
            <o:LockedField>false</o:LockedField>
          </o:OLEObject>
        </w:object>
      </w:r>
      <w:r>
        <w:rPr>
          <w:rFonts w:hint="eastAsia" w:eastAsia="宋体" w:cs="Times New Roman"/>
        </w:rPr>
        <w:t>表示集成世界模型参数，</w:t>
      </w:r>
      <w:r>
        <w:rPr>
          <w:rFonts w:hint="eastAsia" w:eastAsia="宋体" w:cs="Times New Roman"/>
          <w:position w:val="-14"/>
        </w:rPr>
        <w:object>
          <v:shape id="_x0000_i1203" o:spt="75" type="#_x0000_t75" style="height:19pt;width:31.1pt;" o:ole="t" filled="f" o:preferrelative="t" stroked="f" coordsize="21600,21600">
            <v:path/>
            <v:fill on="f" focussize="0,0"/>
            <v:stroke on="f" joinstyle="miter"/>
            <v:imagedata r:id="rId350" o:title=""/>
            <o:lock v:ext="edit" aspectratio="t"/>
            <w10:wrap type="none"/>
            <w10:anchorlock/>
          </v:shape>
          <o:OLEObject Type="Embed" ProgID="Equation.DSMT4" ShapeID="_x0000_i1203" DrawAspect="Content" ObjectID="_1468075903" r:id="rId349">
            <o:LockedField>false</o:LockedField>
          </o:OLEObject>
        </w:object>
      </w:r>
      <w:r>
        <w:rPr>
          <w:rFonts w:hint="eastAsia" w:eastAsia="宋体" w:cs="Times New Roman"/>
        </w:rPr>
        <w:t>表示第</w:t>
      </w:r>
      <w:r>
        <w:rPr>
          <w:rFonts w:hint="eastAsia" w:eastAsia="宋体" w:cs="Times New Roman"/>
          <w:position w:val="-6"/>
        </w:rPr>
        <w:object>
          <v:shape id="_x0000_i1204" o:spt="75" type="#_x0000_t75" style="height:10.95pt;width:13.25pt;" o:ole="t" filled="f" o:preferrelative="t" stroked="f" coordsize="21600,21600">
            <v:path/>
            <v:fill on="f" focussize="0,0"/>
            <v:stroke on="f" joinstyle="miter"/>
            <v:imagedata r:id="rId352" o:title=""/>
            <o:lock v:ext="edit" aspectratio="t"/>
            <w10:wrap type="none"/>
            <w10:anchorlock/>
          </v:shape>
          <o:OLEObject Type="Embed" ProgID="Equation.DSMT4" ShapeID="_x0000_i1204" DrawAspect="Content" ObjectID="_1468075904" r:id="rId351">
            <o:LockedField>false</o:LockedField>
          </o:OLEObject>
        </w:object>
      </w:r>
      <w:r>
        <w:rPr>
          <w:rFonts w:hint="eastAsia" w:eastAsia="宋体" w:cs="Times New Roman"/>
        </w:rPr>
        <w:t>个概率转移子模型对应的条件状态转移分布，</w:t>
      </w:r>
      <w:r>
        <w:rPr>
          <w:rFonts w:hint="eastAsia" w:eastAsia="宋体" w:cs="Times New Roman"/>
          <w:position w:val="-4"/>
        </w:rPr>
        <w:object>
          <v:shape id="_x0000_i1205" o:spt="75" type="#_x0000_t75" style="height:13.25pt;width:16.4pt;" o:ole="t" filled="f" o:preferrelative="t" stroked="f" coordsize="21600,21600">
            <v:path/>
            <v:fill on="f" focussize="0,0"/>
            <v:stroke on="f" joinstyle="miter"/>
            <v:imagedata r:id="rId354" o:title=""/>
            <o:lock v:ext="edit" aspectratio="t"/>
            <w10:wrap type="none"/>
            <w10:anchorlock/>
          </v:shape>
          <o:OLEObject Type="Embed" ProgID="Equation.DSMT4" ShapeID="_x0000_i1205" DrawAspect="Content" ObjectID="_1468075905" r:id="rId353">
            <o:LockedField>false</o:LockedField>
          </o:OLEObject>
        </w:object>
      </w:r>
      <w:r>
        <w:rPr>
          <w:rFonts w:hint="eastAsia" w:eastAsia="宋体" w:cs="Times New Roman"/>
        </w:rPr>
        <w:t>表示子模型数量。</w:t>
      </w:r>
    </w:p>
    <w:p w14:paraId="734CFB71">
      <w:pPr>
        <w:spacing w:line="400" w:lineRule="exact"/>
        <w:ind w:firstLine="480" w:firstLineChars="200"/>
        <w:rPr>
          <w:rFonts w:eastAsia="宋体" w:cs="Times New Roman"/>
        </w:rPr>
      </w:pPr>
      <w:bookmarkStart w:id="74" w:name="_Toc224238202"/>
      <w:r>
        <w:rPr>
          <w:rFonts w:hint="eastAsia" w:eastAsia="宋体" w:cs="Times New Roman"/>
        </w:rPr>
        <w:t>本文采用集成动力概率学世界模型而不是单一确定性模型，是因为考虑到APT检测场景中的状态演化会受到观测噪声、证据缺失及环境变化等因素影响，单一确定性模型更易依赖局部样本规律，并在后续多步预测中逐渐积累偏差。而使用多个子模型构成的集成动力概率学模型表示状态转移关系，不仅能够降低单一模型误差对多步推演的累积影响，提升对多步状态演化的预测能力，还可以利用各子模型间的预测分歧表示状态转移的不确定性，从而为后续候选计划评估中的可靠性分析提供依据。</w:t>
      </w:r>
    </w:p>
    <w:p w14:paraId="6B57041A">
      <w:pPr>
        <w:spacing w:line="400" w:lineRule="exact"/>
        <w:ind w:firstLine="480" w:firstLineChars="200"/>
        <w:rPr>
          <w:rFonts w:eastAsia="宋体" w:cs="Times New Roman"/>
        </w:rPr>
      </w:pPr>
      <w:r>
        <w:rPr>
          <w:rFonts w:hint="eastAsia" w:eastAsia="宋体" w:cs="Times New Roman"/>
        </w:rPr>
        <w:t>在状态转移关系的学习过程中，本节以环境交互过程中形成的状态转移样本</w:t>
      </w:r>
      <w:r>
        <w:rPr>
          <w:rFonts w:eastAsia="宋体" w:cs="Times New Roman"/>
          <w:position w:val="-12"/>
        </w:rPr>
        <w:object>
          <v:shape id="_x0000_i1206" o:spt="75" type="#_x0000_t75" style="height:18.15pt;width:54.15pt;" o:ole="t" filled="f" o:preferrelative="t" stroked="f" coordsize="21600,21600">
            <v:path/>
            <v:fill on="f" focussize="0,0"/>
            <v:stroke on="f" joinstyle="miter"/>
            <v:imagedata r:id="rId356" o:title=""/>
            <o:lock v:ext="edit" aspectratio="t"/>
            <w10:wrap type="none"/>
            <w10:anchorlock/>
          </v:shape>
          <o:OLEObject Type="Embed" ProgID="Equation.DSMT4" ShapeID="_x0000_i1206" DrawAspect="Content" ObjectID="_1468075906" r:id="rId355">
            <o:LockedField>false</o:LockedField>
          </o:OLEObject>
        </w:object>
      </w:r>
      <w:r>
        <w:rPr>
          <w:rFonts w:hint="eastAsia" w:eastAsia="宋体" w:cs="Times New Roman"/>
        </w:rPr>
        <w:t>为依据，对当前状态与动作下的状态演化规律进行建模。其中，</w:t>
      </w:r>
      <w:r>
        <w:rPr>
          <w:rFonts w:eastAsia="宋体" w:cs="Times New Roman"/>
          <w:position w:val="-12"/>
        </w:rPr>
        <w:object>
          <v:shape id="_x0000_i1207" o:spt="75" type="#_x0000_t75" style="height:18.15pt;width:10.95pt;" o:ole="t" filled="f" o:preferrelative="t" stroked="f" coordsize="21600,21600">
            <v:path/>
            <v:fill on="f" focussize="0,0"/>
            <v:stroke on="f" joinstyle="miter"/>
            <v:imagedata r:id="rId358" o:title=""/>
            <o:lock v:ext="edit" aspectratio="t"/>
            <w10:wrap type="none"/>
            <w10:anchorlock/>
          </v:shape>
          <o:OLEObject Type="Embed" ProgID="Equation.DSMT4" ShapeID="_x0000_i1207" DrawAspect="Content" ObjectID="_1468075907" r:id="rId357">
            <o:LockedField>false</o:LockedField>
          </o:OLEObject>
        </w:object>
      </w:r>
      <w:r>
        <w:rPr>
          <w:rFonts w:hint="eastAsia" w:eastAsia="宋体" w:cs="Times New Roman"/>
        </w:rPr>
        <w:t>与</w:t>
      </w:r>
      <w:r>
        <w:rPr>
          <w:rFonts w:eastAsia="宋体" w:cs="Times New Roman"/>
          <w:position w:val="-12"/>
        </w:rPr>
        <w:object>
          <v:shape id="_x0000_i1208" o:spt="75" type="#_x0000_t75" style="height:18.15pt;width:18.15pt;" o:ole="t" filled="f" o:preferrelative="t" stroked="f" coordsize="21600,21600">
            <v:path/>
            <v:fill on="f" focussize="0,0"/>
            <v:stroke on="f" joinstyle="miter"/>
            <v:imagedata r:id="rId360" o:title=""/>
            <o:lock v:ext="edit" aspectratio="t"/>
            <w10:wrap type="none"/>
            <w10:anchorlock/>
          </v:shape>
          <o:OLEObject Type="Embed" ProgID="Equation.DSMT4" ShapeID="_x0000_i1208" DrawAspect="Content" ObjectID="_1468075908" r:id="rId359">
            <o:LockedField>false</o:LockedField>
          </o:OLEObject>
        </w:object>
      </w:r>
      <w:r>
        <w:rPr>
          <w:rFonts w:hint="eastAsia" w:eastAsia="宋体" w:cs="Times New Roman"/>
        </w:rPr>
        <w:t>均为4.2.1节中构造的状态摘要，</w:t>
      </w:r>
      <w:r>
        <w:rPr>
          <w:rFonts w:eastAsia="宋体" w:cs="Times New Roman"/>
          <w:position w:val="-12"/>
        </w:rPr>
        <w:object>
          <v:shape id="_x0000_i1209" o:spt="75" type="#_x0000_t75" style="height:18.15pt;width:12.4pt;" o:ole="t" filled="f" o:preferrelative="t" stroked="f" coordsize="21600,21600">
            <v:path/>
            <v:fill on="f" focussize="0,0"/>
            <v:stroke on="f" joinstyle="miter"/>
            <v:imagedata r:id="rId362" o:title=""/>
            <o:lock v:ext="edit" aspectratio="t"/>
            <w10:wrap type="none"/>
            <w10:anchorlock/>
          </v:shape>
          <o:OLEObject Type="Embed" ProgID="Equation.DSMT4" ShapeID="_x0000_i1209" DrawAspect="Content" ObjectID="_1468075909" r:id="rId361">
            <o:LockedField>false</o:LockedField>
          </o:OLEObject>
        </w:object>
      </w:r>
      <w:r>
        <w:rPr>
          <w:rFonts w:hint="eastAsia" w:eastAsia="宋体" w:cs="Times New Roman"/>
        </w:rPr>
        <w:t>是候选计划中的高层检测动作。基于上述状态转移样本，本节将当前检测状态、执行动作及其结果变化统一建模，从而为后续的前瞻状态评估与不确定性分析提供基础。设第</w:t>
      </w:r>
      <w:r>
        <w:rPr>
          <w:rFonts w:eastAsia="宋体" w:cs="Times New Roman"/>
          <w:position w:val="-6"/>
        </w:rPr>
        <w:object>
          <v:shape id="_x0000_i1210" o:spt="75" type="#_x0000_t75" style="height:10.95pt;width:13.25pt;" o:ole="t" filled="f" o:preferrelative="t" stroked="f" coordsize="21600,21600">
            <v:path/>
            <v:fill on="f" focussize="0,0"/>
            <v:stroke on="f" joinstyle="miter"/>
            <v:imagedata r:id="rId364" o:title=""/>
            <o:lock v:ext="edit" aspectratio="t"/>
            <w10:wrap type="none"/>
            <w10:anchorlock/>
          </v:shape>
          <o:OLEObject Type="Embed" ProgID="Equation.DSMT4" ShapeID="_x0000_i1210" DrawAspect="Content" ObjectID="_1468075910" r:id="rId363">
            <o:LockedField>false</o:LockedField>
          </o:OLEObject>
        </w:object>
      </w:r>
      <w:r>
        <w:rPr>
          <w:rFonts w:hint="eastAsia" w:eastAsia="宋体" w:cs="Times New Roman"/>
        </w:rPr>
        <w:t>个子模型对下一时刻状态的预测均值为</w:t>
      </w:r>
      <w:r>
        <w:rPr>
          <w:rFonts w:eastAsia="宋体" w:cs="Times New Roman"/>
          <w:position w:val="-12"/>
        </w:rPr>
        <w:object>
          <v:shape id="_x0000_i1211" o:spt="75" type="#_x0000_t75" style="height:18.15pt;width:48.4pt;" o:ole="t" filled="f" o:preferrelative="t" stroked="f" coordsize="21600,21600">
            <v:path/>
            <v:fill on="f" focussize="0,0"/>
            <v:stroke on="f" joinstyle="miter"/>
            <v:imagedata r:id="rId366" o:title=""/>
            <o:lock v:ext="edit" aspectratio="t"/>
            <w10:wrap type="none"/>
            <w10:anchorlock/>
          </v:shape>
          <o:OLEObject Type="Embed" ProgID="Equation.DSMT4" ShapeID="_x0000_i1211" DrawAspect="Content" ObjectID="_1468075911" r:id="rId365">
            <o:LockedField>false</o:LockedField>
          </o:OLEObject>
        </w:object>
      </w:r>
      <w:r>
        <w:rPr>
          <w:rFonts w:hint="eastAsia" w:eastAsia="宋体" w:cs="Times New Roman"/>
        </w:rPr>
        <w:t>，则集成世界模型对下一时刻状态的前瞻估计如式(4.6)，相应的预测分歧可表示如式(4.7)。</w:t>
      </w:r>
    </w:p>
    <w:p w14:paraId="04454293">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12" o:spt="75" type="#_x0000_t75" style="height:34pt;width:105.4pt;" o:ole="t" filled="f" o:preferrelative="t" stroked="f" coordsize="21600,21600">
            <v:path/>
            <v:fill on="f" focussize="0,0"/>
            <v:stroke on="f" joinstyle="miter"/>
            <v:imagedata r:id="rId368" o:title=""/>
            <o:lock v:ext="edit" aspectratio="t"/>
            <w10:wrap type="none"/>
            <w10:anchorlock/>
          </v:shape>
          <o:OLEObject Type="Embed" ProgID="Equation.DSMT4" ShapeID="_x0000_i1212" DrawAspect="Content" ObjectID="_1468075912" r:id="rId367">
            <o:LockedField>false</o:LockedField>
          </o:OLEObject>
        </w:object>
      </w:r>
      <w:r>
        <w:rPr>
          <w:rFonts w:eastAsia="宋体" w:cs="Times New Roman"/>
        </w:rPr>
        <w:tab/>
      </w:r>
      <w:r>
        <w:rPr>
          <w:rFonts w:hint="eastAsia" w:eastAsia="宋体" w:cs="Times New Roman"/>
        </w:rPr>
        <w:t>(4.6)</w:t>
      </w:r>
    </w:p>
    <w:p w14:paraId="7017AEE2">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13" o:spt="75" type="#_x0000_t75" style="height:34pt;width:170.8pt;" o:ole="t" filled="f" o:preferrelative="t" stroked="f" coordsize="21600,21600">
            <v:path/>
            <v:fill on="f" focussize="0,0"/>
            <v:stroke on="f" joinstyle="miter"/>
            <v:imagedata r:id="rId370" o:title=""/>
            <o:lock v:ext="edit" aspectratio="t"/>
            <w10:wrap type="none"/>
            <w10:anchorlock/>
          </v:shape>
          <o:OLEObject Type="Embed" ProgID="Equation.DSMT4" ShapeID="_x0000_i1213" DrawAspect="Content" ObjectID="_1468075913" r:id="rId369">
            <o:LockedField>false</o:LockedField>
          </o:OLEObject>
        </w:object>
      </w:r>
      <w:r>
        <w:rPr>
          <w:rFonts w:eastAsia="宋体" w:cs="Times New Roman"/>
        </w:rPr>
        <w:tab/>
      </w:r>
      <w:r>
        <w:rPr>
          <w:rFonts w:hint="eastAsia" w:eastAsia="宋体" w:cs="Times New Roman"/>
        </w:rPr>
        <w:t>(4.7)</w:t>
      </w:r>
    </w:p>
    <w:p w14:paraId="579CF7C1">
      <w:pPr>
        <w:spacing w:line="400" w:lineRule="exact"/>
        <w:rPr>
          <w:rFonts w:eastAsia="宋体" w:cs="Times New Roman"/>
        </w:rPr>
      </w:pPr>
      <w:r>
        <w:rPr>
          <w:rFonts w:hint="eastAsia" w:eastAsia="宋体" w:cs="Times New Roman"/>
        </w:rPr>
        <w:t>式中，</w:t>
      </w:r>
      <w:r>
        <w:rPr>
          <w:rFonts w:eastAsia="宋体" w:cs="Times New Roman"/>
          <w:position w:val="-12"/>
        </w:rPr>
        <w:object>
          <v:shape id="_x0000_i1214" o:spt="75" type="#_x0000_t75" style="height:18.15pt;width:18.15pt;" o:ole="t" filled="f" o:preferrelative="t" stroked="f" coordsize="21600,21600">
            <v:path/>
            <v:fill on="f" focussize="0,0"/>
            <v:stroke on="f" joinstyle="miter"/>
            <v:imagedata r:id="rId372" o:title=""/>
            <o:lock v:ext="edit" aspectratio="t"/>
            <w10:wrap type="none"/>
            <w10:anchorlock/>
          </v:shape>
          <o:OLEObject Type="Embed" ProgID="Equation.DSMT4" ShapeID="_x0000_i1214" DrawAspect="Content" ObjectID="_1468075914" r:id="rId371">
            <o:LockedField>false</o:LockedField>
          </o:OLEObject>
        </w:object>
      </w:r>
      <w:r>
        <w:rPr>
          <w:rFonts w:hint="eastAsia" w:eastAsia="宋体" w:cs="Times New Roman"/>
        </w:rPr>
        <w:t>表示集成世界模型对下一时刻状态摘要的前瞻估计，</w:t>
      </w:r>
      <w:r>
        <w:rPr>
          <w:rFonts w:eastAsia="宋体" w:cs="Times New Roman"/>
          <w:position w:val="-12"/>
        </w:rPr>
        <w:object>
          <v:shape id="_x0000_i1215" o:spt="75" type="#_x0000_t75" style="height:18.15pt;width:46.95pt;" o:ole="t" filled="f" o:preferrelative="t" stroked="f" coordsize="21600,21600">
            <v:path/>
            <v:fill on="f" focussize="0,0"/>
            <v:stroke on="f" joinstyle="miter"/>
            <v:imagedata r:id="rId374" o:title=""/>
            <o:lock v:ext="edit" aspectratio="t"/>
            <w10:wrap type="none"/>
            <w10:anchorlock/>
          </v:shape>
          <o:OLEObject Type="Embed" ProgID="Equation.DSMT4" ShapeID="_x0000_i1215" DrawAspect="Content" ObjectID="_1468075915" r:id="rId373">
            <o:LockedField>false</o:LockedField>
          </o:OLEObject>
        </w:object>
      </w:r>
      <w:r>
        <w:rPr>
          <w:rFonts w:hint="eastAsia" w:eastAsia="宋体" w:cs="Times New Roman"/>
        </w:rPr>
        <w:t>表示由各子模型预测差异体现的状态转移不确定性。式(4.6)的作用是计算在当前状态与当前检测动作下的下一时刻状态的预测结果，式(4.7)的作用是评估各子模型对该预测结果的一致性程度。若各子模型对同一状态转移的预测结果比较接近，表明当前前瞻结果具有较高的一致性；反之若预测差异较大，则表明该状态转移在当前条件下具有更强的不确定性，后续候选计划评估的时候需要进一步考虑。</w:t>
      </w:r>
    </w:p>
    <w:p w14:paraId="3E55C04F">
      <w:pPr>
        <w:pStyle w:val="4"/>
      </w:pPr>
      <w:bookmarkStart w:id="75" w:name="_Toc230086375"/>
      <w:r>
        <w:rPr>
          <w:rFonts w:hint="eastAsia"/>
        </w:rPr>
        <w:t>4.3.2 基于多步前瞻推演</w:t>
      </w:r>
      <w:bookmarkEnd w:id="74"/>
      <w:r>
        <w:rPr>
          <w:rFonts w:hint="eastAsia"/>
        </w:rPr>
        <w:t>的候选计划评估</w:t>
      </w:r>
      <w:bookmarkEnd w:id="75"/>
    </w:p>
    <w:p w14:paraId="6BE60B53">
      <w:pPr>
        <w:spacing w:line="400" w:lineRule="exact"/>
        <w:ind w:firstLine="480" w:firstLineChars="200"/>
        <w:rPr>
          <w:rFonts w:eastAsia="宋体" w:cs="Times New Roman"/>
        </w:rPr>
      </w:pPr>
      <w:r>
        <w:rPr>
          <w:rFonts w:hint="eastAsia" w:eastAsia="宋体" w:cs="Times New Roman"/>
        </w:rPr>
        <w:t>在建立单步状态转移模型后，无法直接完成候选计划之间的比较。因为候选计划通常由多个检测动作构成，不同检测动作对后续状态的影响在前瞻窗口内是持续累积的，若只根据单步预测结果进行判断，难以充分体现不同候选计划中检测收益、状态变化、执行代价及提前预警能力等方面的综合差异。因此，本节在单步状态转移模型的基础上，按照候选计划中的动作序列逐步进行多步前瞻推演，并形成对应的候选计划评估结果。</w:t>
      </w:r>
    </w:p>
    <w:p w14:paraId="734D6E61">
      <w:pPr>
        <w:spacing w:line="400" w:lineRule="exact"/>
        <w:ind w:firstLine="482" w:firstLineChars="200"/>
        <w:rPr>
          <w:rFonts w:eastAsia="宋体" w:cs="Times New Roman"/>
          <w:b/>
          <w:bCs/>
        </w:rPr>
      </w:pPr>
      <w:r>
        <w:rPr>
          <w:rFonts w:eastAsia="宋体" w:cs="Times New Roman"/>
          <w:b/>
          <w:bCs/>
        </w:rPr>
        <w:t>（1）基于多步前瞻推演的预测轨迹构造</w:t>
      </w:r>
    </w:p>
    <w:p w14:paraId="7C90698F">
      <w:pPr>
        <w:spacing w:line="400" w:lineRule="exact"/>
        <w:ind w:firstLine="480" w:firstLineChars="200"/>
        <w:rPr>
          <w:rFonts w:eastAsia="宋体" w:cs="Times New Roman"/>
        </w:rPr>
      </w:pPr>
      <w:r>
        <w:rPr>
          <w:rFonts w:hint="eastAsia" w:eastAsia="宋体" w:cs="Times New Roman"/>
        </w:rPr>
        <w:t>设时刻</w:t>
      </w:r>
      <w:r>
        <w:rPr>
          <w:rFonts w:eastAsia="宋体" w:cs="Times New Roman"/>
          <w:position w:val="-6"/>
        </w:rPr>
        <w:object>
          <v:shape id="_x0000_i1216" o:spt="75" type="#_x0000_t75" style="height:11.5pt;width:6.35pt;" o:ole="t" filled="f" o:preferrelative="t" stroked="f" coordsize="21600,21600">
            <v:path/>
            <v:fill on="f" focussize="0,0"/>
            <v:stroke on="f" joinstyle="miter"/>
            <v:imagedata r:id="rId376" o:title=""/>
            <o:lock v:ext="edit" aspectratio="t"/>
            <w10:wrap type="none"/>
            <w10:anchorlock/>
          </v:shape>
          <o:OLEObject Type="Embed" ProgID="Equation.DSMT4" ShapeID="_x0000_i1216" DrawAspect="Content" ObjectID="_1468075916" r:id="rId375">
            <o:LockedField>false</o:LockedField>
          </o:OLEObject>
        </w:object>
      </w:r>
      <w:r>
        <w:rPr>
          <w:rFonts w:hint="eastAsia" w:eastAsia="宋体" w:cs="Times New Roman"/>
        </w:rPr>
        <w:t>的第</w:t>
      </w:r>
      <w:r>
        <w:rPr>
          <w:rFonts w:eastAsia="宋体" w:cs="Times New Roman"/>
          <w:position w:val="-6"/>
        </w:rPr>
        <w:object>
          <v:shape id="_x0000_i1217" o:spt="75" type="#_x0000_t75" style="height:13.25pt;width:6.35pt;" o:ole="t" filled="f" o:preferrelative="t" stroked="f" coordsize="21600,21600">
            <v:path/>
            <v:fill on="f" focussize="0,0"/>
            <v:stroke on="f" joinstyle="miter"/>
            <v:imagedata r:id="rId378" o:title=""/>
            <o:lock v:ext="edit" aspectratio="t"/>
            <w10:wrap type="none"/>
            <w10:anchorlock/>
          </v:shape>
          <o:OLEObject Type="Embed" ProgID="Equation.DSMT4" ShapeID="_x0000_i1217" DrawAspect="Content" ObjectID="_1468075917" r:id="rId377">
            <o:LockedField>false</o:LockedField>
          </o:OLEObject>
        </w:object>
      </w:r>
      <w:r>
        <w:rPr>
          <w:rFonts w:hint="eastAsia" w:eastAsia="宋体" w:cs="Times New Roman"/>
        </w:rPr>
        <w:t>个候选计划为</w:t>
      </w:r>
      <w:r>
        <w:rPr>
          <w:rFonts w:eastAsia="宋体" w:cs="Times New Roman"/>
          <w:position w:val="-14"/>
        </w:rPr>
        <w:object>
          <v:shape id="_x0000_i1218" o:spt="75" type="#_x0000_t75" style="height:19.6pt;width:113.45pt;" o:ole="t" filled="f" o:preferrelative="t" stroked="f" coordsize="21600,21600">
            <v:path/>
            <v:fill on="f" focussize="0,0"/>
            <v:stroke on="f" joinstyle="miter"/>
            <v:imagedata r:id="rId380" o:title=""/>
            <o:lock v:ext="edit" aspectratio="t"/>
            <w10:wrap type="none"/>
            <w10:anchorlock/>
          </v:shape>
          <o:OLEObject Type="Embed" ProgID="Equation.DSMT4" ShapeID="_x0000_i1218" DrawAspect="Content" ObjectID="_1468075918" r:id="rId379">
            <o:LockedField>false</o:LockedField>
          </o:OLEObject>
        </w:object>
      </w:r>
      <w:r>
        <w:rPr>
          <w:rFonts w:hint="eastAsia" w:eastAsia="宋体" w:cs="Times New Roman"/>
        </w:rPr>
        <w:t>，其中</w:t>
      </w:r>
      <w:r>
        <w:rPr>
          <w:rFonts w:eastAsia="宋体" w:cs="Times New Roman"/>
          <w:position w:val="-4"/>
        </w:rPr>
        <w:object>
          <v:shape id="_x0000_i1219" o:spt="75" type="#_x0000_t75" style="height:13.25pt;width:13.8pt;" o:ole="t" filled="f" o:preferrelative="t" stroked="f" coordsize="21600,21600">
            <v:path/>
            <v:fill on="f" focussize="0,0"/>
            <v:stroke on="f" joinstyle="miter"/>
            <v:imagedata r:id="rId382" o:title=""/>
            <o:lock v:ext="edit" aspectratio="t"/>
            <w10:wrap type="none"/>
            <w10:anchorlock/>
          </v:shape>
          <o:OLEObject Type="Embed" ProgID="Equation.DSMT4" ShapeID="_x0000_i1219" DrawAspect="Content" ObjectID="_1468075919" r:id="rId381">
            <o:LockedField>false</o:LockedField>
          </o:OLEObject>
        </w:object>
      </w:r>
      <w:r>
        <w:rPr>
          <w:rFonts w:hint="eastAsia" w:eastAsia="宋体" w:cs="Times New Roman"/>
        </w:rPr>
        <w:t>表示计划长度。本节以当前状态摘要</w:t>
      </w:r>
      <w:r>
        <w:rPr>
          <w:rFonts w:eastAsia="宋体" w:cs="Times New Roman"/>
          <w:position w:val="-12"/>
        </w:rPr>
        <w:object>
          <v:shape id="_x0000_i1220" o:spt="75" type="#_x0000_t75" style="height:18.15pt;width:10.95pt;" o:ole="t" filled="f" o:preferrelative="t" stroked="f" coordsize="21600,21600">
            <v:path/>
            <v:fill on="f" focussize="0,0"/>
            <v:stroke on="f" joinstyle="miter"/>
            <v:imagedata r:id="rId384" o:title=""/>
            <o:lock v:ext="edit" aspectratio="t"/>
            <w10:wrap type="none"/>
            <w10:anchorlock/>
          </v:shape>
          <o:OLEObject Type="Embed" ProgID="Equation.DSMT4" ShapeID="_x0000_i1220" DrawAspect="Content" ObjectID="_1468075920" r:id="rId383">
            <o:LockedField>false</o:LockedField>
          </o:OLEObject>
        </w:object>
      </w:r>
      <w:r>
        <w:rPr>
          <w:rFonts w:hint="eastAsia" w:eastAsia="宋体" w:cs="Times New Roman"/>
        </w:rPr>
        <w:t>作为多步前瞻推演的初始状态，将候选计划中的动作按顺序依次输入单步状态转移模型，并将前一时刻的预测状态作为下步的输入，从而得出该候选计划在前瞻窗口内的预测状态序列。其多步前瞻推演过程可表示为式(4.8)，对应的前瞻轨迹可表示为(4.9)。</w:t>
      </w:r>
    </w:p>
    <w:p w14:paraId="4B2E898F">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21" o:spt="75" type="#_x0000_t75" style="height:34pt;width:245.1pt;" o:ole="t" filled="f" o:preferrelative="t" stroked="f" coordsize="21600,21600">
            <v:path/>
            <v:fill on="f" focussize="0,0"/>
            <v:stroke on="f" joinstyle="miter"/>
            <v:imagedata r:id="rId386" o:title=""/>
            <o:lock v:ext="edit" aspectratio="t"/>
            <w10:wrap type="none"/>
            <w10:anchorlock/>
          </v:shape>
          <o:OLEObject Type="Embed" ProgID="Equation.DSMT4" ShapeID="_x0000_i1221" DrawAspect="Content" ObjectID="_1468075921" r:id="rId385">
            <o:LockedField>false</o:LockedField>
          </o:OLEObject>
        </w:object>
      </w:r>
      <w:r>
        <w:rPr>
          <w:rFonts w:eastAsia="宋体" w:cs="Times New Roman"/>
        </w:rPr>
        <w:tab/>
      </w:r>
      <w:r>
        <w:rPr>
          <w:rFonts w:hint="eastAsia" w:eastAsia="宋体" w:cs="Times New Roman"/>
        </w:rPr>
        <w:t>(4.8)</w:t>
      </w:r>
    </w:p>
    <w:p w14:paraId="53602178">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222" o:spt="75" type="#_x0000_t75" style="height:21.9pt;width:110pt;" o:ole="t" filled="f" o:preferrelative="t" stroked="f" coordsize="21600,21600">
            <v:path/>
            <v:fill on="f" focussize="0,0"/>
            <v:stroke on="f" joinstyle="miter"/>
            <v:imagedata r:id="rId388" o:title=""/>
            <o:lock v:ext="edit" aspectratio="t"/>
            <w10:wrap type="none"/>
            <w10:anchorlock/>
          </v:shape>
          <o:OLEObject Type="Embed" ProgID="Equation.DSMT4" ShapeID="_x0000_i1222" DrawAspect="Content" ObjectID="_1468075922" r:id="rId387">
            <o:LockedField>false</o:LockedField>
          </o:OLEObject>
        </w:object>
      </w:r>
      <w:r>
        <w:rPr>
          <w:rFonts w:eastAsia="宋体" w:cs="Times New Roman"/>
        </w:rPr>
        <w:tab/>
      </w:r>
      <w:r>
        <w:rPr>
          <w:rFonts w:hint="eastAsia" w:eastAsia="宋体" w:cs="Times New Roman"/>
        </w:rPr>
        <w:t>(4.9)</w:t>
      </w:r>
    </w:p>
    <w:p w14:paraId="29F0CF5D">
      <w:pPr>
        <w:tabs>
          <w:tab w:val="center" w:pos="4160"/>
          <w:tab w:val="right" w:pos="8300"/>
        </w:tabs>
        <w:spacing w:line="400" w:lineRule="exact"/>
        <w:rPr>
          <w:rFonts w:eastAsia="宋体" w:cs="Times New Roman"/>
        </w:rPr>
      </w:pPr>
      <w:r>
        <w:rPr>
          <w:rFonts w:hint="eastAsia" w:eastAsia="宋体" w:cs="Times New Roman"/>
        </w:rPr>
        <w:t>式中，</w:t>
      </w:r>
      <w:r>
        <w:rPr>
          <w:rFonts w:eastAsia="宋体" w:cs="Times New Roman"/>
          <w:position w:val="-14"/>
        </w:rPr>
        <w:object>
          <v:shape id="_x0000_i1223" o:spt="75" type="#_x0000_t75" style="height:19.6pt;width:19pt;" o:ole="t" filled="f" o:preferrelative="t" stroked="f" coordsize="21600,21600">
            <v:path/>
            <v:fill on="f" focussize="0,0"/>
            <v:stroke on="f" joinstyle="miter"/>
            <v:imagedata r:id="rId390" o:title=""/>
            <o:lock v:ext="edit" aspectratio="t"/>
            <w10:wrap type="none"/>
            <w10:anchorlock/>
          </v:shape>
          <o:OLEObject Type="Embed" ProgID="Equation.DSMT4" ShapeID="_x0000_i1223" DrawAspect="Content" ObjectID="_1468075923" r:id="rId389">
            <o:LockedField>false</o:LockedField>
          </o:OLEObject>
        </w:object>
      </w:r>
      <w:r>
        <w:rPr>
          <w:rFonts w:hint="eastAsia" w:eastAsia="宋体" w:cs="Times New Roman"/>
        </w:rPr>
        <w:t>表示候选计划</w:t>
      </w:r>
      <w:r>
        <w:rPr>
          <w:rFonts w:eastAsia="宋体" w:cs="Times New Roman"/>
          <w:position w:val="-14"/>
        </w:rPr>
        <w:object>
          <v:shape id="_x0000_i1224" o:spt="75" type="#_x0000_t75" style="height:19pt;width:17pt;" o:ole="t" filled="f" o:preferrelative="t" stroked="f" coordsize="21600,21600">
            <v:path/>
            <v:fill on="f" focussize="0,0"/>
            <v:stroke on="f" joinstyle="miter"/>
            <v:imagedata r:id="rId392" o:title=""/>
            <o:lock v:ext="edit" aspectratio="t"/>
            <w10:wrap type="none"/>
            <w10:anchorlock/>
          </v:shape>
          <o:OLEObject Type="Embed" ProgID="Equation.DSMT4" ShapeID="_x0000_i1224" DrawAspect="Content" ObjectID="_1468075924" r:id="rId391">
            <o:LockedField>false</o:LockedField>
          </o:OLEObject>
        </w:object>
      </w:r>
      <w:r>
        <w:rPr>
          <w:rFonts w:hint="eastAsia" w:eastAsia="宋体" w:cs="Times New Roman"/>
        </w:rPr>
        <w:t>在前瞻第</w:t>
      </w:r>
      <w:r>
        <w:rPr>
          <w:rFonts w:eastAsia="宋体" w:cs="Times New Roman"/>
          <w:position w:val="-6"/>
        </w:rPr>
        <w:object>
          <v:shape id="_x0000_i1225" o:spt="75" type="#_x0000_t75" style="height:13.8pt;width:10.1pt;" o:ole="t" filled="f" o:preferrelative="t" stroked="f" coordsize="21600,21600">
            <v:path/>
            <v:fill on="f" focussize="0,0"/>
            <v:stroke on="f" joinstyle="miter"/>
            <v:imagedata r:id="rId394" o:title=""/>
            <o:lock v:ext="edit" aspectratio="t"/>
            <w10:wrap type="none"/>
            <w10:anchorlock/>
          </v:shape>
          <o:OLEObject Type="Embed" ProgID="Equation.DSMT4" ShapeID="_x0000_i1225" DrawAspect="Content" ObjectID="_1468075925" r:id="rId393">
            <o:LockedField>false</o:LockedField>
          </o:OLEObject>
        </w:object>
      </w:r>
      <w:r>
        <w:rPr>
          <w:rFonts w:hint="eastAsia" w:eastAsia="宋体" w:cs="Times New Roman"/>
        </w:rPr>
        <w:t>步的预测状态摘要，</w:t>
      </w:r>
      <w:r>
        <w:rPr>
          <w:rFonts w:eastAsia="宋体" w:cs="Times New Roman"/>
          <w:position w:val="-14"/>
        </w:rPr>
        <w:object>
          <v:shape id="_x0000_i1226" o:spt="75" type="#_x0000_t75" style="height:21.9pt;width:17pt;" o:ole="t" filled="f" o:preferrelative="t" stroked="f" coordsize="21600,21600">
            <v:path/>
            <v:fill on="f" focussize="0,0"/>
            <v:stroke on="f" joinstyle="miter"/>
            <v:imagedata r:id="rId396" o:title=""/>
            <o:lock v:ext="edit" aspectratio="t"/>
            <w10:wrap type="none"/>
            <w10:anchorlock/>
          </v:shape>
          <o:OLEObject Type="Embed" ProgID="Equation.DSMT4" ShapeID="_x0000_i1226" DrawAspect="Content" ObjectID="_1468075926" r:id="rId395">
            <o:LockedField>false</o:LockedField>
          </o:OLEObject>
        </w:object>
      </w:r>
      <w:r>
        <w:rPr>
          <w:rFonts w:hint="eastAsia" w:eastAsia="宋体" w:cs="Times New Roman"/>
        </w:rPr>
        <w:t>表示该候选计划对应的完整前瞻轨迹。</w:t>
      </w:r>
    </w:p>
    <w:p w14:paraId="164FE34D">
      <w:pPr>
        <w:spacing w:line="400" w:lineRule="exact"/>
        <w:ind w:firstLine="480" w:firstLineChars="200"/>
        <w:rPr>
          <w:rFonts w:eastAsia="宋体" w:cs="Times New Roman"/>
        </w:rPr>
      </w:pPr>
      <w:r>
        <w:rPr>
          <w:rFonts w:hint="eastAsia" w:eastAsia="宋体" w:cs="Times New Roman"/>
        </w:rPr>
        <w:t>式(4.8)表明，多步前瞻推演不是对候选计划进行一次静态评估，而是根据动作序列逐步递推，以体现候选计划对后续状态演化的连续影响；式(4.9)是进一步将前瞻窗口内的预测结果统一表示为轨迹形式。通过本节的多步前瞻推演的预测轨迹，候选计划可以由离散的动作序列转化为可供后续分析的状态演化过程，从而为下节候选计划评估提供了基础。</w:t>
      </w:r>
    </w:p>
    <w:p w14:paraId="11CFC383">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2</w:t>
      </w:r>
      <w:r>
        <w:rPr>
          <w:rFonts w:eastAsia="宋体" w:cs="Times New Roman"/>
          <w:b/>
          <w:bCs/>
        </w:rPr>
        <w:t>）</w:t>
      </w:r>
      <w:r>
        <w:rPr>
          <w:rFonts w:hint="eastAsia" w:eastAsia="宋体" w:cs="Times New Roman"/>
          <w:b/>
          <w:bCs/>
        </w:rPr>
        <w:t>候选计划的前瞻评估</w:t>
      </w:r>
    </w:p>
    <w:p w14:paraId="6A8C3774">
      <w:pPr>
        <w:spacing w:line="400" w:lineRule="exact"/>
        <w:ind w:firstLine="480" w:firstLineChars="200"/>
        <w:rPr>
          <w:rFonts w:eastAsia="宋体" w:cs="Times New Roman"/>
        </w:rPr>
      </w:pPr>
      <w:r>
        <w:rPr>
          <w:rFonts w:hint="eastAsia" w:eastAsia="宋体" w:cs="Times New Roman"/>
        </w:rPr>
        <w:t>上述前瞻轨迹虽然能够体现候选计划作用下状态在前瞻窗口内的演化过程，但是其本质上仍是预测状态序列，难以直接用于不同候选计划间的比较，也不便于后验选择对其进行分析选择。因此，</w:t>
      </w:r>
      <w:r>
        <w:rPr>
          <w:rFonts w:eastAsia="宋体" w:cs="Times New Roman"/>
        </w:rPr>
        <w:t>在</w:t>
      </w:r>
      <w:r>
        <w:rPr>
          <w:rFonts w:hint="eastAsia" w:eastAsia="宋体" w:cs="Times New Roman"/>
        </w:rPr>
        <w:t>得出候选计划对应的前瞻轨迹后，还需进一步形成统一的评估结果。考虑到候选计划的优劣不仅取决于其产生的检测效果，还需考虑前瞻结果本身的可靠性及执行该计划的代价开销，因此本节从综合收益、不确定性与累计代价三个方面对候选计划进行评估，并将其统一表示为前瞻评估向量如式(4.10)。</w:t>
      </w:r>
    </w:p>
    <w:p w14:paraId="20384631">
      <w:pPr>
        <w:tabs>
          <w:tab w:val="center" w:pos="4160"/>
          <w:tab w:val="right" w:pos="8300"/>
        </w:tabs>
        <w:spacing w:line="400" w:lineRule="exact"/>
        <w:ind w:firstLine="480" w:firstLineChars="200"/>
        <w:rPr>
          <w:rFonts w:eastAsia="宋体" w:cs="Times New Roman"/>
        </w:rPr>
      </w:pPr>
      <w:r>
        <w:rPr>
          <w:rFonts w:eastAsia="宋体" w:cs="Times New Roman"/>
        </w:rPr>
        <w:tab/>
      </w:r>
      <w:r>
        <w:rPr>
          <w:rFonts w:eastAsia="宋体" w:cs="Times New Roman"/>
          <w:position w:val="-14"/>
        </w:rPr>
        <w:object>
          <v:shape id="_x0000_i1227" o:spt="75" type="#_x0000_t75" style="height:21pt;width:93pt;" o:ole="t" filled="f" o:preferrelative="t" stroked="f" coordsize="21600,21600">
            <v:path/>
            <v:fill on="f" focussize="0,0"/>
            <v:stroke on="f" joinstyle="miter"/>
            <v:imagedata r:id="rId398" o:title=""/>
            <o:lock v:ext="edit" aspectratio="t"/>
            <w10:wrap type="none"/>
            <w10:anchorlock/>
          </v:shape>
          <o:OLEObject Type="Embed" ProgID="Equation.DSMT4" ShapeID="_x0000_i1227" DrawAspect="Content" ObjectID="_1468075927" r:id="rId397">
            <o:LockedField>false</o:LockedField>
          </o:OLEObject>
        </w:object>
      </w:r>
      <w:r>
        <w:rPr>
          <w:rFonts w:eastAsia="宋体" w:cs="Times New Roman"/>
        </w:rPr>
        <w:tab/>
      </w:r>
      <w:r>
        <w:rPr>
          <w:rFonts w:hint="eastAsia" w:eastAsia="宋体" w:cs="Times New Roman"/>
        </w:rPr>
        <w:t>(4.10)</w:t>
      </w:r>
    </w:p>
    <w:p w14:paraId="29E9929B">
      <w:pPr>
        <w:spacing w:line="400" w:lineRule="exact"/>
        <w:rPr>
          <w:rFonts w:eastAsia="宋体" w:cs="Times New Roman"/>
        </w:rPr>
      </w:pPr>
      <w:r>
        <w:rPr>
          <w:rFonts w:hint="eastAsia" w:eastAsia="宋体" w:cs="Times New Roman"/>
        </w:rPr>
        <w:t>式中，</w:t>
      </w:r>
      <w:r>
        <w:rPr>
          <w:rFonts w:hint="eastAsia" w:eastAsia="宋体" w:cs="Times New Roman"/>
          <w:position w:val="-14"/>
        </w:rPr>
        <w:object>
          <v:shape id="_x0000_i1228" o:spt="75" type="#_x0000_t75" style="height:21pt;width:18.15pt;" o:ole="t" filled="f" o:preferrelative="t" stroked="f" coordsize="21600,21600">
            <v:path/>
            <v:fill on="f" focussize="0,0"/>
            <v:stroke on="f" joinstyle="miter"/>
            <v:imagedata r:id="rId400" o:title=""/>
            <o:lock v:ext="edit" aspectratio="t"/>
            <w10:wrap type="none"/>
            <w10:anchorlock/>
          </v:shape>
          <o:OLEObject Type="Embed" ProgID="Equation.DSMT4" ShapeID="_x0000_i1228" DrawAspect="Content" ObjectID="_1468075928" r:id="rId399">
            <o:LockedField>false</o:LockedField>
          </o:OLEObject>
        </w:object>
      </w:r>
      <w:r>
        <w:rPr>
          <w:rFonts w:hint="eastAsia" w:eastAsia="宋体" w:cs="Times New Roman"/>
        </w:rPr>
        <w:t>表示候选计划</w:t>
      </w:r>
      <w:r>
        <w:rPr>
          <w:rFonts w:eastAsia="宋体" w:cs="Times New Roman"/>
          <w:position w:val="-14"/>
        </w:rPr>
        <w:object>
          <v:shape id="_x0000_i1229" o:spt="75" type="#_x0000_t75" style="height:19pt;width:17pt;" o:ole="t" filled="f" o:preferrelative="t" stroked="f" coordsize="21600,21600">
            <v:path/>
            <v:fill on="f" focussize="0,0"/>
            <v:stroke on="f" joinstyle="miter"/>
            <v:imagedata r:id="rId392" o:title=""/>
            <o:lock v:ext="edit" aspectratio="t"/>
            <w10:wrap type="none"/>
            <w10:anchorlock/>
          </v:shape>
          <o:OLEObject Type="Embed" ProgID="Equation.DSMT4" ShapeID="_x0000_i1229" DrawAspect="Content" ObjectID="_1468075929" r:id="rId401">
            <o:LockedField>false</o:LockedField>
          </o:OLEObject>
        </w:object>
      </w:r>
      <w:r>
        <w:rPr>
          <w:rFonts w:hint="eastAsia" w:eastAsia="宋体" w:cs="Times New Roman"/>
        </w:rPr>
        <w:t>在前瞻窗口内的综合收益，</w:t>
      </w:r>
      <w:r>
        <w:rPr>
          <w:rFonts w:hint="eastAsia" w:eastAsia="宋体" w:cs="Times New Roman"/>
          <w:position w:val="-14"/>
        </w:rPr>
        <w:object>
          <v:shape id="_x0000_i1230" o:spt="75" type="#_x0000_t75" style="height:21pt;width:19pt;" o:ole="t" filled="f" o:preferrelative="t" stroked="f" coordsize="21600,21600">
            <v:path/>
            <v:fill on="f" focussize="0,0"/>
            <v:stroke on="f" joinstyle="miter"/>
            <v:imagedata r:id="rId403" o:title=""/>
            <o:lock v:ext="edit" aspectratio="t"/>
            <w10:wrap type="none"/>
            <w10:anchorlock/>
          </v:shape>
          <o:OLEObject Type="Embed" ProgID="Equation.DSMT4" ShapeID="_x0000_i1230" DrawAspect="Content" ObjectID="_1468075930" r:id="rId402">
            <o:LockedField>false</o:LockedField>
          </o:OLEObject>
        </w:object>
      </w:r>
      <w:r>
        <w:rPr>
          <w:rFonts w:hint="eastAsia" w:eastAsia="宋体" w:cs="Times New Roman"/>
        </w:rPr>
        <w:t>表示对应前瞻结果的不确定性程度，</w:t>
      </w:r>
      <w:r>
        <w:rPr>
          <w:rFonts w:hint="eastAsia" w:eastAsia="宋体" w:cs="Times New Roman"/>
          <w:position w:val="-14"/>
        </w:rPr>
        <w:object>
          <v:shape id="_x0000_i1231" o:spt="75" type="#_x0000_t75" style="height:21pt;width:18.15pt;" o:ole="t" filled="f" o:preferrelative="t" stroked="f" coordsize="21600,21600">
            <v:path/>
            <v:fill on="f" focussize="0,0"/>
            <v:stroke on="f" joinstyle="miter"/>
            <v:imagedata r:id="rId405" o:title=""/>
            <o:lock v:ext="edit" aspectratio="t"/>
            <w10:wrap type="none"/>
            <w10:anchorlock/>
          </v:shape>
          <o:OLEObject Type="Embed" ProgID="Equation.DSMT4" ShapeID="_x0000_i1231" DrawAspect="Content" ObjectID="_1468075931" r:id="rId404">
            <o:LockedField>false</o:LockedField>
          </o:OLEObject>
        </w:object>
      </w:r>
      <w:r>
        <w:rPr>
          <w:rFonts w:hint="eastAsia" w:eastAsia="宋体" w:cs="Times New Roman"/>
        </w:rPr>
        <w:t>表示执行该候选计划的累计代价。</w:t>
      </w:r>
    </w:p>
    <w:p w14:paraId="00A9FEC2">
      <w:pPr>
        <w:spacing w:line="400" w:lineRule="exact"/>
        <w:ind w:firstLine="480" w:firstLineChars="200"/>
        <w:rPr>
          <w:rFonts w:eastAsia="宋体" w:cs="Times New Roman"/>
        </w:rPr>
      </w:pPr>
      <w:r>
        <w:rPr>
          <w:rFonts w:eastAsia="宋体" w:cs="Times New Roman"/>
        </w:rPr>
        <w:t>为</w:t>
      </w:r>
      <w:r>
        <w:rPr>
          <w:rFonts w:hint="eastAsia" w:eastAsia="宋体" w:cs="Times New Roman"/>
        </w:rPr>
        <w:t>明确前瞻评估向量中各分量的计算方式，本节考虑候选计划在前瞻窗口内的阶段收益、预测不确定性与动作代价，对综合收益、不确定性与累计代价进行定义。考虑到APT检测中不仅需要关注检测是否有效，还需关注能否及早形成预警并抑制风险，因此在</w:t>
      </w:r>
      <w:r>
        <w:rPr>
          <w:rFonts w:hint="eastAsia" w:eastAsia="宋体" w:cs="Times New Roman"/>
          <w:highlight w:val="red"/>
        </w:rPr>
        <w:t>综合收益</w:t>
      </w:r>
      <w:r>
        <w:rPr>
          <w:rFonts w:hint="eastAsia" w:eastAsia="宋体" w:cs="Times New Roman"/>
        </w:rPr>
        <w:t>的表示中，本节采用</w:t>
      </w:r>
      <w:r>
        <w:rPr>
          <w:rFonts w:hint="eastAsia" w:eastAsia="宋体" w:cs="Times New Roman"/>
          <w:highlight w:val="red"/>
        </w:rPr>
        <w:t>折扣累积形式对</w:t>
      </w:r>
      <w:r>
        <w:rPr>
          <w:rFonts w:hint="eastAsia" w:eastAsia="宋体" w:cs="Times New Roman"/>
        </w:rPr>
        <w:t>前瞻窗口内各步收益进行汇总，使较早出现的有效预警与关键异常线索在评估中获得更高的权重；对于不确定性，本节根据预测轨迹对各步状态转移不确定性取平均值，以体现候选计划整体前瞻结果的可靠性；对于</w:t>
      </w:r>
      <w:r>
        <w:rPr>
          <w:rFonts w:hint="eastAsia" w:eastAsia="宋体" w:cs="Times New Roman"/>
          <w:highlight w:val="red"/>
        </w:rPr>
        <w:t>累计代价</w:t>
      </w:r>
      <w:r>
        <w:rPr>
          <w:rFonts w:hint="eastAsia" w:eastAsia="宋体" w:cs="Times New Roman"/>
        </w:rPr>
        <w:t>，则对计划执行过程中各步动作的代价进行</w:t>
      </w:r>
      <w:r>
        <w:rPr>
          <w:rFonts w:hint="eastAsia" w:eastAsia="宋体" w:cs="Times New Roman"/>
          <w:highlight w:val="red"/>
        </w:rPr>
        <w:t>折扣累积，以表示其实施过程中的总开销</w:t>
      </w:r>
      <w:r>
        <w:rPr>
          <w:rFonts w:hint="eastAsia" w:eastAsia="宋体" w:cs="Times New Roman"/>
        </w:rPr>
        <w:t>。综合收益、不确定性与累计代价的计算方式如式(4.11)。</w:t>
      </w:r>
    </w:p>
    <w:p w14:paraId="149EFFAB">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32" o:spt="75" type="#_x0000_t75" style="height:34pt;width:355.1pt;" o:ole="t" filled="f" o:preferrelative="t" stroked="f" coordsize="21600,21600">
            <v:path/>
            <v:fill on="f" focussize="0,0"/>
            <v:stroke on="f" joinstyle="miter"/>
            <v:imagedata r:id="rId407" o:title=""/>
            <o:lock v:ext="edit" aspectratio="t"/>
            <w10:wrap type="none"/>
            <w10:anchorlock/>
          </v:shape>
          <o:OLEObject Type="Embed" ProgID="Equation.DSMT4" ShapeID="_x0000_i1232" DrawAspect="Content" ObjectID="_1468075932" r:id="rId406">
            <o:LockedField>false</o:LockedField>
          </o:OLEObject>
        </w:object>
      </w:r>
      <w:r>
        <w:rPr>
          <w:rFonts w:eastAsia="宋体" w:cs="Times New Roman"/>
        </w:rPr>
        <w:tab/>
      </w:r>
      <w:r>
        <w:rPr>
          <w:rFonts w:hint="eastAsia" w:eastAsia="宋体" w:cs="Times New Roman"/>
        </w:rPr>
        <w:t>(4.11)</w:t>
      </w:r>
    </w:p>
    <w:p w14:paraId="32C2F686">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0"/>
        </w:rPr>
        <w:object>
          <v:shape id="_x0000_i1233" o:spt="75" type="#_x0000_t75" style="height:13.25pt;width:10.1pt;" o:ole="t" filled="f" o:preferrelative="t" stroked="f" coordsize="21600,21600">
            <v:path/>
            <v:fill on="f" focussize="0,0"/>
            <v:stroke on="f" joinstyle="miter"/>
            <v:imagedata r:id="rId409" o:title=""/>
            <o:lock v:ext="edit" aspectratio="t"/>
            <w10:wrap type="none"/>
            <w10:anchorlock/>
          </v:shape>
          <o:OLEObject Type="Embed" ProgID="Equation.DSMT4" ShapeID="_x0000_i1233" DrawAspect="Content" ObjectID="_1468075933" r:id="rId408">
            <o:LockedField>false</o:LockedField>
          </o:OLEObject>
        </w:object>
      </w:r>
      <w:r>
        <w:rPr>
          <w:rFonts w:hint="eastAsia" w:eastAsia="宋体" w:cs="Times New Roman"/>
        </w:rPr>
        <w:t>表示折扣因子；</w:t>
      </w:r>
      <w:r>
        <w:rPr>
          <w:rFonts w:hint="eastAsia" w:eastAsia="宋体" w:cs="Times New Roman"/>
          <w:position w:val="-10"/>
        </w:rPr>
        <w:object>
          <v:shape id="_x0000_i1234" o:spt="75" type="#_x0000_t75" style="height:16.4pt;width:19.6pt;" o:ole="t" filled="f" o:preferrelative="t" stroked="f" coordsize="21600,21600">
            <v:path/>
            <v:fill on="f" focussize="0,0"/>
            <v:stroke on="f" joinstyle="miter"/>
            <v:imagedata r:id="rId411" o:title=""/>
            <o:lock v:ext="edit" aspectratio="t"/>
            <w10:wrap type="none"/>
            <w10:anchorlock/>
          </v:shape>
          <o:OLEObject Type="Embed" ProgID="Equation.DSMT4" ShapeID="_x0000_i1234" DrawAspect="Content" ObjectID="_1468075934" r:id="rId410">
            <o:LockedField>false</o:LockedField>
          </o:OLEObject>
        </w:object>
      </w:r>
      <w:r>
        <w:rPr>
          <w:rFonts w:hint="eastAsia" w:eastAsia="宋体" w:cs="Times New Roman"/>
        </w:rPr>
        <w:t>表示在预测状态下执行相应动作产生的阶段收益，用于体现异常线索、关键证据、风险抑制及预警提前收益等综合因素；</w:t>
      </w:r>
      <w:r>
        <w:rPr>
          <w:rFonts w:hint="eastAsia" w:eastAsia="宋体" w:cs="Times New Roman"/>
          <w:position w:val="-12"/>
        </w:rPr>
        <w:object>
          <v:shape id="_x0000_i1235" o:spt="75" type="#_x0000_t75" style="height:18.15pt;width:25.9pt;" o:ole="t" filled="f" o:preferrelative="t" stroked="f" coordsize="21600,21600">
            <v:path/>
            <v:fill on="f" focussize="0,0"/>
            <v:stroke on="f" joinstyle="miter"/>
            <v:imagedata r:id="rId413" o:title=""/>
            <o:lock v:ext="edit" aspectratio="t"/>
            <w10:wrap type="none"/>
            <w10:anchorlock/>
          </v:shape>
          <o:OLEObject Type="Embed" ProgID="Equation.DSMT4" ShapeID="_x0000_i1235" DrawAspect="Content" ObjectID="_1468075935" r:id="rId412">
            <o:LockedField>false</o:LockedField>
          </o:OLEObject>
        </w:object>
      </w:r>
      <w:r>
        <w:rPr>
          <w:rFonts w:hint="eastAsia" w:eastAsia="宋体" w:cs="Times New Roman"/>
        </w:rPr>
        <w:t>为上节定义的状态转移不确定性，用于体现前瞻结果的可靠性；</w:t>
      </w:r>
      <w:r>
        <w:rPr>
          <w:rFonts w:hint="eastAsia" w:eastAsia="宋体" w:cs="Times New Roman"/>
          <w:position w:val="-10"/>
        </w:rPr>
        <w:object>
          <v:shape id="_x0000_i1236" o:spt="75" type="#_x0000_t75" style="height:16.4pt;width:19.6pt;" o:ole="t" filled="f" o:preferrelative="t" stroked="f" coordsize="21600,21600">
            <v:path/>
            <v:fill on="f" focussize="0,0"/>
            <v:stroke on="f" joinstyle="miter"/>
            <v:imagedata r:id="rId415" o:title=""/>
            <o:lock v:ext="edit" aspectratio="t"/>
            <w10:wrap type="none"/>
            <w10:anchorlock/>
          </v:shape>
          <o:OLEObject Type="Embed" ProgID="Equation.DSMT4" ShapeID="_x0000_i1236" DrawAspect="Content" ObjectID="_1468075936" r:id="rId414">
            <o:LockedField>false</o:LockedField>
          </o:OLEObject>
        </w:object>
      </w:r>
      <w:r>
        <w:rPr>
          <w:rFonts w:hint="eastAsia" w:eastAsia="宋体" w:cs="Times New Roman"/>
        </w:rPr>
        <w:t>表示对应动作的代价，用于反映补证、处置等行为产生的资源消耗及业务扰动。</w:t>
      </w:r>
    </w:p>
    <w:p w14:paraId="45F36B78">
      <w:pPr>
        <w:spacing w:line="400" w:lineRule="exact"/>
        <w:ind w:firstLine="480" w:firstLineChars="200"/>
        <w:rPr>
          <w:rFonts w:eastAsia="宋体" w:cs="Times New Roman"/>
        </w:rPr>
      </w:pPr>
      <w:r>
        <w:rPr>
          <w:rFonts w:eastAsia="宋体" w:cs="Times New Roman"/>
        </w:rPr>
        <w:t>通过综合考虑上述三个方面，候选计划不再仅是LLM生成的语义建议，而被进一步转化为包含综合收益、预测可靠性和执行代价的量化评估结果。该结果与4.2节中的先验偏好共同作为后验选择的输入，使后续PPO策略能够在语义先验、未来状态影响和环境反馈之间进行综合权衡，从而为4.4节中的候选计划后验选择与策略优化提供依据。</w:t>
      </w:r>
    </w:p>
    <w:p w14:paraId="7ABF61D9">
      <w:pPr>
        <w:pStyle w:val="3"/>
      </w:pPr>
      <w:bookmarkStart w:id="76" w:name="_Toc230086376"/>
      <w:bookmarkStart w:id="77" w:name="_Toc224238204"/>
      <w:r>
        <w:rPr>
          <w:rFonts w:hint="eastAsia"/>
        </w:rPr>
        <w:t>4.4 基于PPO的强化学习后验选择</w:t>
      </w:r>
      <w:bookmarkEnd w:id="76"/>
      <w:bookmarkEnd w:id="77"/>
    </w:p>
    <w:p w14:paraId="71EE9132">
      <w:pPr>
        <w:ind w:firstLine="480" w:firstLineChars="200"/>
      </w:pPr>
      <w:r>
        <w:rPr>
          <w:rFonts w:hint="eastAsia"/>
        </w:rPr>
        <w:t>经过上述部分的方法，当前检测决策已能够同时具有语义先验信息与前瞻评估信息，然而这两类信息不足以直接形成最终决策。因此，本文在候选计划及其先验偏好与对应的前瞻评估结果的基础上使用后验选择策略，并对其进行学习与优化，从而形成针对APT检测的最终决策策略。</w:t>
      </w:r>
    </w:p>
    <w:p w14:paraId="1B19C928">
      <w:pPr>
        <w:pStyle w:val="4"/>
      </w:pPr>
      <w:bookmarkStart w:id="78" w:name="_Toc224238205"/>
      <w:bookmarkStart w:id="79" w:name="_Toc230086377"/>
      <w:r>
        <w:rPr>
          <w:rFonts w:hint="eastAsia"/>
        </w:rPr>
        <w:t>4.4.1 候选计划后验选择</w:t>
      </w:r>
      <w:bookmarkEnd w:id="78"/>
      <w:r>
        <w:rPr>
          <w:rFonts w:hint="eastAsia"/>
        </w:rPr>
        <w:t>策略建模</w:t>
      </w:r>
      <w:bookmarkEnd w:id="79"/>
    </w:p>
    <w:p w14:paraId="4FD512A4">
      <w:pPr>
        <w:spacing w:line="400" w:lineRule="exact"/>
        <w:ind w:firstLine="480" w:firstLineChars="200"/>
        <w:rPr>
          <w:rFonts w:eastAsia="宋体" w:cs="Times New Roman"/>
        </w:rPr>
      </w:pPr>
      <w:r>
        <w:rPr>
          <w:rFonts w:hint="eastAsia" w:eastAsia="宋体" w:cs="Times New Roman"/>
        </w:rPr>
        <w:t>为将候选计划的先验偏好与前瞻评估结果统一结合到后验决策过程中，本节需要首先对候选计划后验选择策略进行建模。具体而言，本节首先构造候选计划的后验表示并定义其后验策略分布，以实现对不同候选计划进行统一比较；然后结合在线重规划方法将候选计划决策进行单步动作执行，从而兼顾前瞻信息利用与检测决策的实时调整。</w:t>
      </w:r>
    </w:p>
    <w:p w14:paraId="3C3909B3">
      <w:pPr>
        <w:spacing w:line="400" w:lineRule="exact"/>
        <w:ind w:firstLine="482" w:firstLineChars="200"/>
        <w:rPr>
          <w:rFonts w:eastAsia="宋体" w:cs="Times New Roman"/>
          <w:b/>
          <w:bCs/>
        </w:rPr>
      </w:pPr>
      <w:r>
        <w:rPr>
          <w:rFonts w:eastAsia="宋体" w:cs="Times New Roman"/>
          <w:b/>
          <w:bCs/>
        </w:rPr>
        <w:t>（1）候选计划后验表示与策略分布</w:t>
      </w:r>
    </w:p>
    <w:p w14:paraId="7335F5FC">
      <w:pPr>
        <w:spacing w:line="400" w:lineRule="exact"/>
        <w:ind w:firstLine="480" w:firstLineChars="200"/>
        <w:rPr>
          <w:rFonts w:eastAsia="宋体" w:cs="Times New Roman"/>
        </w:rPr>
      </w:pPr>
      <w:r>
        <w:rPr>
          <w:rFonts w:hint="eastAsia" w:eastAsia="宋体" w:cs="Times New Roman"/>
        </w:rPr>
        <w:t>为使强化学习后验选择能够在统一决策空间内综合利用前文的所有信息，本节将状态摘要、候选计划表示及其先验偏好与前瞻评估结果共同映射为候选计划的后验表示。对于候选计划</w:t>
      </w:r>
      <w:r>
        <w:rPr>
          <w:rFonts w:hint="eastAsia" w:eastAsia="宋体" w:cs="Times New Roman"/>
          <w:position w:val="-14"/>
        </w:rPr>
        <w:object>
          <v:shape id="_x0000_i1237" o:spt="75" type="#_x0000_t75" style="height:19pt;width:17pt;" o:ole="t" filled="f" o:preferrelative="t" stroked="f" coordsize="21600,21600">
            <v:path/>
            <v:fill on="f" focussize="0,0"/>
            <v:stroke on="f" joinstyle="miter"/>
            <v:imagedata r:id="rId417" o:title=""/>
            <o:lock v:ext="edit" aspectratio="t"/>
            <w10:wrap type="none"/>
            <w10:anchorlock/>
          </v:shape>
          <o:OLEObject Type="Embed" ProgID="Equation.DSMT4" ShapeID="_x0000_i1237" DrawAspect="Content" ObjectID="_1468075937" r:id="rId416">
            <o:LockedField>false</o:LockedField>
          </o:OLEObject>
        </w:object>
      </w:r>
      <w:r>
        <w:rPr>
          <w:rFonts w:hint="eastAsia" w:eastAsia="宋体" w:cs="Times New Roman"/>
        </w:rPr>
        <w:t>，其后验表示定义如式(4.12)。</w:t>
      </w:r>
    </w:p>
    <w:p w14:paraId="782ABC34">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238" o:spt="75" type="#_x0000_t75" style="height:19pt;width:115.2pt;" o:ole="t" filled="f" o:preferrelative="t" stroked="f" coordsize="21600,21600">
            <v:path/>
            <v:fill on="f" focussize="0,0"/>
            <v:stroke on="f" joinstyle="miter"/>
            <v:imagedata r:id="rId419" o:title=""/>
            <o:lock v:ext="edit" aspectratio="t"/>
            <w10:wrap type="none"/>
            <w10:anchorlock/>
          </v:shape>
          <o:OLEObject Type="Embed" ProgID="Equation.DSMT4" ShapeID="_x0000_i1238" DrawAspect="Content" ObjectID="_1468075938" r:id="rId418">
            <o:LockedField>false</o:LockedField>
          </o:OLEObject>
        </w:object>
      </w:r>
      <w:r>
        <w:rPr>
          <w:rFonts w:eastAsia="宋体" w:cs="Times New Roman"/>
        </w:rPr>
        <w:tab/>
      </w:r>
      <w:r>
        <w:rPr>
          <w:rFonts w:hint="eastAsia" w:eastAsia="宋体" w:cs="Times New Roman"/>
        </w:rPr>
        <w:t>(4.12)</w:t>
      </w:r>
    </w:p>
    <w:p w14:paraId="1A831A3E">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239" o:spt="75" type="#_x0000_t75" style="height:18.15pt;width:10.95pt;" o:ole="t" filled="f" o:preferrelative="t" stroked="f" coordsize="21600,21600">
            <v:path/>
            <v:fill on="f" focussize="0,0"/>
            <v:stroke on="f" joinstyle="miter"/>
            <v:imagedata r:id="rId421" o:title=""/>
            <o:lock v:ext="edit" aspectratio="t"/>
            <w10:wrap type="none"/>
            <w10:anchorlock/>
          </v:shape>
          <o:OLEObject Type="Embed" ProgID="Equation.DSMT4" ShapeID="_x0000_i1239" DrawAspect="Content" ObjectID="_1468075939" r:id="rId420">
            <o:LockedField>false</o:LockedField>
          </o:OLEObject>
        </w:object>
      </w:r>
      <w:r>
        <w:rPr>
          <w:rFonts w:hint="eastAsia" w:eastAsia="宋体" w:cs="Times New Roman"/>
        </w:rPr>
        <w:t>表示时刻</w:t>
      </w:r>
      <w:r>
        <w:rPr>
          <w:rFonts w:hint="eastAsia" w:eastAsia="宋体" w:cs="Times New Roman"/>
          <w:position w:val="-6"/>
        </w:rPr>
        <w:object>
          <v:shape id="_x0000_i1240" o:spt="75" type="#_x0000_t75" style="height:12.4pt;width:7.2pt;" o:ole="t" filled="f" o:preferrelative="t" stroked="f" coordsize="21600,21600">
            <v:path/>
            <v:fill on="f" focussize="0,0"/>
            <v:stroke on="f" joinstyle="miter"/>
            <v:imagedata r:id="rId423" o:title=""/>
            <o:lock v:ext="edit" aspectratio="t"/>
            <w10:wrap type="none"/>
            <w10:anchorlock/>
          </v:shape>
          <o:OLEObject Type="Embed" ProgID="Equation.DSMT4" ShapeID="_x0000_i1240" DrawAspect="Content" ObjectID="_1468075940" r:id="rId422">
            <o:LockedField>false</o:LockedField>
          </o:OLEObject>
        </w:object>
      </w:r>
      <w:r>
        <w:rPr>
          <w:rFonts w:hint="eastAsia" w:eastAsia="宋体" w:cs="Times New Roman"/>
        </w:rPr>
        <w:t>的状态摘要；</w:t>
      </w:r>
      <w:r>
        <w:rPr>
          <w:rFonts w:hint="eastAsia" w:eastAsia="宋体" w:cs="Times New Roman"/>
          <w:position w:val="-14"/>
        </w:rPr>
        <w:object>
          <v:shape id="_x0000_i1241" o:spt="75" type="#_x0000_t75" style="height:19pt;width:33.4pt;" o:ole="t" filled="f" o:preferrelative="t" stroked="f" coordsize="21600,21600">
            <v:path/>
            <v:fill on="f" focussize="0,0"/>
            <v:stroke on="f" joinstyle="miter"/>
            <v:imagedata r:id="rId425" o:title=""/>
            <o:lock v:ext="edit" aspectratio="t"/>
            <w10:wrap type="none"/>
            <w10:anchorlock/>
          </v:shape>
          <o:OLEObject Type="Embed" ProgID="Equation.DSMT4" ShapeID="_x0000_i1241" DrawAspect="Content" ObjectID="_1468075941" r:id="rId424">
            <o:LockedField>false</o:LockedField>
          </o:OLEObject>
        </w:object>
      </w:r>
      <w:r>
        <w:rPr>
          <w:rFonts w:hint="eastAsia" w:eastAsia="宋体" w:cs="Times New Roman"/>
        </w:rPr>
        <w:t>表示候选计划</w:t>
      </w:r>
      <w:r>
        <w:rPr>
          <w:rFonts w:hint="eastAsia" w:eastAsia="宋体" w:cs="Times New Roman"/>
          <w:position w:val="-14"/>
        </w:rPr>
        <w:object>
          <v:shape id="_x0000_i1242" o:spt="75" type="#_x0000_t75" style="height:19pt;width:17pt;" o:ole="t" filled="f" o:preferrelative="t" stroked="f" coordsize="21600,21600">
            <v:path/>
            <v:fill on="f" focussize="0,0"/>
            <v:stroke on="f" joinstyle="miter"/>
            <v:imagedata r:id="rId427" o:title=""/>
            <o:lock v:ext="edit" aspectratio="t"/>
            <w10:wrap type="none"/>
            <w10:anchorlock/>
          </v:shape>
          <o:OLEObject Type="Embed" ProgID="Equation.DSMT4" ShapeID="_x0000_i1242" DrawAspect="Content" ObjectID="_1468075942" r:id="rId426">
            <o:LockedField>false</o:LockedField>
          </o:OLEObject>
        </w:object>
      </w:r>
      <w:r>
        <w:rPr>
          <w:rFonts w:hint="eastAsia" w:eastAsia="宋体" w:cs="Times New Roman"/>
        </w:rPr>
        <w:t>的向量表示；</w:t>
      </w:r>
      <w:r>
        <w:rPr>
          <w:rFonts w:hint="eastAsia" w:eastAsia="宋体" w:cs="Times New Roman"/>
          <w:position w:val="-14"/>
        </w:rPr>
        <w:object>
          <v:shape id="_x0000_i1243" o:spt="75" type="#_x0000_t75" style="height:19pt;width:18.15pt;" o:ole="t" filled="f" o:preferrelative="t" stroked="f" coordsize="21600,21600">
            <v:path/>
            <v:fill on="f" focussize="0,0"/>
            <v:stroke on="f" joinstyle="miter"/>
            <v:imagedata r:id="rId429" o:title=""/>
            <o:lock v:ext="edit" aspectratio="t"/>
            <w10:wrap type="none"/>
            <w10:anchorlock/>
          </v:shape>
          <o:OLEObject Type="Embed" ProgID="Equation.DSMT4" ShapeID="_x0000_i1243" DrawAspect="Content" ObjectID="_1468075943" r:id="rId428">
            <o:LockedField>false</o:LockedField>
          </o:OLEObject>
        </w:object>
      </w:r>
      <w:r>
        <w:rPr>
          <w:rFonts w:hint="eastAsia" w:eastAsia="宋体" w:cs="Times New Roman"/>
        </w:rPr>
        <w:t>表示LLM对候选计划的先验偏好；</w:t>
      </w:r>
      <w:r>
        <w:rPr>
          <w:rFonts w:hint="eastAsia" w:eastAsia="宋体" w:cs="Times New Roman"/>
          <w:position w:val="-14"/>
        </w:rPr>
        <w:object>
          <v:shape id="_x0000_i1244" o:spt="75" type="#_x0000_t75" style="height:19pt;width:15pt;" o:ole="t" filled="f" o:preferrelative="t" stroked="f" coordsize="21600,21600">
            <v:path/>
            <v:fill on="f" focussize="0,0"/>
            <v:stroke on="f" joinstyle="miter"/>
            <v:imagedata r:id="rId431" o:title=""/>
            <o:lock v:ext="edit" aspectratio="t"/>
            <w10:wrap type="none"/>
            <w10:anchorlock/>
          </v:shape>
          <o:OLEObject Type="Embed" ProgID="Equation.DSMT4" ShapeID="_x0000_i1244" DrawAspect="Content" ObjectID="_1468075944" r:id="rId430">
            <o:LockedField>false</o:LockedField>
          </o:OLEObject>
        </w:object>
      </w:r>
      <w:r>
        <w:rPr>
          <w:rFonts w:hint="eastAsia" w:eastAsia="宋体" w:cs="Times New Roman"/>
        </w:rPr>
        <w:t>表示前瞻评估结果，其中</w:t>
      </w:r>
      <w:r>
        <w:rPr>
          <w:rFonts w:hint="eastAsia" w:eastAsia="宋体" w:cs="Times New Roman"/>
          <w:position w:val="-14"/>
        </w:rPr>
        <w:object>
          <v:shape id="_x0000_i1245" o:spt="75" type="#_x0000_t75" style="height:19pt;width:85.8pt;" o:ole="t" filled="f" o:preferrelative="t" stroked="f" coordsize="21600,21600">
            <v:path/>
            <v:fill on="f" focussize="0,0"/>
            <v:stroke on="f" joinstyle="miter"/>
            <v:imagedata r:id="rId433" o:title=""/>
            <o:lock v:ext="edit" aspectratio="t"/>
            <w10:wrap type="none"/>
            <w10:anchorlock/>
          </v:shape>
          <o:OLEObject Type="Embed" ProgID="Equation.DSMT4" ShapeID="_x0000_i1245" DrawAspect="Content" ObjectID="_1468075945" r:id="rId432">
            <o:LockedField>false</o:LockedField>
          </o:OLEObject>
        </w:object>
      </w:r>
      <w:r>
        <w:rPr>
          <w:rFonts w:hint="eastAsia" w:eastAsia="宋体" w:cs="Times New Roman"/>
        </w:rPr>
        <w:t>，包含综合收益、预测不确定性及累计代价。通过该式，候选计划不再表现为离散的动作序列，而被表示为融合当前状态、语义先验与前瞻评估结果的统一决策输入，从而为后续候选计划的比较提供了一致的信息。</w:t>
      </w:r>
    </w:p>
    <w:p w14:paraId="32928009">
      <w:pPr>
        <w:spacing w:line="400" w:lineRule="exact"/>
        <w:ind w:firstLine="480" w:firstLineChars="200"/>
        <w:rPr>
          <w:rFonts w:eastAsia="宋体" w:cs="Times New Roman"/>
        </w:rPr>
      </w:pPr>
      <w:r>
        <w:rPr>
          <w:rFonts w:eastAsia="宋体" w:cs="Times New Roman"/>
        </w:rPr>
        <w:t>在</w:t>
      </w:r>
      <w:r>
        <w:rPr>
          <w:rFonts w:hint="eastAsia" w:eastAsia="宋体" w:cs="Times New Roman"/>
        </w:rPr>
        <w:t>此基础上，本节进一步将候选计划后验选择建模为策略分布的形式。记当前时刻全部候选计划的后验表示集合为</w:t>
      </w:r>
      <w:r>
        <w:rPr>
          <w:rFonts w:hint="eastAsia" w:eastAsia="宋体" w:cs="Times New Roman"/>
          <w:position w:val="-14"/>
        </w:rPr>
        <w:object>
          <v:shape id="_x0000_i1246" o:spt="75" type="#_x0000_t75" style="height:19pt;width:103.1pt;" o:ole="t" filled="f" o:preferrelative="t" stroked="f" coordsize="21600,21600">
            <v:path/>
            <v:fill on="f" focussize="0,0"/>
            <v:stroke on="f" joinstyle="miter"/>
            <v:imagedata r:id="rId435" o:title=""/>
            <o:lock v:ext="edit" aspectratio="t"/>
            <w10:wrap type="none"/>
            <w10:anchorlock/>
          </v:shape>
          <o:OLEObject Type="Embed" ProgID="Equation.DSMT4" ShapeID="_x0000_i1246" DrawAspect="Content" ObjectID="_1468075946" r:id="rId434">
            <o:LockedField>false</o:LockedField>
          </o:OLEObject>
        </w:object>
      </w:r>
      <w:r>
        <w:rPr>
          <w:rFonts w:hint="eastAsia" w:eastAsia="宋体" w:cs="Times New Roman"/>
        </w:rPr>
        <w:t>，其中</w:t>
      </w:r>
      <w:r>
        <w:rPr>
          <w:rFonts w:hint="eastAsia" w:eastAsia="宋体" w:cs="Times New Roman"/>
          <w:position w:val="-4"/>
        </w:rPr>
        <w:object>
          <v:shape id="_x0000_i1247" o:spt="75" type="#_x0000_t75" style="height:13.25pt;width:16.4pt;" o:ole="t" filled="f" o:preferrelative="t" stroked="f" coordsize="21600,21600">
            <v:path/>
            <v:fill on="f" focussize="0,0"/>
            <v:stroke on="f" joinstyle="miter"/>
            <v:imagedata r:id="rId437" o:title=""/>
            <o:lock v:ext="edit" aspectratio="t"/>
            <w10:wrap type="none"/>
            <w10:anchorlock/>
          </v:shape>
          <o:OLEObject Type="Embed" ProgID="Equation.DSMT4" ShapeID="_x0000_i1247" DrawAspect="Content" ObjectID="_1468075947" r:id="rId436">
            <o:LockedField>false</o:LockedField>
          </o:OLEObject>
        </w:object>
      </w:r>
      <w:r>
        <w:rPr>
          <w:rFonts w:hint="eastAsia" w:eastAsia="宋体" w:cs="Times New Roman"/>
        </w:rPr>
        <w:t>为候选计划数量。后验策略网络对各候选计划输出相对分值，并经归一化后得出其被选择的概率，其计算方式如式(4.13)。</w:t>
      </w:r>
    </w:p>
    <w:p w14:paraId="3946A5FF">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40"/>
        </w:rPr>
        <w:object>
          <v:shape id="_x0000_i1248" o:spt="75" type="#_x0000_t75" style="height:40.05pt;width:145.15pt;" o:ole="t" filled="f" o:preferrelative="t" stroked="f" coordsize="21600,21600">
            <v:path/>
            <v:fill on="f" focussize="0,0"/>
            <v:stroke on="f" joinstyle="miter"/>
            <v:imagedata r:id="rId439" o:title=""/>
            <o:lock v:ext="edit" aspectratio="t"/>
            <w10:wrap type="none"/>
            <w10:anchorlock/>
          </v:shape>
          <o:OLEObject Type="Embed" ProgID="Equation.DSMT4" ShapeID="_x0000_i1248" DrawAspect="Content" ObjectID="_1468075948" r:id="rId438">
            <o:LockedField>false</o:LockedField>
          </o:OLEObject>
        </w:object>
      </w:r>
      <w:r>
        <w:rPr>
          <w:rFonts w:eastAsia="宋体" w:cs="Times New Roman"/>
        </w:rPr>
        <w:tab/>
      </w:r>
      <w:r>
        <w:rPr>
          <w:rFonts w:hint="eastAsia" w:eastAsia="宋体" w:cs="Times New Roman"/>
        </w:rPr>
        <w:t>(4.13)</w:t>
      </w:r>
    </w:p>
    <w:p w14:paraId="1FB47993">
      <w:pPr>
        <w:spacing w:line="400" w:lineRule="exact"/>
        <w:rPr>
          <w:rFonts w:eastAsia="宋体" w:cs="Times New Roman"/>
        </w:rPr>
      </w:pPr>
      <w:bookmarkStart w:id="80" w:name="_Toc224238206"/>
      <w:r>
        <w:rPr>
          <w:rFonts w:hint="eastAsia" w:eastAsia="宋体" w:cs="Times New Roman"/>
        </w:rPr>
        <w:t>式中，</w:t>
      </w:r>
      <w:r>
        <w:rPr>
          <w:rFonts w:eastAsia="宋体" w:cs="Times New Roman"/>
          <w:position w:val="-6"/>
        </w:rPr>
        <w:object>
          <v:shape id="_x0000_i1249" o:spt="75" type="#_x0000_t75" style="height:13.8pt;width:10.1pt;" o:ole="t" filled="f" o:preferrelative="t" stroked="f" coordsize="21600,21600">
            <v:path/>
            <v:fill on="f" focussize="0,0"/>
            <v:stroke on="f" joinstyle="miter"/>
            <v:imagedata r:id="rId441" o:title=""/>
            <o:lock v:ext="edit" aspectratio="t"/>
            <w10:wrap type="none"/>
            <w10:anchorlock/>
          </v:shape>
          <o:OLEObject Type="Embed" ProgID="Equation.DSMT4" ShapeID="_x0000_i1249" DrawAspect="Content" ObjectID="_1468075949" r:id="rId440">
            <o:LockedField>false</o:LockedField>
          </o:OLEObject>
        </w:object>
      </w:r>
      <w:r>
        <w:rPr>
          <w:rFonts w:hint="eastAsia" w:eastAsia="宋体" w:cs="Times New Roman"/>
        </w:rPr>
        <w:t>表示后验策略网络参数；</w:t>
      </w:r>
      <w:r>
        <w:rPr>
          <w:rFonts w:eastAsia="宋体" w:cs="Times New Roman"/>
          <w:position w:val="-14"/>
        </w:rPr>
        <w:object>
          <v:shape id="_x0000_i1250" o:spt="75" type="#_x0000_t75" style="height:19pt;width:37.15pt;" o:ole="t" filled="f" o:preferrelative="t" stroked="f" coordsize="21600,21600">
            <v:path/>
            <v:fill on="f" focussize="0,0"/>
            <v:stroke on="f" joinstyle="miter"/>
            <v:imagedata r:id="rId443" o:title=""/>
            <o:lock v:ext="edit" aspectratio="t"/>
            <w10:wrap type="none"/>
            <w10:anchorlock/>
          </v:shape>
          <o:OLEObject Type="Embed" ProgID="Equation.DSMT4" ShapeID="_x0000_i1250" DrawAspect="Content" ObjectID="_1468075950" r:id="rId442">
            <o:LockedField>false</o:LockedField>
          </o:OLEObject>
        </w:object>
      </w:r>
      <w:r>
        <w:rPr>
          <w:rFonts w:hint="eastAsia" w:eastAsia="宋体" w:cs="Times New Roman"/>
        </w:rPr>
        <w:t>表示策略网络对第</w:t>
      </w:r>
      <w:r>
        <w:rPr>
          <w:rFonts w:eastAsia="宋体" w:cs="Times New Roman"/>
          <w:position w:val="-6"/>
        </w:rPr>
        <w:object>
          <v:shape id="_x0000_i1251" o:spt="75" type="#_x0000_t75" style="height:13.25pt;width:6.35pt;" o:ole="t" filled="f" o:preferrelative="t" stroked="f" coordsize="21600,21600">
            <v:path/>
            <v:fill on="f" focussize="0,0"/>
            <v:stroke on="f" joinstyle="miter"/>
            <v:imagedata r:id="rId445" o:title=""/>
            <o:lock v:ext="edit" aspectratio="t"/>
            <w10:wrap type="none"/>
            <w10:anchorlock/>
          </v:shape>
          <o:OLEObject Type="Embed" ProgID="Equation.DSMT4" ShapeID="_x0000_i1251" DrawAspect="Content" ObjectID="_1468075951" r:id="rId444">
            <o:LockedField>false</o:LockedField>
          </o:OLEObject>
        </w:object>
      </w:r>
      <w:r>
        <w:rPr>
          <w:rFonts w:hint="eastAsia" w:eastAsia="宋体" w:cs="Times New Roman"/>
        </w:rPr>
        <w:t>个候选计划后验表示输出的分值；</w:t>
      </w:r>
      <w:r>
        <w:rPr>
          <w:rFonts w:eastAsia="宋体" w:cs="Times New Roman"/>
          <w:position w:val="-12"/>
        </w:rPr>
        <w:object>
          <v:shape id="_x0000_i1252" o:spt="75" type="#_x0000_t75" style="height:18.15pt;width:46.1pt;" o:ole="t" filled="f" o:preferrelative="t" stroked="f" coordsize="21600,21600">
            <v:path/>
            <v:fill on="f" focussize="0,0"/>
            <v:stroke on="f" joinstyle="miter"/>
            <v:imagedata r:id="rId447" o:title=""/>
            <o:lock v:ext="edit" aspectratio="t"/>
            <w10:wrap type="none"/>
            <w10:anchorlock/>
          </v:shape>
          <o:OLEObject Type="Embed" ProgID="Equation.DSMT4" ShapeID="_x0000_i1252" DrawAspect="Content" ObjectID="_1468075952" r:id="rId446">
            <o:LockedField>false</o:LockedField>
          </o:OLEObject>
        </w:object>
      </w:r>
      <w:r>
        <w:rPr>
          <w:rFonts w:hint="eastAsia" w:eastAsia="宋体" w:cs="Times New Roman"/>
        </w:rPr>
        <w:t>表示选择该候选计划的概率。与预先设定权重，对先验偏好与前瞻评估结果进行线性组合判定的方式相比，式(4.13)通过后续策略网络结合交互反馈自动学习的方式完成候选计划的优先级判定，从而能够形成更符合APT检测目标的后验选择结果。</w:t>
      </w:r>
    </w:p>
    <w:p w14:paraId="37DBD89C">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2</w:t>
      </w:r>
      <w:r>
        <w:rPr>
          <w:rFonts w:eastAsia="宋体" w:cs="Times New Roman"/>
          <w:b/>
          <w:bCs/>
        </w:rPr>
        <w:t>）</w:t>
      </w:r>
      <w:r>
        <w:rPr>
          <w:rFonts w:hint="eastAsia" w:eastAsia="宋体" w:cs="Times New Roman"/>
          <w:b/>
          <w:bCs/>
        </w:rPr>
        <w:t>在线重规划执行方式</w:t>
      </w:r>
    </w:p>
    <w:p w14:paraId="0811ABFF">
      <w:pPr>
        <w:spacing w:line="400" w:lineRule="exact"/>
        <w:ind w:firstLine="480" w:firstLineChars="200"/>
        <w:rPr>
          <w:rFonts w:eastAsia="宋体" w:cs="Times New Roman"/>
        </w:rPr>
      </w:pPr>
      <w:r>
        <w:rPr>
          <w:rFonts w:hint="eastAsia" w:eastAsia="宋体" w:cs="Times New Roman"/>
        </w:rPr>
        <w:t>考虑到APT检测环境中的交互过程以单步动作进行，若在当前时刻直接执行完整的候选计划，则后续决策难以及时利用新出现的检测证据，也不能够根据环境状态变化持续修正当前选择。因此，本节采用在线重规划执行的方式，每个时刻先在候选计划集合上完成后验选择，再执行所选候选计划的首个动作；下一时刻结合更新后的状态摘要重新生成候选计划并对其进行前瞻评估，并以此完成新的后验选择。设时刻</w:t>
      </w:r>
      <w:r>
        <w:rPr>
          <w:rFonts w:eastAsia="宋体" w:cs="Times New Roman"/>
          <w:position w:val="-6"/>
        </w:rPr>
        <w:object>
          <v:shape id="_x0000_i1253" o:spt="75" type="#_x0000_t75" style="height:11.5pt;width:6.35pt;" o:ole="t" filled="f" o:preferrelative="t" stroked="f" coordsize="21600,21600">
            <v:path/>
            <v:fill on="f" focussize="0,0"/>
            <v:stroke on="f" joinstyle="miter"/>
            <v:imagedata r:id="rId449" o:title=""/>
            <o:lock v:ext="edit" aspectratio="t"/>
            <w10:wrap type="none"/>
            <w10:anchorlock/>
          </v:shape>
          <o:OLEObject Type="Embed" ProgID="Equation.DSMT4" ShapeID="_x0000_i1253" DrawAspect="Content" ObjectID="_1468075953" r:id="rId448">
            <o:LockedField>false</o:LockedField>
          </o:OLEObject>
        </w:object>
      </w:r>
      <w:r>
        <w:rPr>
          <w:rFonts w:hint="eastAsia" w:eastAsia="宋体" w:cs="Times New Roman"/>
        </w:rPr>
        <w:t>最终选择的候选计划编号为</w:t>
      </w:r>
      <w:r>
        <w:rPr>
          <w:rFonts w:eastAsia="宋体" w:cs="Times New Roman"/>
          <w:position w:val="-12"/>
        </w:rPr>
        <w:object>
          <v:shape id="_x0000_i1254" o:spt="75" type="#_x0000_t75" style="height:18.15pt;width:9.5pt;" o:ole="t" filled="f" o:preferrelative="t" stroked="f" coordsize="21600,21600">
            <v:path/>
            <v:fill on="f" focussize="0,0"/>
            <v:stroke on="f" joinstyle="miter"/>
            <v:imagedata r:id="rId451" o:title=""/>
            <o:lock v:ext="edit" aspectratio="t"/>
            <w10:wrap type="none"/>
            <w10:anchorlock/>
          </v:shape>
          <o:OLEObject Type="Embed" ProgID="Equation.DSMT4" ShapeID="_x0000_i1254" DrawAspect="Content" ObjectID="_1468075954" r:id="rId450">
            <o:LockedField>false</o:LockedField>
          </o:OLEObject>
        </w:object>
      </w:r>
      <w:r>
        <w:rPr>
          <w:rFonts w:hint="eastAsia" w:eastAsia="宋体" w:cs="Times New Roman"/>
        </w:rPr>
        <w:t>，则实际执行动作可表示为式(4.14)。</w:t>
      </w:r>
    </w:p>
    <w:p w14:paraId="29000884">
      <w:pPr>
        <w:tabs>
          <w:tab w:val="center" w:pos="4160"/>
          <w:tab w:val="right" w:pos="8300"/>
        </w:tabs>
        <w:spacing w:line="400" w:lineRule="exact"/>
        <w:ind w:firstLine="480" w:firstLineChars="200"/>
        <w:rPr>
          <w:rFonts w:eastAsia="宋体" w:cs="Times New Roman"/>
        </w:rPr>
      </w:pPr>
      <w:r>
        <w:rPr>
          <w:rFonts w:eastAsia="宋体" w:cs="Times New Roman"/>
        </w:rPr>
        <w:tab/>
      </w:r>
      <w:r>
        <w:rPr>
          <w:rFonts w:eastAsia="宋体" w:cs="Times New Roman"/>
          <w:position w:val="-14"/>
        </w:rPr>
        <w:object>
          <v:shape id="_x0000_i1255" o:spt="75" type="#_x0000_t75" style="height:19pt;width:144.6pt;" o:ole="t" filled="f" o:preferrelative="t" stroked="f" coordsize="21600,21600">
            <v:path/>
            <v:fill on="f" focussize="0,0"/>
            <v:stroke on="f" joinstyle="miter"/>
            <v:imagedata r:id="rId453" o:title=""/>
            <o:lock v:ext="edit" aspectratio="t"/>
            <w10:wrap type="none"/>
            <w10:anchorlock/>
          </v:shape>
          <o:OLEObject Type="Embed" ProgID="Equation.DSMT4" ShapeID="_x0000_i1255" DrawAspect="Content" ObjectID="_1468075955" r:id="rId452">
            <o:LockedField>false</o:LockedField>
          </o:OLEObject>
        </w:object>
      </w:r>
      <w:r>
        <w:rPr>
          <w:rFonts w:eastAsia="宋体" w:cs="Times New Roman"/>
        </w:rPr>
        <w:tab/>
      </w:r>
      <w:r>
        <w:rPr>
          <w:rFonts w:hint="eastAsia" w:eastAsia="宋体" w:cs="Times New Roman"/>
        </w:rPr>
        <w:t>(4.14)</w:t>
      </w:r>
    </w:p>
    <w:p w14:paraId="0153703F">
      <w:pPr>
        <w:spacing w:line="400" w:lineRule="exact"/>
        <w:rPr>
          <w:rFonts w:eastAsia="宋体" w:cs="Times New Roman"/>
        </w:rPr>
      </w:pPr>
      <w:r>
        <w:rPr>
          <w:rFonts w:hint="eastAsia" w:eastAsia="宋体" w:cs="Times New Roman"/>
        </w:rPr>
        <w:t>式中，</w:t>
      </w:r>
      <w:r>
        <w:rPr>
          <w:rFonts w:eastAsia="宋体" w:cs="Times New Roman"/>
          <w:position w:val="-10"/>
        </w:rPr>
        <w:object>
          <v:shape id="_x0000_i1256" o:spt="75" type="#_x0000_t75" style="height:16.4pt;width:38.6pt;" o:ole="t" filled="f" o:preferrelative="t" stroked="f" coordsize="21600,21600">
            <v:path/>
            <v:fill on="f" focussize="0,0"/>
            <v:stroke on="f" joinstyle="miter"/>
            <v:imagedata r:id="rId455" o:title=""/>
            <o:lock v:ext="edit" aspectratio="t"/>
            <w10:wrap type="none"/>
            <w10:anchorlock/>
          </v:shape>
          <o:OLEObject Type="Embed" ProgID="Equation.DSMT4" ShapeID="_x0000_i1256" DrawAspect="Content" ObjectID="_1468075956" r:id="rId454">
            <o:LockedField>false</o:LockedField>
          </o:OLEObject>
        </w:object>
      </w:r>
      <w:r>
        <w:rPr>
          <w:rFonts w:hint="eastAsia" w:eastAsia="宋体" w:cs="Times New Roman"/>
        </w:rPr>
        <w:t>表示选取候选计划的首个动作，</w:t>
      </w:r>
      <w:r>
        <w:rPr>
          <w:rFonts w:eastAsia="宋体" w:cs="Times New Roman"/>
          <w:position w:val="-12"/>
        </w:rPr>
        <w:object>
          <v:shape id="_x0000_i1257" o:spt="75" type="#_x0000_t75" style="height:18.15pt;width:12.4pt;" o:ole="t" filled="f" o:preferrelative="t" stroked="f" coordsize="21600,21600">
            <v:path/>
            <v:fill on="f" focussize="0,0"/>
            <v:stroke on="f" joinstyle="miter"/>
            <v:imagedata r:id="rId457" o:title=""/>
            <o:lock v:ext="edit" aspectratio="t"/>
            <w10:wrap type="none"/>
            <w10:anchorlock/>
          </v:shape>
          <o:OLEObject Type="Embed" ProgID="Equation.DSMT4" ShapeID="_x0000_i1257" DrawAspect="Content" ObjectID="_1468075957" r:id="rId456">
            <o:LockedField>false</o:LockedField>
          </o:OLEObject>
        </w:object>
      </w:r>
      <w:r>
        <w:rPr>
          <w:rFonts w:hint="eastAsia" w:eastAsia="宋体" w:cs="Times New Roman"/>
        </w:rPr>
        <w:t>表示时刻</w:t>
      </w:r>
      <w:r>
        <w:rPr>
          <w:rFonts w:eastAsia="宋体" w:cs="Times New Roman"/>
          <w:position w:val="-6"/>
        </w:rPr>
        <w:object>
          <v:shape id="_x0000_i1258" o:spt="75" type="#_x0000_t75" style="height:12.4pt;width:6.35pt;" o:ole="t" filled="f" o:preferrelative="t" stroked="f" coordsize="21600,21600">
            <v:path/>
            <v:fill on="f" focussize="0,0"/>
            <v:stroke on="f" joinstyle="miter"/>
            <v:imagedata r:id="rId459" o:title=""/>
            <o:lock v:ext="edit" aspectratio="t"/>
            <w10:wrap type="none"/>
            <w10:anchorlock/>
          </v:shape>
          <o:OLEObject Type="Embed" ProgID="Equation.DSMT4" ShapeID="_x0000_i1258" DrawAspect="Content" ObjectID="_1468075958" r:id="rId458">
            <o:LockedField>false</o:LockedField>
          </o:OLEObject>
        </w:object>
      </w:r>
      <w:r>
        <w:rPr>
          <w:rFonts w:hint="eastAsia" w:eastAsia="宋体" w:cs="Times New Roman"/>
        </w:rPr>
        <w:t>实际执行的检测动作。</w:t>
      </w:r>
    </w:p>
    <w:p w14:paraId="391ABE00">
      <w:pPr>
        <w:spacing w:line="400" w:lineRule="exact"/>
        <w:ind w:firstLine="480" w:firstLineChars="200"/>
        <w:rPr>
          <w:rFonts w:eastAsia="宋体" w:cs="Times New Roman"/>
        </w:rPr>
      </w:pPr>
      <w:r>
        <w:rPr>
          <w:rFonts w:hint="eastAsia" w:eastAsia="宋体" w:cs="Times New Roman"/>
        </w:rPr>
        <w:t>该执行方式既能够保留候选计划的多步前瞻信息，使其能够用于后验选择比较；同时又保持了环境交互的单步更新形式，从而使后验选择决策能够根据最新环境状态及时调整策略。</w:t>
      </w:r>
    </w:p>
    <w:p w14:paraId="4746B8CE">
      <w:pPr>
        <w:pStyle w:val="4"/>
      </w:pPr>
      <w:bookmarkStart w:id="81" w:name="_Toc230086378"/>
      <w:r>
        <w:rPr>
          <w:rFonts w:hint="eastAsia"/>
        </w:rPr>
        <w:t>4.4.2 候选计划后验选择</w:t>
      </w:r>
      <w:r>
        <w:t>策略</w:t>
      </w:r>
      <w:bookmarkEnd w:id="80"/>
      <w:r>
        <w:rPr>
          <w:rFonts w:hint="eastAsia"/>
        </w:rPr>
        <w:t>学习及优化</w:t>
      </w:r>
      <w:bookmarkEnd w:id="81"/>
    </w:p>
    <w:p w14:paraId="646F08DE">
      <w:pPr>
        <w:spacing w:line="400" w:lineRule="exact"/>
        <w:ind w:firstLine="480" w:firstLineChars="200"/>
        <w:rPr>
          <w:rFonts w:eastAsia="宋体" w:cs="Times New Roman"/>
        </w:rPr>
      </w:pPr>
      <w:r>
        <w:rPr>
          <w:rFonts w:hint="eastAsia" w:eastAsia="宋体" w:cs="Times New Roman"/>
        </w:rPr>
        <w:t>在完成候选计划后验选择策略建模后，需对该策略在真实交互中完成学习并持续优化。虽然先验偏好与前瞻评估为候选计划评估比较提供了重要依据，但是其来源于LLM推理与世界模型预测，仍可能与真实环境中的实际演化过程存在偏差。因此，本文使用强化学习方法，根据环境反馈对候选计划后验选择策略进行学习与优化，使其在实际检测过程中逐步形成更合理有效的检测策略。</w:t>
      </w:r>
    </w:p>
    <w:p w14:paraId="12B40AE9">
      <w:pPr>
        <w:spacing w:line="400" w:lineRule="exact"/>
        <w:ind w:firstLine="482" w:firstLineChars="200"/>
        <w:rPr>
          <w:rFonts w:eastAsia="宋体" w:cs="Times New Roman"/>
          <w:b/>
          <w:bCs/>
        </w:rPr>
      </w:pPr>
      <w:r>
        <w:rPr>
          <w:rFonts w:eastAsia="宋体" w:cs="Times New Roman"/>
          <w:b/>
          <w:bCs/>
        </w:rPr>
        <w:t>（1）</w:t>
      </w:r>
      <w:r>
        <w:rPr>
          <w:rFonts w:hint="eastAsia" w:eastAsia="宋体" w:cs="Times New Roman"/>
          <w:b/>
          <w:bCs/>
        </w:rPr>
        <w:t>奖励构造</w:t>
      </w:r>
      <w:r>
        <w:rPr>
          <w:rFonts w:eastAsia="宋体" w:cs="Times New Roman"/>
          <w:b/>
          <w:bCs/>
        </w:rPr>
        <w:t>与</w:t>
      </w:r>
      <w:r>
        <w:rPr>
          <w:rFonts w:hint="eastAsia" w:eastAsia="宋体" w:cs="Times New Roman"/>
          <w:b/>
          <w:bCs/>
        </w:rPr>
        <w:t>学习目标</w:t>
      </w:r>
    </w:p>
    <w:p w14:paraId="20135374">
      <w:pPr>
        <w:spacing w:line="400" w:lineRule="exact"/>
        <w:ind w:firstLine="480" w:firstLineChars="200"/>
        <w:rPr>
          <w:rFonts w:eastAsia="宋体" w:cs="Times New Roman"/>
        </w:rPr>
      </w:pPr>
      <w:r>
        <w:rPr>
          <w:rFonts w:hint="eastAsia" w:eastAsia="宋体" w:cs="Times New Roman"/>
        </w:rPr>
        <w:t>候选计划后验选择学习的过程中，不仅需要考虑当前动作的检测效果，还需兼顾预警及时性、误报风险与执行成本等重要因素。若只根据单一检测收益进行优化，易使得策略偏向局部有效而忽略了APT检测过程中对及早预警与成本控制的需求。因此，本节构造考虑上述因素的即时奖励函数，以反映动作执行后的综合检测效果如式(4.15)。</w:t>
      </w:r>
    </w:p>
    <w:p w14:paraId="20755592">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259" o:spt="75" type="#_x0000_t75" style="height:19pt;width:162.15pt;" o:ole="t" filled="f" o:preferrelative="t" stroked="f" coordsize="21600,21600">
            <v:path/>
            <v:fill on="f" focussize="0,0"/>
            <v:stroke on="f" joinstyle="miter"/>
            <v:imagedata r:id="rId461" o:title=""/>
            <o:lock v:ext="edit" aspectratio="t"/>
            <w10:wrap type="none"/>
            <w10:anchorlock/>
          </v:shape>
          <o:OLEObject Type="Embed" ProgID="Equation.DSMT4" ShapeID="_x0000_i1259" DrawAspect="Content" ObjectID="_1468075959" r:id="rId460">
            <o:LockedField>false</o:LockedField>
          </o:OLEObject>
        </w:object>
      </w:r>
      <w:r>
        <w:rPr>
          <w:rFonts w:eastAsia="宋体" w:cs="Times New Roman"/>
        </w:rPr>
        <w:tab/>
      </w:r>
      <w:r>
        <w:rPr>
          <w:rFonts w:hint="eastAsia" w:eastAsia="宋体" w:cs="Times New Roman"/>
        </w:rPr>
        <w:t>(4.15)</w:t>
      </w:r>
    </w:p>
    <w:p w14:paraId="50608001">
      <w:pPr>
        <w:spacing w:line="400" w:lineRule="exact"/>
        <w:rPr>
          <w:rFonts w:eastAsia="宋体" w:cs="Times New Roman"/>
        </w:rPr>
      </w:pPr>
      <w:r>
        <w:rPr>
          <w:rFonts w:hint="eastAsia" w:eastAsia="宋体" w:cs="Times New Roman"/>
        </w:rPr>
        <w:t>式中，</w:t>
      </w:r>
      <w:r>
        <w:rPr>
          <w:rFonts w:eastAsia="宋体" w:cs="Times New Roman"/>
          <w:position w:val="-12"/>
        </w:rPr>
        <w:object>
          <v:shape id="_x0000_i1260" o:spt="75" type="#_x0000_t75" style="height:19pt;width:18.15pt;" o:ole="t" filled="f" o:preferrelative="t" stroked="f" coordsize="21600,21600">
            <v:path/>
            <v:fill on="f" focussize="0,0"/>
            <v:stroke on="f" joinstyle="miter"/>
            <v:imagedata r:id="rId463" o:title=""/>
            <o:lock v:ext="edit" aspectratio="t"/>
            <w10:wrap type="none"/>
            <w10:anchorlock/>
          </v:shape>
          <o:OLEObject Type="Embed" ProgID="Equation.DSMT4" ShapeID="_x0000_i1260" DrawAspect="Content" ObjectID="_1468075960" r:id="rId462">
            <o:LockedField>false</o:LockedField>
          </o:OLEObject>
        </w:object>
      </w:r>
      <w:r>
        <w:rPr>
          <w:rFonts w:hint="eastAsia" w:eastAsia="宋体" w:cs="Times New Roman"/>
        </w:rPr>
        <w:t>表示当前动作产生的检测收益；</w:t>
      </w:r>
      <w:r>
        <w:rPr>
          <w:rFonts w:eastAsia="宋体" w:cs="Times New Roman"/>
          <w:position w:val="-12"/>
        </w:rPr>
        <w:object>
          <v:shape id="_x0000_i1261" o:spt="75" type="#_x0000_t75" style="height:19pt;width:23.6pt;" o:ole="t" filled="f" o:preferrelative="t" stroked="f" coordsize="21600,21600">
            <v:path/>
            <v:fill on="f" focussize="0,0"/>
            <v:stroke on="f" joinstyle="miter"/>
            <v:imagedata r:id="rId465" o:title=""/>
            <o:lock v:ext="edit" aspectratio="t"/>
            <w10:wrap type="none"/>
            <w10:anchorlock/>
          </v:shape>
          <o:OLEObject Type="Embed" ProgID="Equation.DSMT4" ShapeID="_x0000_i1261" DrawAspect="Content" ObjectID="_1468075961" r:id="rId464">
            <o:LockedField>false</o:LockedField>
          </o:OLEObject>
        </w:object>
      </w:r>
      <w:r>
        <w:rPr>
          <w:rFonts w:hint="eastAsia" w:eastAsia="宋体" w:cs="Times New Roman"/>
        </w:rPr>
        <w:t>表示提前预警收益；</w:t>
      </w:r>
      <w:r>
        <w:rPr>
          <w:rFonts w:eastAsia="宋体" w:cs="Times New Roman"/>
          <w:position w:val="-12"/>
        </w:rPr>
        <w:object>
          <v:shape id="_x0000_i1262" o:spt="75" type="#_x0000_t75" style="height:19pt;width:21pt;" o:ole="t" filled="f" o:preferrelative="t" stroked="f" coordsize="21600,21600">
            <v:path/>
            <v:fill on="f" focussize="0,0"/>
            <v:stroke on="f" joinstyle="miter"/>
            <v:imagedata r:id="rId467" o:title=""/>
            <o:lock v:ext="edit" aspectratio="t"/>
            <w10:wrap type="none"/>
            <w10:anchorlock/>
          </v:shape>
          <o:OLEObject Type="Embed" ProgID="Equation.DSMT4" ShapeID="_x0000_i1262" DrawAspect="Content" ObjectID="_1468075962" r:id="rId466">
            <o:LockedField>false</o:LockedField>
          </o:OLEObject>
        </w:object>
      </w:r>
      <w:r>
        <w:rPr>
          <w:rFonts w:hint="eastAsia" w:eastAsia="宋体" w:cs="Times New Roman"/>
        </w:rPr>
        <w:t>表示误报或高风险动作产生的惩罚；</w:t>
      </w:r>
      <w:r>
        <w:rPr>
          <w:rFonts w:eastAsia="宋体" w:cs="Times New Roman"/>
          <w:position w:val="-12"/>
        </w:rPr>
        <w:object>
          <v:shape id="_x0000_i1263" o:spt="75" type="#_x0000_t75" style="height:18.15pt;width:26.8pt;" o:ole="t" filled="f" o:preferrelative="t" stroked="f" coordsize="21600,21600">
            <v:path/>
            <v:fill on="f" focussize="0,0"/>
            <v:stroke on="f" joinstyle="miter"/>
            <v:imagedata r:id="rId469" o:title=""/>
            <o:lock v:ext="edit" aspectratio="t"/>
            <w10:wrap type="none"/>
            <w10:anchorlock/>
          </v:shape>
          <o:OLEObject Type="Embed" ProgID="Equation.DSMT4" ShapeID="_x0000_i1263" DrawAspect="Content" ObjectID="_1468075963" r:id="rId468">
            <o:LockedField>false</o:LockedField>
          </o:OLEObject>
        </w:object>
      </w:r>
      <w:r>
        <w:rPr>
          <w:rFonts w:hint="eastAsia" w:eastAsia="宋体" w:cs="Times New Roman"/>
        </w:rPr>
        <w:t>表示动作执行代价；</w:t>
      </w:r>
      <w:r>
        <w:rPr>
          <w:rFonts w:eastAsia="宋体" w:cs="Times New Roman"/>
          <w:position w:val="-12"/>
        </w:rPr>
        <w:object>
          <v:shape id="_x0000_i1264" o:spt="75" type="#_x0000_t75" style="height:18.15pt;width:12.4pt;" o:ole="t" filled="f" o:preferrelative="t" stroked="f" coordsize="21600,21600">
            <v:path/>
            <v:fill on="f" focussize="0,0"/>
            <v:stroke on="f" joinstyle="miter"/>
            <v:imagedata r:id="rId471" o:title=""/>
            <o:lock v:ext="edit" aspectratio="t"/>
            <w10:wrap type="none"/>
            <w10:anchorlock/>
          </v:shape>
          <o:OLEObject Type="Embed" ProgID="Equation.DSMT4" ShapeID="_x0000_i1264" DrawAspect="Content" ObjectID="_1468075964" r:id="rId470">
            <o:LockedField>false</o:LockedField>
          </o:OLEObject>
        </w:object>
      </w:r>
      <w:r>
        <w:rPr>
          <w:rFonts w:hint="eastAsia" w:eastAsia="宋体" w:cs="Times New Roman"/>
        </w:rPr>
        <w:t>、</w:t>
      </w:r>
      <w:r>
        <w:rPr>
          <w:rFonts w:eastAsia="宋体" w:cs="Times New Roman"/>
          <w:position w:val="-12"/>
        </w:rPr>
        <w:object>
          <v:shape id="_x0000_i1265" o:spt="75" type="#_x0000_t75" style="height:18.15pt;width:13.8pt;" o:ole="t" filled="f" o:preferrelative="t" stroked="f" coordsize="21600,21600">
            <v:path/>
            <v:fill on="f" focussize="0,0"/>
            <v:stroke on="f" joinstyle="miter"/>
            <v:imagedata r:id="rId473" o:title=""/>
            <o:lock v:ext="edit" aspectratio="t"/>
            <w10:wrap type="none"/>
            <w10:anchorlock/>
          </v:shape>
          <o:OLEObject Type="Embed" ProgID="Equation.DSMT4" ShapeID="_x0000_i1265" DrawAspect="Content" ObjectID="_1468075965" r:id="rId472">
            <o:LockedField>false</o:LockedField>
          </o:OLEObject>
        </w:object>
      </w:r>
      <w:r>
        <w:rPr>
          <w:rFonts w:hint="eastAsia" w:eastAsia="宋体" w:cs="Times New Roman"/>
        </w:rPr>
        <w:t>与</w:t>
      </w:r>
      <w:r>
        <w:rPr>
          <w:rFonts w:eastAsia="宋体" w:cs="Times New Roman"/>
          <w:position w:val="-12"/>
        </w:rPr>
        <w:object>
          <v:shape id="_x0000_i1266" o:spt="75" type="#_x0000_t75" style="height:18.15pt;width:13.25pt;" o:ole="t" filled="f" o:preferrelative="t" stroked="f" coordsize="21600,21600">
            <v:path/>
            <v:fill on="f" focussize="0,0"/>
            <v:stroke on="f" joinstyle="miter"/>
            <v:imagedata r:id="rId475" o:title=""/>
            <o:lock v:ext="edit" aspectratio="t"/>
            <w10:wrap type="none"/>
            <w10:anchorlock/>
          </v:shape>
          <o:OLEObject Type="Embed" ProgID="Equation.DSMT4" ShapeID="_x0000_i1266" DrawAspect="Content" ObjectID="_1468075966" r:id="rId474">
            <o:LockedField>false</o:LockedField>
          </o:OLEObject>
        </w:object>
      </w:r>
      <w:r>
        <w:rPr>
          <w:rFonts w:hint="eastAsia" w:eastAsia="宋体" w:cs="Times New Roman"/>
        </w:rPr>
        <w:t>为平衡系数。该奖励函数能够将APT检测中多个重要因素统一表示为可学习的反馈信号，使候选计划后验选择与实际任务目标能够保持一致。</w:t>
      </w:r>
    </w:p>
    <w:p w14:paraId="211B8886">
      <w:pPr>
        <w:spacing w:line="400" w:lineRule="exact"/>
        <w:ind w:firstLine="480" w:firstLineChars="200"/>
        <w:rPr>
          <w:rFonts w:eastAsia="宋体" w:cs="Times New Roman"/>
        </w:rPr>
      </w:pPr>
      <w:r>
        <w:rPr>
          <w:rFonts w:hint="eastAsia" w:eastAsia="宋体" w:cs="Times New Roman"/>
        </w:rPr>
        <w:t>然而，仅将单步即时奖励作为优化依据仍存在不足之处。考虑到环境动态变化与持续交互的特性，后验选择策略学习不能只针对单步动作进行局部比较，还需从更长的时间范围评估当前选择对后续检测的影响。基于这些考虑，本节以后验策略的期望折扣累计回报作为学习目标如式(4.16)。</w:t>
      </w:r>
    </w:p>
    <w:p w14:paraId="38512E35">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67" o:spt="75" type="#_x0000_t75" style="height:34pt;width:106pt;" o:ole="t" filled="f" o:preferrelative="t" stroked="f" coordsize="21600,21600">
            <v:path/>
            <v:fill on="f" focussize="0,0"/>
            <v:stroke on="f" joinstyle="miter"/>
            <v:imagedata r:id="rId477" o:title=""/>
            <o:lock v:ext="edit" aspectratio="t"/>
            <w10:wrap type="none"/>
            <w10:anchorlock/>
          </v:shape>
          <o:OLEObject Type="Embed" ProgID="Equation.DSMT4" ShapeID="_x0000_i1267" DrawAspect="Content" ObjectID="_1468075967" r:id="rId476">
            <o:LockedField>false</o:LockedField>
          </o:OLEObject>
        </w:object>
      </w:r>
      <w:r>
        <w:rPr>
          <w:rFonts w:eastAsia="宋体" w:cs="Times New Roman"/>
        </w:rPr>
        <w:tab/>
      </w:r>
      <w:r>
        <w:rPr>
          <w:rFonts w:hint="eastAsia" w:eastAsia="宋体" w:cs="Times New Roman"/>
        </w:rPr>
        <w:t>(4.16)</w:t>
      </w:r>
    </w:p>
    <w:p w14:paraId="1D668391">
      <w:pPr>
        <w:spacing w:line="400" w:lineRule="exact"/>
        <w:rPr>
          <w:rFonts w:eastAsia="宋体" w:cs="Times New Roman"/>
        </w:rPr>
      </w:pPr>
      <w:r>
        <w:rPr>
          <w:rFonts w:hint="eastAsia" w:eastAsia="宋体" w:cs="Times New Roman"/>
        </w:rPr>
        <w:t>式中，</w:t>
      </w:r>
      <w:r>
        <w:rPr>
          <w:rFonts w:eastAsia="宋体" w:cs="Times New Roman"/>
          <w:position w:val="-10"/>
        </w:rPr>
        <w:object>
          <v:shape id="_x0000_i1268" o:spt="75" type="#_x0000_t75" style="height:13.25pt;width:10.1pt;" o:ole="t" filled="f" o:preferrelative="t" stroked="f" coordsize="21600,21600">
            <v:path/>
            <v:fill on="f" focussize="0,0"/>
            <v:stroke on="f" joinstyle="miter"/>
            <v:imagedata r:id="rId479" o:title=""/>
            <o:lock v:ext="edit" aspectratio="t"/>
            <w10:wrap type="none"/>
            <w10:anchorlock/>
          </v:shape>
          <o:OLEObject Type="Embed" ProgID="Equation.DSMT4" ShapeID="_x0000_i1268" DrawAspect="Content" ObjectID="_1468075968" r:id="rId478">
            <o:LockedField>false</o:LockedField>
          </o:OLEObject>
        </w:object>
      </w:r>
      <w:r>
        <w:rPr>
          <w:rFonts w:hint="eastAsia" w:eastAsia="宋体" w:cs="Times New Roman"/>
        </w:rPr>
        <w:t>表示折扣因子，</w:t>
      </w:r>
      <w:r>
        <w:rPr>
          <w:rFonts w:eastAsia="宋体" w:cs="Times New Roman"/>
          <w:position w:val="-4"/>
        </w:rPr>
        <w:object>
          <v:shape id="_x0000_i1269" o:spt="75" type="#_x0000_t75" style="height:13.25pt;width:10.95pt;" o:ole="t" filled="f" o:preferrelative="t" stroked="f" coordsize="21600,21600">
            <v:path/>
            <v:fill on="f" focussize="0,0"/>
            <v:stroke on="f" joinstyle="miter"/>
            <v:imagedata r:id="rId481" o:title=""/>
            <o:lock v:ext="edit" aspectratio="t"/>
            <w10:wrap type="none"/>
            <w10:anchorlock/>
          </v:shape>
          <o:OLEObject Type="Embed" ProgID="Equation.DSMT4" ShapeID="_x0000_i1269" DrawAspect="Content" ObjectID="_1468075969" r:id="rId480">
            <o:LockedField>false</o:LockedField>
          </o:OLEObject>
        </w:object>
      </w:r>
      <w:r>
        <w:rPr>
          <w:rFonts w:hint="eastAsia" w:eastAsia="宋体" w:cs="Times New Roman"/>
        </w:rPr>
        <w:t>表示当前交互序列的结束时刻。</w:t>
      </w:r>
    </w:p>
    <w:p w14:paraId="00D22321">
      <w:pPr>
        <w:spacing w:line="400" w:lineRule="exact"/>
        <w:ind w:firstLine="480" w:firstLineChars="200"/>
        <w:rPr>
          <w:rFonts w:eastAsia="宋体" w:cs="Times New Roman"/>
        </w:rPr>
      </w:pPr>
      <w:r>
        <w:rPr>
          <w:rFonts w:hint="eastAsia" w:eastAsia="宋体" w:cs="Times New Roman"/>
        </w:rPr>
        <w:t>式(4.16)将单步反馈形式表示为长期优化目标，从而使得策略学习既能够考虑当前检测结果，又能够兼顾后续阶段的持续收益。该式表明，候选计划后验选择的学习及优化不局限于当前一步的即时收益，而是考虑当前时刻更合理的候选计划，以提升后续多步交互中的整体检测效果。</w:t>
      </w:r>
    </w:p>
    <w:p w14:paraId="189A471D">
      <w:pPr>
        <w:spacing w:line="400" w:lineRule="exact"/>
        <w:ind w:firstLine="482" w:firstLineChars="200"/>
        <w:rPr>
          <w:rFonts w:eastAsia="宋体" w:cs="Times New Roman"/>
          <w:b/>
          <w:bCs/>
        </w:rPr>
      </w:pPr>
      <w:r>
        <w:rPr>
          <w:rFonts w:eastAsia="宋体" w:cs="Times New Roman"/>
          <w:b/>
          <w:bCs/>
        </w:rPr>
        <w:t>（</w:t>
      </w:r>
      <w:r>
        <w:rPr>
          <w:rFonts w:hint="eastAsia" w:eastAsia="宋体" w:cs="Times New Roman"/>
          <w:b/>
          <w:bCs/>
        </w:rPr>
        <w:t>2</w:t>
      </w:r>
      <w:r>
        <w:rPr>
          <w:rFonts w:eastAsia="宋体" w:cs="Times New Roman"/>
          <w:b/>
          <w:bCs/>
        </w:rPr>
        <w:t>）</w:t>
      </w:r>
      <w:r>
        <w:rPr>
          <w:rFonts w:hint="eastAsia" w:eastAsia="宋体" w:cs="Times New Roman"/>
          <w:b/>
          <w:bCs/>
        </w:rPr>
        <w:t>基于PPO的策略学习及优化</w:t>
      </w:r>
    </w:p>
    <w:p w14:paraId="1CF1E2E1">
      <w:pPr>
        <w:spacing w:line="400" w:lineRule="exact"/>
        <w:ind w:firstLine="480" w:firstLineChars="200"/>
        <w:rPr>
          <w:rFonts w:eastAsia="宋体" w:cs="Times New Roman"/>
        </w:rPr>
      </w:pPr>
      <w:r>
        <w:rPr>
          <w:rFonts w:eastAsia="宋体" w:cs="Times New Roman"/>
        </w:rPr>
        <w:t>在明确奖励函数形式及学习目标后，需进一步确定后验选择策略</w:t>
      </w:r>
      <w:r>
        <w:rPr>
          <w:rFonts w:hint="eastAsia" w:eastAsia="宋体" w:cs="Times New Roman"/>
        </w:rPr>
        <w:t>的</w:t>
      </w:r>
      <w:r>
        <w:rPr>
          <w:rFonts w:eastAsia="宋体" w:cs="Times New Roman"/>
        </w:rPr>
        <w:t>学习方式</w:t>
      </w:r>
      <w:r>
        <w:rPr>
          <w:rFonts w:hint="eastAsia" w:eastAsia="宋体" w:cs="Times New Roman"/>
        </w:rPr>
        <w:t>。考虑到候选计划后验选择是基于候选集合的离散决策过程，且其选择结果会直接影响后续证据获取、预警时机及整体检测收益，因此后验选择策略不能只局限于静态比较，而需在真实交互中根据环境反馈持续学习及优化。因此，本节</w:t>
      </w:r>
      <w:r>
        <w:rPr>
          <w:rFonts w:eastAsia="宋体" w:cs="Times New Roman"/>
        </w:rPr>
        <w:t>采用基于PPO的强化学习方法对后验选择策略进行学习与优化</w:t>
      </w:r>
      <w:r>
        <w:rPr>
          <w:rFonts w:hint="eastAsia" w:eastAsia="宋体" w:cs="Times New Roman"/>
        </w:rPr>
        <w:t>。其中，后验策略由参数化策略网络实现，其学习过程是利用交互样本、价值评估结果及优势估计，对策略网络参数进行迭代更新的过程，而PPO为这一更新过程提供了稳定的优化方式。</w:t>
      </w:r>
    </w:p>
    <w:p w14:paraId="069982F8">
      <w:pPr>
        <w:spacing w:line="400" w:lineRule="exact"/>
        <w:ind w:firstLine="480" w:firstLineChars="200"/>
        <w:rPr>
          <w:rFonts w:eastAsia="宋体" w:cs="Times New Roman"/>
        </w:rPr>
      </w:pPr>
      <w:r>
        <w:rPr>
          <w:rFonts w:hint="eastAsia" w:eastAsia="宋体" w:cs="Times New Roman"/>
        </w:rPr>
        <w:t>在实际交互过程中，每一时刻后验策略首先根据当前候选计划后验表示集合</w:t>
      </w:r>
      <w:r>
        <w:rPr>
          <w:rFonts w:hint="eastAsia" w:eastAsia="宋体" w:cs="Times New Roman"/>
          <w:position w:val="-12"/>
        </w:rPr>
        <w:object>
          <v:shape id="_x0000_i1270" o:spt="75" type="#_x0000_t75" style="height:18.15pt;width:13.8pt;" o:ole="t" filled="f" o:preferrelative="t" stroked="f" coordsize="21600,21600">
            <v:path/>
            <v:fill on="f" focussize="0,0"/>
            <v:stroke on="f" joinstyle="miter"/>
            <v:imagedata r:id="rId483" o:title=""/>
            <o:lock v:ext="edit" aspectratio="t"/>
            <w10:wrap type="none"/>
            <w10:anchorlock/>
          </v:shape>
          <o:OLEObject Type="Embed" ProgID="Equation.DSMT4" ShapeID="_x0000_i1270" DrawAspect="Content" ObjectID="_1468075970" r:id="rId482">
            <o:LockedField>false</o:LockedField>
          </o:OLEObject>
        </w:object>
      </w:r>
      <w:r>
        <w:rPr>
          <w:rFonts w:hint="eastAsia" w:eastAsia="宋体" w:cs="Times New Roman"/>
        </w:rPr>
        <w:t>输出各候选计划的选择概率，并完成候选计划编号</w:t>
      </w:r>
      <w:r>
        <w:rPr>
          <w:rFonts w:hint="eastAsia" w:eastAsia="宋体" w:cs="Times New Roman"/>
          <w:position w:val="-12"/>
        </w:rPr>
        <w:object>
          <v:shape id="_x0000_i1271" o:spt="75" type="#_x0000_t75" style="height:18.15pt;width:9.2pt;" o:ole="t" filled="f" o:preferrelative="t" stroked="f" coordsize="21600,21600">
            <v:path/>
            <v:fill on="f" focussize="0,0"/>
            <v:stroke on="f" joinstyle="miter"/>
            <v:imagedata r:id="rId485" o:title=""/>
            <o:lock v:ext="edit" aspectratio="t"/>
            <w10:wrap type="none"/>
            <w10:anchorlock/>
          </v:shape>
          <o:OLEObject Type="Embed" ProgID="Equation.DSMT4" ShapeID="_x0000_i1271" DrawAspect="Content" ObjectID="_1468075971" r:id="rId484">
            <o:LockedField>false</o:LockedField>
          </o:OLEObject>
        </w:object>
      </w:r>
      <w:r>
        <w:rPr>
          <w:rFonts w:hint="eastAsia" w:eastAsia="宋体" w:cs="Times New Roman"/>
        </w:rPr>
        <w:t>的采样；然后执行所选候选计划中的首个动作</w:t>
      </w:r>
      <w:r>
        <w:rPr>
          <w:rFonts w:hint="eastAsia" w:eastAsia="宋体" w:cs="Times New Roman"/>
          <w:position w:val="-12"/>
        </w:rPr>
        <w:object>
          <v:shape id="_x0000_i1272" o:spt="75" type="#_x0000_t75" style="height:18.15pt;width:12.4pt;" o:ole="t" filled="f" o:preferrelative="t" stroked="f" coordsize="21600,21600">
            <v:path/>
            <v:fill on="f" focussize="0,0"/>
            <v:stroke on="f" joinstyle="miter"/>
            <v:imagedata r:id="rId487" o:title=""/>
            <o:lock v:ext="edit" aspectratio="t"/>
            <w10:wrap type="none"/>
            <w10:anchorlock/>
          </v:shape>
          <o:OLEObject Type="Embed" ProgID="Equation.DSMT4" ShapeID="_x0000_i1272" DrawAspect="Content" ObjectID="_1468075972" r:id="rId486">
            <o:LockedField>false</o:LockedField>
          </o:OLEObject>
        </w:object>
      </w:r>
      <w:r>
        <w:rPr>
          <w:rFonts w:hint="eastAsia" w:eastAsia="宋体" w:cs="Times New Roman"/>
        </w:rPr>
        <w:t>，并接收环境反馈的即时奖励与下一时刻状态；在下一时刻，基于更新后的状态重新生成候选计划并构造新的后验表示集合。由此，后验选择过程可以形成交互样本</w:t>
      </w:r>
      <w:r>
        <w:rPr>
          <w:rFonts w:hint="eastAsia" w:eastAsia="宋体" w:cs="Times New Roman"/>
          <w:position w:val="-12"/>
        </w:rPr>
        <w:object>
          <v:shape id="_x0000_i1273" o:spt="75" type="#_x0000_t75" style="height:18.15pt;width:67.1pt;" o:ole="t" filled="f" o:preferrelative="t" stroked="f" coordsize="21600,21600">
            <v:path/>
            <v:fill on="f" focussize="0,0"/>
            <v:stroke on="f" joinstyle="miter"/>
            <v:imagedata r:id="rId489" o:title=""/>
            <o:lock v:ext="edit" aspectratio="t"/>
            <w10:wrap type="none"/>
            <w10:anchorlock/>
          </v:shape>
          <o:OLEObject Type="Embed" ProgID="Equation.DSMT4" ShapeID="_x0000_i1273" DrawAspect="Content" ObjectID="_1468075973" r:id="rId488">
            <o:LockedField>false</o:LockedField>
          </o:OLEObject>
        </w:object>
      </w:r>
      <w:r>
        <w:rPr>
          <w:rFonts w:hint="eastAsia" w:eastAsia="宋体" w:cs="Times New Roman"/>
        </w:rPr>
        <w:t>，并在此持续交互中逐步学习不同状态下的候选计划选择偏好。</w:t>
      </w:r>
    </w:p>
    <w:p w14:paraId="4A422488">
      <w:pPr>
        <w:spacing w:line="400" w:lineRule="exact"/>
        <w:ind w:firstLine="480" w:firstLineChars="200"/>
        <w:rPr>
          <w:rFonts w:eastAsia="宋体" w:cs="Times New Roman"/>
        </w:rPr>
      </w:pPr>
      <w:r>
        <w:rPr>
          <w:rFonts w:eastAsia="宋体" w:cs="Times New Roman"/>
        </w:rPr>
        <w:t>在此基础上，本节结合价值函数对当前状态</w:t>
      </w:r>
      <w:r>
        <w:rPr>
          <w:rFonts w:hint="eastAsia" w:eastAsia="宋体" w:cs="Times New Roman"/>
        </w:rPr>
        <w:t>下</w:t>
      </w:r>
      <w:r>
        <w:rPr>
          <w:rFonts w:eastAsia="宋体" w:cs="Times New Roman"/>
        </w:rPr>
        <w:t>的</w:t>
      </w:r>
      <w:r>
        <w:rPr>
          <w:rFonts w:hint="eastAsia" w:eastAsia="宋体" w:cs="Times New Roman"/>
        </w:rPr>
        <w:t>长期回报进行评估，并据此构造优势估计，以避免策略只根据单步奖励的局部波动进行更新。考虑到训练过程中若更新幅度过大，易使得不同阶段对候选计划的偏好出现明显波动，从而降低学习策略的稳定性。因此本文使用PPO方法对后验策略进行约束更新。设</w:t>
      </w:r>
      <w:r>
        <w:rPr>
          <w:rFonts w:eastAsia="宋体" w:cs="Times New Roman"/>
          <w:position w:val="-14"/>
        </w:rPr>
        <w:object>
          <v:shape id="_x0000_i1274" o:spt="75" type="#_x0000_t75" style="height:19pt;width:21.9pt;" o:ole="t" filled="f" o:preferrelative="t" stroked="f" coordsize="21600,21600">
            <v:path/>
            <v:fill on="f" focussize="0,0"/>
            <v:stroke on="f" joinstyle="miter"/>
            <v:imagedata r:id="rId491" o:title=""/>
            <o:lock v:ext="edit" aspectratio="t"/>
            <w10:wrap type="none"/>
            <w10:anchorlock/>
          </v:shape>
          <o:OLEObject Type="Embed" ProgID="Equation.DSMT4" ShapeID="_x0000_i1274" DrawAspect="Content" ObjectID="_1468075974" r:id="rId490">
            <o:LockedField>false</o:LockedField>
          </o:OLEObject>
        </w:object>
      </w:r>
      <w:r>
        <w:rPr>
          <w:rFonts w:eastAsia="宋体" w:cs="Times New Roman"/>
        </w:rPr>
        <w:t>表示更新前的旧策略，</w:t>
      </w:r>
      <w:r>
        <w:rPr>
          <w:rFonts w:eastAsia="宋体" w:cs="Times New Roman"/>
          <w:position w:val="-12"/>
        </w:rPr>
        <w:object>
          <v:shape id="_x0000_i1275" o:spt="75" type="#_x0000_t75" style="height:19.6pt;width:13.25pt;" o:ole="t" filled="f" o:preferrelative="t" stroked="f" coordsize="21600,21600">
            <v:path/>
            <v:fill on="f" focussize="0,0"/>
            <v:stroke on="f" joinstyle="miter"/>
            <v:imagedata r:id="rId493" o:title=""/>
            <o:lock v:ext="edit" aspectratio="t"/>
            <w10:wrap type="none"/>
            <w10:anchorlock/>
          </v:shape>
          <o:OLEObject Type="Embed" ProgID="Equation.DSMT4" ShapeID="_x0000_i1275" DrawAspect="Content" ObjectID="_1468075975" r:id="rId492">
            <o:LockedField>false</o:LockedField>
          </o:OLEObject>
        </w:object>
      </w:r>
      <w:r>
        <w:rPr>
          <w:rFonts w:eastAsia="宋体" w:cs="Times New Roman"/>
        </w:rPr>
        <w:t>表示时刻</w:t>
      </w:r>
      <w:r>
        <w:rPr>
          <w:rFonts w:eastAsia="宋体" w:cs="Times New Roman"/>
          <w:position w:val="-6"/>
        </w:rPr>
        <w:object>
          <v:shape id="_x0000_i1276" o:spt="75" type="#_x0000_t75" style="height:12.4pt;width:6.35pt;" o:ole="t" filled="f" o:preferrelative="t" stroked="f" coordsize="21600,21600">
            <v:path/>
            <v:fill on="f" focussize="0,0"/>
            <v:stroke on="f" joinstyle="miter"/>
            <v:imagedata r:id="rId495" o:title=""/>
            <o:lock v:ext="edit" aspectratio="t"/>
            <w10:wrap type="none"/>
            <w10:anchorlock/>
          </v:shape>
          <o:OLEObject Type="Embed" ProgID="Equation.DSMT4" ShapeID="_x0000_i1276" DrawAspect="Content" ObjectID="_1468075976" r:id="rId494">
            <o:LockedField>false</o:LockedField>
          </o:OLEObject>
        </w:object>
      </w:r>
      <w:r>
        <w:rPr>
          <w:rFonts w:eastAsia="宋体" w:cs="Times New Roman"/>
        </w:rPr>
        <w:t>的优势估计，则PPO的裁剪目标函数可表示如式</w:t>
      </w:r>
      <w:r>
        <w:rPr>
          <w:rFonts w:hint="eastAsia" w:eastAsia="宋体" w:cs="Times New Roman"/>
        </w:rPr>
        <w:t>(4.17)。</w:t>
      </w:r>
    </w:p>
    <w:p w14:paraId="66805756">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34"/>
        </w:rPr>
        <w:object>
          <v:shape id="_x0000_i1277" o:spt="75" type="#_x0000_t75" style="height:36pt;width:309.9pt;" o:ole="t" filled="f" o:preferrelative="t" stroked="f" coordsize="21600,21600">
            <v:path/>
            <v:fill on="f" focussize="0,0"/>
            <v:stroke on="f" joinstyle="miter"/>
            <v:imagedata r:id="rId497" o:title=""/>
            <o:lock v:ext="edit" aspectratio="t"/>
            <w10:wrap type="none"/>
            <w10:anchorlock/>
          </v:shape>
          <o:OLEObject Type="Embed" ProgID="Equation.DSMT4" ShapeID="_x0000_i1277" DrawAspect="Content" ObjectID="_1468075977" r:id="rId496">
            <o:LockedField>false</o:LockedField>
          </o:OLEObject>
        </w:object>
      </w:r>
      <w:r>
        <w:rPr>
          <w:rFonts w:eastAsia="宋体" w:cs="Times New Roman"/>
        </w:rPr>
        <w:tab/>
      </w:r>
      <w:r>
        <w:rPr>
          <w:rFonts w:hint="eastAsia" w:eastAsia="宋体" w:cs="Times New Roman"/>
        </w:rPr>
        <w:t>(4.17)</w:t>
      </w:r>
    </w:p>
    <w:p w14:paraId="64A36797">
      <w:pPr>
        <w:spacing w:line="400" w:lineRule="exact"/>
        <w:rPr>
          <w:rFonts w:eastAsia="宋体" w:cs="Times New Roman"/>
        </w:rPr>
      </w:pPr>
      <w:r>
        <w:rPr>
          <w:rFonts w:eastAsia="宋体" w:cs="Times New Roman"/>
        </w:rPr>
        <w:t>式中，</w:t>
      </w:r>
      <w:r>
        <w:rPr>
          <w:rFonts w:hint="eastAsia" w:eastAsia="宋体" w:cs="Times New Roman"/>
          <w:position w:val="-6"/>
        </w:rPr>
        <w:object>
          <v:shape id="_x0000_i1278" o:spt="75" type="#_x0000_t75" style="height:10.95pt;width:10.1pt;" o:ole="t" filled="f" o:preferrelative="t" stroked="f" coordsize="21600,21600">
            <v:path/>
            <v:fill on="f" focussize="0,0"/>
            <v:stroke on="f" joinstyle="miter"/>
            <v:imagedata r:id="rId499" o:title=""/>
            <o:lock v:ext="edit" aspectratio="t"/>
            <w10:wrap type="none"/>
            <w10:anchorlock/>
          </v:shape>
          <o:OLEObject Type="Embed" ProgID="Equation.DSMT4" ShapeID="_x0000_i1278" DrawAspect="Content" ObjectID="_1468075978" r:id="rId498">
            <o:LockedField>false</o:LockedField>
          </o:OLEObject>
        </w:object>
      </w:r>
      <w:r>
        <w:rPr>
          <w:rFonts w:hint="eastAsia" w:eastAsia="宋体" w:cs="Times New Roman"/>
        </w:rPr>
        <w:t>表示裁剪系数，</w:t>
      </w:r>
      <w:r>
        <w:rPr>
          <w:rFonts w:hint="eastAsia" w:eastAsia="宋体" w:cs="Times New Roman"/>
          <w:position w:val="-10"/>
        </w:rPr>
        <w:object>
          <v:shape id="_x0000_i1279" o:spt="75" type="#_x0000_t75" style="height:16.4pt;width:31.95pt;" o:ole="t" filled="f" o:preferrelative="t" stroked="f" coordsize="21600,21600">
            <v:path/>
            <v:fill on="f" focussize="0,0"/>
            <v:stroke on="f" joinstyle="miter"/>
            <v:imagedata r:id="rId501" o:title=""/>
            <o:lock v:ext="edit" aspectratio="t"/>
            <w10:wrap type="none"/>
            <w10:anchorlock/>
          </v:shape>
          <o:OLEObject Type="Embed" ProgID="Equation.DSMT4" ShapeID="_x0000_i1279" DrawAspect="Content" ObjectID="_1468075979" r:id="rId500">
            <o:LockedField>false</o:LockedField>
          </o:OLEObject>
        </w:object>
      </w:r>
      <w:r>
        <w:rPr>
          <w:rFonts w:hint="eastAsia" w:eastAsia="宋体" w:cs="Times New Roman"/>
        </w:rPr>
        <w:t>表示截断函数。该式通过限制新旧策略在已采样候选计划上的概率偏移，以避免单次更新发生过大变化，从而在使用真实反馈优化选择偏好的同时，能够保持较为稳定的优化过程。</w:t>
      </w:r>
    </w:p>
    <w:p w14:paraId="256BBD3D">
      <w:pPr>
        <w:spacing w:line="400" w:lineRule="exact"/>
        <w:ind w:firstLine="480" w:firstLineChars="200"/>
        <w:rPr>
          <w:rFonts w:eastAsia="宋体" w:cs="Times New Roman"/>
        </w:rPr>
      </w:pPr>
      <w:r>
        <w:rPr>
          <w:rFonts w:hint="eastAsia" w:eastAsia="宋体" w:cs="Times New Roman"/>
        </w:rPr>
        <w:t>由此，后验策略能够在真实交互过程中结合环境反馈持续修正候选计划的选择偏好。随着交互数据的逐步积累，策略将更倾向于选择高收益、低风险且代价更可控的候选计划，从而实现对APT检测决策的持续优化。</w:t>
      </w:r>
    </w:p>
    <w:p w14:paraId="735C8367">
      <w:pPr>
        <w:pStyle w:val="3"/>
      </w:pPr>
      <w:bookmarkStart w:id="82" w:name="_Toc230086379"/>
      <w:r>
        <w:rPr>
          <w:rFonts w:hint="eastAsia"/>
        </w:rPr>
        <w:t xml:space="preserve">4.5 </w:t>
      </w:r>
      <w:r>
        <w:t>实验与分析</w:t>
      </w:r>
      <w:bookmarkEnd w:id="82"/>
    </w:p>
    <w:p w14:paraId="0C45F68E">
      <w:pPr>
        <w:pStyle w:val="4"/>
      </w:pPr>
      <w:bookmarkStart w:id="83" w:name="_Toc230086380"/>
      <w:r>
        <w:rPr>
          <w:rFonts w:hint="eastAsia"/>
        </w:rPr>
        <w:t>4.5.1 实验设置</w:t>
      </w:r>
      <w:bookmarkEnd w:id="83"/>
    </w:p>
    <w:p w14:paraId="5E5C4C7A">
      <w:pPr>
        <w:ind w:firstLine="480" w:firstLineChars="200"/>
      </w:pPr>
      <w:r>
        <w:t>为验证本章所提基于大模型先验和预测型强化学习的APT检测方法（LLM-prior and World-Model-guided RL APT Detection, LWM-RL）的有效性，本文在第三章筛选后的低维日志特征基础上开展实验。首先，基于低维日志特征构造状态摘要，并使用Gemini</w:t>
      </w:r>
      <w:r>
        <w:rPr>
          <w:rFonts w:hint="eastAsia"/>
        </w:rPr>
        <w:t>-</w:t>
      </w:r>
      <w:r>
        <w:t>3.1生成候选计划及其先验偏好；随后，在CC4环境交互过程中，以状态摘要、检测动作及其对应的后续状态摘要为样本，分别完成集成动力概率学世界模型与PPO后验选择策略的训练。实验中，训练阶段采用300个episode、每个episode包含500个step</w:t>
      </w:r>
      <w:bookmarkStart w:id="232" w:name="_GoBack"/>
      <w:bookmarkEnd w:id="232"/>
      <w:r>
        <w:t>的设置，测试阶段采用100个episode、每个episode包含500个step的设置。</w:t>
      </w:r>
    </w:p>
    <w:p w14:paraId="0F81C343">
      <w:pPr>
        <w:ind w:firstLine="482" w:firstLineChars="200"/>
        <w:rPr>
          <w:b/>
          <w:bCs/>
        </w:rPr>
      </w:pPr>
      <w:r>
        <w:rPr>
          <w:rFonts w:hint="eastAsia"/>
          <w:b/>
          <w:bCs/>
        </w:rPr>
        <w:t>（1）数据集与评估指标</w:t>
      </w:r>
    </w:p>
    <w:p w14:paraId="619E2D8A">
      <w:pPr>
        <w:ind w:firstLine="480" w:firstLineChars="200"/>
      </w:pPr>
      <w:r>
        <w:rPr>
          <w:rFonts w:hint="eastAsia"/>
        </w:rPr>
        <w:t>本章实验仍采用第三章所使用的CAGE Challenge 4 (CC4) 实验环境及相应日志数据，以保证实验场景与评价基础的一致性。评估指标沿用第三章所定义的平均回报、回报标准差、平均恢复时间、恢复精确率及平均预警提前步数，从而对所提方法的检测性能与提前预警能力进行综合评估。</w:t>
      </w:r>
    </w:p>
    <w:p w14:paraId="2C496267">
      <w:pPr>
        <w:ind w:firstLine="482" w:firstLineChars="200"/>
        <w:rPr>
          <w:b/>
          <w:bCs/>
        </w:rPr>
      </w:pPr>
      <w:r>
        <w:rPr>
          <w:rFonts w:hint="eastAsia"/>
          <w:b/>
          <w:bCs/>
        </w:rPr>
        <w:t>（2）实验参数</w:t>
      </w:r>
    </w:p>
    <w:p w14:paraId="2D1DB2F1">
      <w:pPr>
        <w:widowControl/>
        <w:tabs>
          <w:tab w:val="center" w:pos="4152"/>
          <w:tab w:val="right" w:pos="8306"/>
        </w:tabs>
        <w:ind w:firstLine="480" w:firstLineChars="200"/>
        <w:rPr>
          <w:rFonts w:eastAsia="宋体" w:cs="Times New Roman"/>
        </w:rPr>
      </w:pPr>
      <w:r>
        <w:rPr>
          <w:rFonts w:hint="eastAsia" w:eastAsia="宋体" w:cs="Times New Roman"/>
        </w:rPr>
        <w:t>本章实验中的重要参数设置如表4.1所示。</w:t>
      </w:r>
    </w:p>
    <w:p w14:paraId="6766970C">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1</w:t>
      </w:r>
      <w:r>
        <w:rPr>
          <w:rFonts w:eastAsia="宋体" w:cs="Times New Roman"/>
          <w:sz w:val="21"/>
          <w:szCs w:val="21"/>
        </w:rPr>
        <w:t xml:space="preserve"> </w:t>
      </w:r>
      <w:r>
        <w:rPr>
          <w:rFonts w:hint="eastAsia" w:eastAsia="宋体" w:cs="Times New Roman"/>
          <w:sz w:val="21"/>
          <w:szCs w:val="21"/>
        </w:rPr>
        <w:t>实验重要参数设置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567"/>
        <w:gridCol w:w="3311"/>
      </w:tblGrid>
      <w:tr w14:paraId="778D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644" w:type="dxa"/>
            <w:tcBorders>
              <w:top w:val="single" w:color="auto" w:sz="12" w:space="0"/>
              <w:left w:val="nil"/>
              <w:bottom w:val="single" w:color="auto" w:sz="4" w:space="0"/>
              <w:right w:val="nil"/>
            </w:tcBorders>
          </w:tcPr>
          <w:p w14:paraId="65BD9CD8">
            <w:pPr>
              <w:spacing w:line="288" w:lineRule="auto"/>
              <w:jc w:val="center"/>
              <w:rPr>
                <w:rFonts w:eastAsia="宋体" w:cs="Times New Roman"/>
                <w:sz w:val="21"/>
              </w:rPr>
            </w:pPr>
            <w:r>
              <w:rPr>
                <w:rFonts w:hint="eastAsia" w:eastAsia="宋体" w:cs="Times New Roman"/>
                <w:sz w:val="21"/>
              </w:rPr>
              <w:t>参数名称</w:t>
            </w:r>
          </w:p>
        </w:tc>
        <w:tc>
          <w:tcPr>
            <w:tcW w:w="3878" w:type="dxa"/>
            <w:gridSpan w:val="2"/>
            <w:tcBorders>
              <w:top w:val="single" w:color="auto" w:sz="12" w:space="0"/>
              <w:left w:val="nil"/>
              <w:bottom w:val="single" w:color="auto" w:sz="4" w:space="0"/>
              <w:right w:val="nil"/>
            </w:tcBorders>
          </w:tcPr>
          <w:p w14:paraId="3637037B">
            <w:pPr>
              <w:spacing w:line="288" w:lineRule="auto"/>
              <w:jc w:val="center"/>
              <w:rPr>
                <w:rFonts w:eastAsia="宋体" w:cs="Times New Roman"/>
                <w:sz w:val="21"/>
              </w:rPr>
            </w:pPr>
            <w:r>
              <w:rPr>
                <w:rFonts w:hint="eastAsia" w:eastAsia="宋体" w:cs="Times New Roman"/>
                <w:sz w:val="21"/>
              </w:rPr>
              <w:t>参数取值</w:t>
            </w:r>
          </w:p>
        </w:tc>
      </w:tr>
      <w:tr w14:paraId="57C1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single" w:color="auto" w:sz="4" w:space="0"/>
              <w:left w:val="nil"/>
              <w:bottom w:val="nil"/>
              <w:right w:val="nil"/>
            </w:tcBorders>
          </w:tcPr>
          <w:p w14:paraId="01D9346C">
            <w:pPr>
              <w:spacing w:line="288" w:lineRule="auto"/>
              <w:jc w:val="center"/>
              <w:rPr>
                <w:rFonts w:eastAsia="宋体" w:cs="Times New Roman"/>
                <w:sz w:val="21"/>
              </w:rPr>
            </w:pPr>
            <w:r>
              <w:rPr>
                <w:rFonts w:eastAsia="宋体" w:cs="Times New Roman"/>
                <w:sz w:val="21"/>
              </w:rPr>
              <w:t>状态摘要窗口长度</w:t>
            </w:r>
          </w:p>
        </w:tc>
        <w:tc>
          <w:tcPr>
            <w:tcW w:w="3311" w:type="dxa"/>
            <w:tcBorders>
              <w:top w:val="single" w:color="auto" w:sz="4" w:space="0"/>
              <w:left w:val="nil"/>
              <w:bottom w:val="nil"/>
              <w:right w:val="nil"/>
            </w:tcBorders>
          </w:tcPr>
          <w:p w14:paraId="04BCBD93">
            <w:pPr>
              <w:spacing w:line="288" w:lineRule="auto"/>
              <w:jc w:val="center"/>
              <w:rPr>
                <w:rFonts w:eastAsia="宋体" w:cs="Times New Roman"/>
                <w:sz w:val="21"/>
              </w:rPr>
            </w:pPr>
            <w:r>
              <w:rPr>
                <w:rFonts w:hint="eastAsia" w:eastAsia="宋体" w:cs="Times New Roman"/>
                <w:sz w:val="21"/>
              </w:rPr>
              <w:t>50</w:t>
            </w:r>
          </w:p>
        </w:tc>
      </w:tr>
      <w:tr w14:paraId="3C26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2EFC901B">
            <w:pPr>
              <w:spacing w:line="288" w:lineRule="auto"/>
              <w:jc w:val="center"/>
              <w:rPr>
                <w:rFonts w:eastAsia="宋体" w:cs="Times New Roman"/>
                <w:sz w:val="21"/>
              </w:rPr>
            </w:pPr>
            <w:r>
              <w:rPr>
                <w:rFonts w:eastAsia="宋体" w:cs="Times New Roman"/>
                <w:sz w:val="21"/>
              </w:rPr>
              <w:t>候选计划数上限</w:t>
            </w:r>
          </w:p>
        </w:tc>
        <w:tc>
          <w:tcPr>
            <w:tcW w:w="3311" w:type="dxa"/>
            <w:tcBorders>
              <w:top w:val="nil"/>
              <w:left w:val="nil"/>
              <w:bottom w:val="nil"/>
              <w:right w:val="nil"/>
            </w:tcBorders>
          </w:tcPr>
          <w:p w14:paraId="2A3130B4">
            <w:pPr>
              <w:spacing w:line="288" w:lineRule="auto"/>
              <w:jc w:val="center"/>
              <w:rPr>
                <w:rFonts w:eastAsia="宋体" w:cs="Times New Roman"/>
                <w:sz w:val="21"/>
              </w:rPr>
            </w:pPr>
            <w:r>
              <w:rPr>
                <w:rFonts w:hint="eastAsia" w:eastAsia="宋体" w:cs="Times New Roman"/>
                <w:sz w:val="21"/>
              </w:rPr>
              <w:t>6</w:t>
            </w:r>
          </w:p>
        </w:tc>
      </w:tr>
      <w:tr w14:paraId="415F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21C5ED6E">
            <w:pPr>
              <w:spacing w:line="288" w:lineRule="auto"/>
              <w:jc w:val="center"/>
              <w:rPr>
                <w:rFonts w:eastAsia="宋体" w:cs="Times New Roman"/>
                <w:sz w:val="21"/>
              </w:rPr>
            </w:pPr>
            <w:r>
              <w:rPr>
                <w:rFonts w:eastAsia="宋体" w:cs="Times New Roman"/>
                <w:sz w:val="21"/>
              </w:rPr>
              <w:t>单个候选计划最大长度</w:t>
            </w:r>
          </w:p>
        </w:tc>
        <w:tc>
          <w:tcPr>
            <w:tcW w:w="3311" w:type="dxa"/>
            <w:tcBorders>
              <w:top w:val="nil"/>
              <w:left w:val="nil"/>
              <w:bottom w:val="nil"/>
              <w:right w:val="nil"/>
            </w:tcBorders>
          </w:tcPr>
          <w:p w14:paraId="41324A76">
            <w:pPr>
              <w:spacing w:line="288" w:lineRule="auto"/>
              <w:jc w:val="center"/>
              <w:rPr>
                <w:rFonts w:eastAsia="宋体" w:cs="Times New Roman"/>
                <w:sz w:val="21"/>
              </w:rPr>
            </w:pPr>
            <w:r>
              <w:rPr>
                <w:rFonts w:hint="eastAsia" w:eastAsia="宋体" w:cs="Times New Roman"/>
                <w:sz w:val="21"/>
              </w:rPr>
              <w:t>4</w:t>
            </w:r>
          </w:p>
        </w:tc>
      </w:tr>
      <w:tr w14:paraId="0E7D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02C747DD">
            <w:pPr>
              <w:spacing w:line="288" w:lineRule="auto"/>
              <w:jc w:val="center"/>
              <w:rPr>
                <w:rFonts w:eastAsia="宋体" w:cs="Times New Roman"/>
                <w:sz w:val="21"/>
              </w:rPr>
            </w:pPr>
            <w:r>
              <w:rPr>
                <w:rFonts w:eastAsia="宋体" w:cs="Times New Roman"/>
                <w:sz w:val="21"/>
              </w:rPr>
              <w:t>LLM生成温度系数</w:t>
            </w:r>
          </w:p>
        </w:tc>
        <w:tc>
          <w:tcPr>
            <w:tcW w:w="3311" w:type="dxa"/>
            <w:tcBorders>
              <w:top w:val="nil"/>
              <w:left w:val="nil"/>
              <w:bottom w:val="nil"/>
              <w:right w:val="nil"/>
            </w:tcBorders>
          </w:tcPr>
          <w:p w14:paraId="321C9B43">
            <w:pPr>
              <w:spacing w:line="288" w:lineRule="auto"/>
              <w:jc w:val="center"/>
              <w:rPr>
                <w:rFonts w:eastAsia="宋体" w:cs="Times New Roman"/>
                <w:sz w:val="21"/>
              </w:rPr>
            </w:pPr>
            <w:r>
              <w:rPr>
                <w:rFonts w:hint="eastAsia" w:eastAsia="宋体" w:cs="Times New Roman"/>
                <w:sz w:val="21"/>
              </w:rPr>
              <w:t>0.2</w:t>
            </w:r>
          </w:p>
        </w:tc>
      </w:tr>
      <w:tr w14:paraId="15AC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1D6D46EA">
            <w:pPr>
              <w:spacing w:line="288" w:lineRule="auto"/>
              <w:jc w:val="center"/>
              <w:rPr>
                <w:rFonts w:eastAsia="宋体" w:cs="Times New Roman"/>
                <w:sz w:val="21"/>
              </w:rPr>
            </w:pPr>
            <w:r>
              <w:rPr>
                <w:rFonts w:eastAsia="宋体" w:cs="Times New Roman"/>
                <w:sz w:val="21"/>
                <w:szCs w:val="21"/>
              </w:rPr>
              <w:t>世界模型集成成员数</w:t>
            </w:r>
          </w:p>
        </w:tc>
        <w:tc>
          <w:tcPr>
            <w:tcW w:w="3311" w:type="dxa"/>
            <w:tcBorders>
              <w:top w:val="nil"/>
              <w:left w:val="nil"/>
              <w:bottom w:val="nil"/>
              <w:right w:val="nil"/>
            </w:tcBorders>
          </w:tcPr>
          <w:p w14:paraId="04463D5A">
            <w:pPr>
              <w:spacing w:line="288" w:lineRule="auto"/>
              <w:jc w:val="center"/>
              <w:rPr>
                <w:rFonts w:eastAsia="宋体" w:cs="Times New Roman"/>
                <w:sz w:val="21"/>
              </w:rPr>
            </w:pPr>
            <w:r>
              <w:rPr>
                <w:rFonts w:hint="eastAsia" w:eastAsia="宋体" w:cs="Times New Roman"/>
                <w:sz w:val="21"/>
              </w:rPr>
              <w:t>5</w:t>
            </w:r>
          </w:p>
        </w:tc>
      </w:tr>
      <w:tr w14:paraId="60DF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4A8D6670">
            <w:pPr>
              <w:spacing w:line="288" w:lineRule="auto"/>
              <w:jc w:val="center"/>
              <w:rPr>
                <w:rFonts w:eastAsia="宋体" w:cs="Times New Roman"/>
                <w:sz w:val="21"/>
              </w:rPr>
            </w:pPr>
            <w:r>
              <w:rPr>
                <w:rFonts w:eastAsia="宋体" w:cs="Times New Roman"/>
                <w:sz w:val="21"/>
                <w:szCs w:val="21"/>
              </w:rPr>
              <w:t>世界模型隐藏层维度</w:t>
            </w:r>
          </w:p>
        </w:tc>
        <w:tc>
          <w:tcPr>
            <w:tcW w:w="3311" w:type="dxa"/>
            <w:tcBorders>
              <w:top w:val="nil"/>
              <w:left w:val="nil"/>
              <w:bottom w:val="nil"/>
              <w:right w:val="nil"/>
            </w:tcBorders>
          </w:tcPr>
          <w:p w14:paraId="2D9FA73D">
            <w:pPr>
              <w:spacing w:line="288" w:lineRule="auto"/>
              <w:jc w:val="center"/>
              <w:rPr>
                <w:rFonts w:eastAsia="宋体" w:cs="Times New Roman"/>
                <w:sz w:val="21"/>
              </w:rPr>
            </w:pPr>
            <w:r>
              <w:rPr>
                <w:rFonts w:hint="eastAsia" w:eastAsia="宋体" w:cs="Times New Roman"/>
                <w:sz w:val="21"/>
              </w:rPr>
              <w:t>128</w:t>
            </w:r>
          </w:p>
        </w:tc>
      </w:tr>
      <w:tr w14:paraId="0D6F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vAlign w:val="center"/>
          </w:tcPr>
          <w:p w14:paraId="4D70CA3F">
            <w:pPr>
              <w:spacing w:line="288" w:lineRule="auto"/>
              <w:jc w:val="center"/>
              <w:rPr>
                <w:rFonts w:eastAsia="宋体" w:cs="Times New Roman"/>
                <w:sz w:val="21"/>
                <w:szCs w:val="21"/>
              </w:rPr>
            </w:pPr>
            <w:r>
              <w:rPr>
                <w:rFonts w:eastAsia="宋体" w:cs="Times New Roman"/>
                <w:sz w:val="21"/>
              </w:rPr>
              <w:t>世界模型学习率</w:t>
            </w:r>
          </w:p>
        </w:tc>
        <w:tc>
          <w:tcPr>
            <w:tcW w:w="3311" w:type="dxa"/>
            <w:tcBorders>
              <w:top w:val="nil"/>
              <w:left w:val="nil"/>
              <w:bottom w:val="nil"/>
              <w:right w:val="nil"/>
            </w:tcBorders>
            <w:vAlign w:val="center"/>
          </w:tcPr>
          <w:p w14:paraId="7B0BC41A">
            <w:pPr>
              <w:spacing w:line="288" w:lineRule="auto"/>
              <w:jc w:val="center"/>
              <w:rPr>
                <w:rFonts w:eastAsia="宋体" w:cs="Times New Roman"/>
                <w:sz w:val="21"/>
              </w:rPr>
            </w:pPr>
            <w:r>
              <w:rPr>
                <w:rFonts w:hint="eastAsia" w:eastAsia="宋体" w:cs="Times New Roman"/>
                <w:sz w:val="21"/>
              </w:rPr>
              <w:t>0.0003</w:t>
            </w:r>
          </w:p>
        </w:tc>
      </w:tr>
      <w:tr w14:paraId="3BB3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06D0EEA7">
            <w:pPr>
              <w:spacing w:line="288" w:lineRule="auto"/>
              <w:jc w:val="center"/>
              <w:rPr>
                <w:rFonts w:eastAsia="宋体" w:cs="Times New Roman"/>
                <w:sz w:val="21"/>
              </w:rPr>
            </w:pPr>
            <w:r>
              <w:rPr>
                <w:rFonts w:eastAsia="宋体" w:cs="Times New Roman"/>
                <w:sz w:val="21"/>
              </w:rPr>
              <w:t>前瞻评估参数（折扣因子γ / 风险惩罚λ_risk / 动作开销惩罚λ_cost / 时延惩罚λ_delay）</w:t>
            </w:r>
          </w:p>
        </w:tc>
        <w:tc>
          <w:tcPr>
            <w:tcW w:w="3311" w:type="dxa"/>
            <w:tcBorders>
              <w:top w:val="nil"/>
              <w:left w:val="nil"/>
              <w:bottom w:val="nil"/>
              <w:right w:val="nil"/>
            </w:tcBorders>
            <w:vAlign w:val="center"/>
          </w:tcPr>
          <w:p w14:paraId="1860268E">
            <w:pPr>
              <w:spacing w:line="288" w:lineRule="auto"/>
              <w:jc w:val="center"/>
              <w:rPr>
                <w:rFonts w:eastAsia="宋体" w:cs="Times New Roman"/>
                <w:sz w:val="21"/>
              </w:rPr>
            </w:pPr>
            <w:r>
              <w:rPr>
                <w:rFonts w:eastAsia="宋体" w:cs="Times New Roman"/>
                <w:sz w:val="21"/>
              </w:rPr>
              <w:t>0.9 / 1.0 / 0.</w:t>
            </w:r>
            <w:r>
              <w:rPr>
                <w:rFonts w:hint="eastAsia" w:eastAsia="宋体" w:cs="Times New Roman"/>
                <w:sz w:val="21"/>
              </w:rPr>
              <w:t>2</w:t>
            </w:r>
            <w:r>
              <w:rPr>
                <w:rFonts w:eastAsia="宋体" w:cs="Times New Roman"/>
                <w:sz w:val="21"/>
              </w:rPr>
              <w:t xml:space="preserve"> / 0.</w:t>
            </w:r>
            <w:r>
              <w:rPr>
                <w:rFonts w:hint="eastAsia" w:eastAsia="宋体" w:cs="Times New Roman"/>
                <w:sz w:val="21"/>
              </w:rPr>
              <w:t>3</w:t>
            </w:r>
          </w:p>
        </w:tc>
      </w:tr>
      <w:tr w14:paraId="5393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60FB4ACD">
            <w:pPr>
              <w:spacing w:line="288" w:lineRule="auto"/>
              <w:jc w:val="center"/>
              <w:rPr>
                <w:rFonts w:eastAsia="宋体" w:cs="Times New Roman"/>
                <w:sz w:val="21"/>
              </w:rPr>
            </w:pPr>
            <w:r>
              <w:rPr>
                <w:rFonts w:eastAsia="宋体" w:cs="Times New Roman"/>
                <w:sz w:val="21"/>
              </w:rPr>
              <w:t>后验PPO参数（学习率</w:t>
            </w:r>
            <w:r>
              <w:rPr>
                <w:rFonts w:hint="eastAsia" w:eastAsia="宋体" w:cs="Times New Roman"/>
                <w:sz w:val="21"/>
              </w:rPr>
              <w:t xml:space="preserve"> </w:t>
            </w:r>
            <w:r>
              <w:rPr>
                <w:rFonts w:eastAsia="宋体" w:cs="Times New Roman"/>
                <w:sz w:val="21"/>
              </w:rPr>
              <w:t>/</w:t>
            </w:r>
            <w:r>
              <w:rPr>
                <w:rFonts w:hint="eastAsia" w:eastAsia="宋体" w:cs="Times New Roman"/>
                <w:sz w:val="21"/>
              </w:rPr>
              <w:t xml:space="preserve"> </w:t>
            </w:r>
            <w:r>
              <w:rPr>
                <w:rFonts w:eastAsia="宋体" w:cs="Times New Roman"/>
                <w:sz w:val="21"/>
              </w:rPr>
              <w:t>rollout长度</w:t>
            </w:r>
            <w:r>
              <w:rPr>
                <w:rFonts w:hint="eastAsia" w:eastAsia="宋体" w:cs="Times New Roman"/>
                <w:sz w:val="21"/>
              </w:rPr>
              <w:t xml:space="preserve"> </w:t>
            </w:r>
            <w:r>
              <w:rPr>
                <w:rFonts w:eastAsia="宋体" w:cs="Times New Roman"/>
                <w:sz w:val="21"/>
              </w:rPr>
              <w:t>/</w:t>
            </w:r>
            <w:r>
              <w:rPr>
                <w:rFonts w:hint="eastAsia" w:eastAsia="宋体" w:cs="Times New Roman"/>
                <w:sz w:val="21"/>
              </w:rPr>
              <w:t xml:space="preserve"> </w:t>
            </w:r>
            <w:r>
              <w:rPr>
                <w:rFonts w:eastAsia="宋体" w:cs="Times New Roman"/>
                <w:sz w:val="21"/>
              </w:rPr>
              <w:t>更新轮数）</w:t>
            </w:r>
          </w:p>
        </w:tc>
        <w:tc>
          <w:tcPr>
            <w:tcW w:w="3311" w:type="dxa"/>
            <w:tcBorders>
              <w:top w:val="nil"/>
              <w:left w:val="nil"/>
              <w:bottom w:val="nil"/>
              <w:right w:val="nil"/>
            </w:tcBorders>
            <w:vAlign w:val="center"/>
          </w:tcPr>
          <w:p w14:paraId="23717B48">
            <w:pPr>
              <w:spacing w:line="288" w:lineRule="auto"/>
              <w:jc w:val="center"/>
              <w:rPr>
                <w:rFonts w:eastAsia="宋体" w:cs="Times New Roman"/>
                <w:sz w:val="21"/>
              </w:rPr>
            </w:pPr>
            <w:r>
              <w:rPr>
                <w:rFonts w:hint="eastAsia" w:eastAsia="宋体" w:cs="Times New Roman"/>
                <w:sz w:val="21"/>
              </w:rPr>
              <w:t xml:space="preserve">0.0003 </w:t>
            </w:r>
            <w:r>
              <w:rPr>
                <w:rFonts w:eastAsia="宋体" w:cs="Times New Roman"/>
                <w:sz w:val="21"/>
              </w:rPr>
              <w:t>/</w:t>
            </w:r>
            <w:r>
              <w:rPr>
                <w:rFonts w:hint="eastAsia" w:eastAsia="宋体" w:cs="Times New Roman"/>
                <w:sz w:val="21"/>
              </w:rPr>
              <w:t xml:space="preserve"> 128 </w:t>
            </w:r>
            <w:r>
              <w:rPr>
                <w:rFonts w:eastAsia="宋体" w:cs="Times New Roman"/>
                <w:sz w:val="21"/>
              </w:rPr>
              <w:t>/</w:t>
            </w:r>
            <w:r>
              <w:rPr>
                <w:rFonts w:hint="eastAsia" w:eastAsia="宋体" w:cs="Times New Roman"/>
                <w:sz w:val="21"/>
              </w:rPr>
              <w:t xml:space="preserve"> 5</w:t>
            </w:r>
          </w:p>
        </w:tc>
      </w:tr>
      <w:tr w14:paraId="498E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single" w:color="auto" w:sz="12" w:space="0"/>
              <w:right w:val="nil"/>
            </w:tcBorders>
          </w:tcPr>
          <w:p w14:paraId="0076C583">
            <w:pPr>
              <w:spacing w:line="288" w:lineRule="auto"/>
              <w:jc w:val="center"/>
              <w:rPr>
                <w:rFonts w:eastAsia="宋体" w:cs="Times New Roman"/>
                <w:sz w:val="21"/>
              </w:rPr>
            </w:pPr>
            <w:r>
              <w:rPr>
                <w:rFonts w:eastAsia="宋体" w:cs="Times New Roman"/>
                <w:sz w:val="21"/>
              </w:rPr>
              <w:t>后验PPO参数（截断系数ε / GAE参数λ / 熵正则系数）</w:t>
            </w:r>
          </w:p>
        </w:tc>
        <w:tc>
          <w:tcPr>
            <w:tcW w:w="3311" w:type="dxa"/>
            <w:tcBorders>
              <w:top w:val="nil"/>
              <w:left w:val="nil"/>
              <w:bottom w:val="single" w:color="auto" w:sz="12" w:space="0"/>
              <w:right w:val="nil"/>
            </w:tcBorders>
            <w:vAlign w:val="center"/>
          </w:tcPr>
          <w:p w14:paraId="6783E251">
            <w:pPr>
              <w:spacing w:line="288" w:lineRule="auto"/>
              <w:jc w:val="center"/>
              <w:rPr>
                <w:rFonts w:eastAsia="宋体" w:cs="Times New Roman"/>
                <w:sz w:val="21"/>
              </w:rPr>
            </w:pPr>
            <w:r>
              <w:rPr>
                <w:rFonts w:eastAsia="宋体" w:cs="Times New Roman"/>
                <w:iCs/>
                <w:sz w:val="21"/>
                <w:szCs w:val="21"/>
              </w:rPr>
              <w:t>0.2 / 0.95 / 0.01</w:t>
            </w:r>
          </w:p>
        </w:tc>
      </w:tr>
    </w:tbl>
    <w:p w14:paraId="702461C8">
      <w:pPr>
        <w:pStyle w:val="4"/>
      </w:pPr>
      <w:bookmarkStart w:id="84" w:name="_Toc230086381"/>
      <w:r>
        <w:rPr>
          <w:rFonts w:hint="eastAsia"/>
        </w:rPr>
        <w:t>4.5.2 对比文献</w:t>
      </w:r>
      <w:bookmarkEnd w:id="84"/>
    </w:p>
    <w:p w14:paraId="19C9BB18">
      <w:pPr>
        <w:ind w:firstLine="480" w:firstLineChars="200"/>
      </w:pPr>
      <w:r>
        <w:rPr>
          <w:rFonts w:hint="eastAsia"/>
        </w:rPr>
        <w:t>为验证本文方法的有效性，本章选取LLM Priors</w:t>
      </w:r>
      <w:r>
        <w:rPr>
          <w:vertAlign w:val="superscript"/>
        </w:rPr>
        <w:fldChar w:fldCharType="begin" w:fldLock="1"/>
      </w:r>
      <w:r>
        <w:rPr>
          <w:vertAlign w:val="superscript"/>
        </w:rPr>
        <w:instrText xml:space="preserve"> </w:instrText>
      </w:r>
      <w:r>
        <w:rPr>
          <w:rFonts w:hint="eastAsia"/>
          <w:vertAlign w:val="superscript"/>
        </w:rPr>
        <w:instrText xml:space="preserve">REF _Ref225450607 \r \h</w:instrText>
      </w:r>
      <w:r>
        <w:rPr>
          <w:vertAlign w:val="superscript"/>
        </w:rPr>
        <w:instrText xml:space="preserve">  \* MERGEFORMAT </w:instrText>
      </w:r>
      <w:r>
        <w:rPr>
          <w:vertAlign w:val="superscript"/>
        </w:rPr>
        <w:fldChar w:fldCharType="separate"/>
      </w:r>
      <w:r>
        <w:rPr>
          <w:vertAlign w:val="superscript"/>
        </w:rPr>
        <w:t>[55]</w:t>
      </w:r>
      <w:r>
        <w:rPr>
          <w:vertAlign w:val="superscript"/>
        </w:rPr>
        <w:fldChar w:fldCharType="end"/>
      </w:r>
      <w:r>
        <w:rPr>
          <w:rFonts w:hint="eastAsia"/>
        </w:rPr>
        <w:t>、Eureka</w:t>
      </w:r>
      <w:r>
        <w:rPr>
          <w:vertAlign w:val="superscript"/>
        </w:rPr>
        <w:fldChar w:fldCharType="begin" w:fldLock="1"/>
      </w:r>
      <w:r>
        <w:rPr>
          <w:vertAlign w:val="superscript"/>
        </w:rPr>
        <w:instrText xml:space="preserve"> </w:instrText>
      </w:r>
      <w:r>
        <w:rPr>
          <w:rFonts w:hint="eastAsia"/>
          <w:vertAlign w:val="superscript"/>
        </w:rPr>
        <w:instrText xml:space="preserve">REF _Ref226555743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和DCA</w:t>
      </w:r>
      <w:r>
        <w:rPr>
          <w:vertAlign w:val="superscript"/>
        </w:rPr>
        <w:fldChar w:fldCharType="begin" w:fldLock="1"/>
      </w:r>
      <w:r>
        <w:rPr>
          <w:vertAlign w:val="superscript"/>
        </w:rPr>
        <w:instrText xml:space="preserve"> </w:instrText>
      </w:r>
      <w:r>
        <w:rPr>
          <w:rFonts w:hint="eastAsia"/>
          <w:vertAlign w:val="superscript"/>
        </w:rPr>
        <w:instrText xml:space="preserve">REF _Ref225796628 \r \h</w:instrText>
      </w:r>
      <w:r>
        <w:rPr>
          <w:vertAlign w:val="superscript"/>
        </w:rPr>
        <w:instrText xml:space="preserve">  \* MERGEFORMAT </w:instrText>
      </w:r>
      <w:r>
        <w:rPr>
          <w:vertAlign w:val="superscript"/>
        </w:rPr>
        <w:fldChar w:fldCharType="separate"/>
      </w:r>
      <w:r>
        <w:rPr>
          <w:vertAlign w:val="superscript"/>
        </w:rPr>
        <w:t>[98]</w:t>
      </w:r>
      <w:r>
        <w:rPr>
          <w:vertAlign w:val="superscript"/>
        </w:rPr>
        <w:fldChar w:fldCharType="end"/>
      </w:r>
      <w:r>
        <w:rPr>
          <w:rFonts w:hint="eastAsia"/>
        </w:rPr>
        <w:t>三种具有代表性的文献方法作为对比。其中，LLM Priors与Eureka方法均属于大模型与强化学习结合的相关研究，前者将大模型知识引入决策过程，后者利用大模型改进奖励设计；DCA方法则面向协同攻击检测与及早检测问题，将系统动态、攻击关联与模型驱动强化学习相结合。选取上述三种方法，能够与本文方法分别从大模型与强化学习结合方式与及早预警能力两个方面有侧重地进行对比。</w:t>
      </w:r>
    </w:p>
    <w:p w14:paraId="0EEE7C83">
      <w:pPr>
        <w:ind w:firstLine="480" w:firstLineChars="200"/>
      </w:pPr>
      <w:r>
        <w:rPr>
          <w:rFonts w:hint="eastAsia"/>
        </w:rPr>
        <w:t>1）LLM Priors：该方法将大语言模型的输出形式化为状态相关的动作先验分布，并使用贝叶斯推断方式表现大模型先验与强化学习决策之间的关系。在此基础上，分别将先验信息引入基于策略和基于价值的强化学习框架，使决策过程不再完全依赖环境交互搜索，而是在大模型提供的候选动作先验基础上进行后续筛选与优化，从而减少无效搜索并提高决策效率。</w:t>
      </w:r>
    </w:p>
    <w:p w14:paraId="1188173B">
      <w:pPr>
        <w:ind w:firstLine="480" w:firstLineChars="200"/>
      </w:pPr>
      <w:r>
        <w:rPr>
          <w:rFonts w:hint="eastAsia"/>
        </w:rPr>
        <w:t>2）Eureka：该方法利用编码型大语言模型自动生成奖励函数，并通过迭代搜索不断改进奖励设计。首先将环境源码与任务描述共同作为上下文输入大语言模型，使模型直接生成可执行的奖励函数代码；随后结合策略训练反馈对候选奖励函数进行评估，并继续生成新的奖励候选，以实现奖励函数的持续优化。</w:t>
      </w:r>
    </w:p>
    <w:p w14:paraId="6D7D30D6">
      <w:pPr>
        <w:ind w:firstLine="480" w:firstLineChars="200"/>
      </w:pPr>
      <w:r>
        <w:rPr>
          <w:rFonts w:hint="eastAsia"/>
        </w:rPr>
        <w:t>3）DCA：该方法面向配电系统中的协同攻击检测问题，将攻击事件关联、系统动态与攻击目标推断相结合，并在此基础上采用模型驱动的强化学习方法进行检测。首先使用网络告警信息与物理系统动态对多步攻击事件进行关联分析，再结合溯因推理识别攻击目标，并预测后续可能的攻击步骤，从而实现对协同攻击的及早检测。</w:t>
      </w:r>
    </w:p>
    <w:p w14:paraId="25FAA3CC">
      <w:pPr>
        <w:pStyle w:val="4"/>
      </w:pPr>
      <w:bookmarkStart w:id="85" w:name="_Toc230086382"/>
      <w:r>
        <w:rPr>
          <w:rFonts w:hint="eastAsia"/>
        </w:rPr>
        <w:t>4.5.3 实验过程</w:t>
      </w:r>
      <w:bookmarkEnd w:id="85"/>
    </w:p>
    <w:p w14:paraId="4F302713">
      <w:pPr>
        <w:ind w:firstLine="482" w:firstLineChars="200"/>
        <w:rPr>
          <w:b/>
          <w:bCs/>
        </w:rPr>
      </w:pPr>
      <w:r>
        <w:rPr>
          <w:rFonts w:hint="eastAsia"/>
          <w:b/>
          <w:bCs/>
        </w:rPr>
        <w:t>（1）LLM候选计划及其先验偏好生成</w:t>
      </w:r>
    </w:p>
    <w:p w14:paraId="61D9355E">
      <w:pPr>
        <w:ind w:firstLine="480" w:firstLineChars="200"/>
      </w:pPr>
      <w:r>
        <w:t>以某一高风险时刻为例，</w:t>
      </w:r>
      <w:r>
        <w:rPr>
          <w:rFonts w:hint="eastAsia"/>
        </w:rPr>
        <w:t>使用Gemini-3.1大模型</w:t>
      </w:r>
      <w:r>
        <w:t>生成的候选计划及其先验偏好如</w:t>
      </w:r>
      <w:r>
        <w:rPr>
          <w:rFonts w:hint="eastAsia"/>
        </w:rPr>
        <w:t>图</w:t>
      </w:r>
      <w:r>
        <w:t>4.</w:t>
      </w:r>
      <w:r>
        <w:rPr>
          <w:rFonts w:hint="eastAsia"/>
        </w:rPr>
        <w:t>2</w:t>
      </w:r>
      <w:r>
        <w:t>所示。</w:t>
      </w:r>
    </w:p>
    <w:p w14:paraId="181F4394">
      <w:pPr>
        <w:jc w:val="center"/>
      </w:pPr>
      <w:r>
        <w:rPr>
          <w:rFonts w:hint="eastAsia"/>
        </w:rPr>
        <w:drawing>
          <wp:inline distT="0" distB="0" distL="0" distR="0">
            <wp:extent cx="4985385" cy="3009900"/>
            <wp:effectExtent l="0" t="0" r="0" b="0"/>
            <wp:docPr id="5561441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4174" name="图片 8"/>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a:xfrm>
                      <a:off x="0" y="0"/>
                      <a:ext cx="5001660" cy="3019677"/>
                    </a:xfrm>
                    <a:prstGeom prst="rect">
                      <a:avLst/>
                    </a:prstGeom>
                    <a:noFill/>
                    <a:ln>
                      <a:noFill/>
                    </a:ln>
                  </pic:spPr>
                </pic:pic>
              </a:graphicData>
            </a:graphic>
          </wp:inline>
        </w:drawing>
      </w:r>
    </w:p>
    <w:p w14:paraId="6CF1B42E">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4.2</w:t>
      </w:r>
      <w:r>
        <w:rPr>
          <w:rFonts w:cs="Times New Roman"/>
          <w:sz w:val="21"/>
          <w:szCs w:val="21"/>
        </w:rPr>
        <w:t xml:space="preserve"> </w:t>
      </w:r>
      <w:r>
        <w:rPr>
          <w:rFonts w:hint="eastAsia" w:eastAsia="宋体" w:cs="Times New Roman"/>
          <w:sz w:val="21"/>
          <w:szCs w:val="21"/>
        </w:rPr>
        <w:t>候选计划生成案例分析</w:t>
      </w:r>
    </w:p>
    <w:p w14:paraId="50FA6853">
      <w:pPr>
        <w:ind w:firstLine="480" w:firstLineChars="200"/>
      </w:pPr>
      <w:r>
        <w:rPr>
          <w:rFonts w:hint="eastAsia"/>
        </w:rPr>
        <w:t>从图4.2中可以看出，LLM在当前状态下并未给出单一固定方案，而是生成了多个候选计划，不同计划在检测、核验与处置等方面的侧重点存在一定差异，相应的score也表现出较明显的区分。这说明LLM能够结合当前状态摘要中的异常线索，对不同候选计划的相对适配程度进行初步判断。总体来看，得分较高的候选计划通常与当前主要异常线索更为一致，能够较好反映当前时刻优先关注的检测方向；得分较低的候选计划则与当前状态下的重点线索存在一定偏离。由此可见，LLM生成的候选计划及其先验偏好具有一定区分能力，能够为后续候选计划的比较与选择提供较为合理的先验依据。</w:t>
      </w:r>
    </w:p>
    <w:p w14:paraId="06120960">
      <w:pPr>
        <w:ind w:firstLine="480" w:firstLineChars="200"/>
      </w:pPr>
      <w:r>
        <w:t>为进一步</w:t>
      </w:r>
      <w:r>
        <w:rPr>
          <w:rFonts w:hint="eastAsia"/>
        </w:rPr>
        <w:t>体现</w:t>
      </w:r>
      <w:r>
        <w:t>LLM在实验过程中生成候选计划的整体分布情况，本文统计了不同候选计划在</w:t>
      </w:r>
      <w:r>
        <w:rPr>
          <w:rFonts w:hint="eastAsia"/>
        </w:rPr>
        <w:t>完整检测过程</w:t>
      </w:r>
      <w:r>
        <w:t>中的生成比例，</w:t>
      </w:r>
      <w:r>
        <w:rPr>
          <w:rFonts w:hint="eastAsia"/>
        </w:rPr>
        <w:t>其</w:t>
      </w:r>
      <w:r>
        <w:t>结果如图4.</w:t>
      </w:r>
      <w:r>
        <w:rPr>
          <w:rFonts w:hint="eastAsia"/>
        </w:rPr>
        <w:t>3</w:t>
      </w:r>
      <w:r>
        <w:t>所示。</w:t>
      </w:r>
    </w:p>
    <w:p w14:paraId="43E72D14">
      <w:pPr>
        <w:keepNext/>
        <w:spacing w:line="240" w:lineRule="auto"/>
        <w:jc w:val="center"/>
      </w:pPr>
      <w:r>
        <w:rPr>
          <w:rFonts w:hint="eastAsia"/>
        </w:rPr>
        <w:drawing>
          <wp:inline distT="0" distB="0" distL="0" distR="0">
            <wp:extent cx="2724785" cy="1870075"/>
            <wp:effectExtent l="0" t="0" r="0" b="0"/>
            <wp:docPr id="21245854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85462" name="图片 5"/>
                    <pic:cNvPicPr>
                      <a:picLocks noChangeAspect="1" noChangeArrowheads="1"/>
                    </pic:cNvPicPr>
                  </pic:nvPicPr>
                  <pic:blipFill>
                    <a:blip r:embed="rId503">
                      <a:extLst>
                        <a:ext uri="{28A0092B-C50C-407E-A947-70E740481C1C}">
                          <a14:useLocalDpi xmlns:a14="http://schemas.microsoft.com/office/drawing/2010/main" val="0"/>
                        </a:ext>
                      </a:extLst>
                    </a:blip>
                    <a:srcRect/>
                    <a:stretch>
                      <a:fillRect/>
                    </a:stretch>
                  </pic:blipFill>
                  <pic:spPr>
                    <a:xfrm>
                      <a:off x="0" y="0"/>
                      <a:ext cx="2806632" cy="1926482"/>
                    </a:xfrm>
                    <a:prstGeom prst="rect">
                      <a:avLst/>
                    </a:prstGeom>
                    <a:noFill/>
                    <a:ln>
                      <a:noFill/>
                    </a:ln>
                  </pic:spPr>
                </pic:pic>
              </a:graphicData>
            </a:graphic>
          </wp:inline>
        </w:drawing>
      </w:r>
    </w:p>
    <w:p w14:paraId="6327EED9">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4.3</w:t>
      </w:r>
      <w:r>
        <w:rPr>
          <w:rFonts w:cs="Times New Roman"/>
          <w:sz w:val="21"/>
          <w:szCs w:val="21"/>
        </w:rPr>
        <w:t xml:space="preserve"> </w:t>
      </w:r>
      <w:r>
        <w:rPr>
          <w:rFonts w:hint="eastAsia" w:cs="Times New Roman"/>
          <w:sz w:val="21"/>
          <w:szCs w:val="21"/>
        </w:rPr>
        <w:t>LLM生成的候选计划比例</w:t>
      </w:r>
    </w:p>
    <w:p w14:paraId="65AEC955">
      <w:pPr>
        <w:ind w:firstLine="480" w:firstLineChars="200"/>
      </w:pPr>
      <w:r>
        <w:rPr>
          <w:rFonts w:hint="eastAsia"/>
        </w:rPr>
        <w:t>从图4.3中可以看出，不同候选计划在实验过程中的占比不是均衡的，而是呈现出一定的比例差异。这表明LLM并非平均生成各类候选计划，而是能够结合当前状态摘要中的异常线索，对不同检测思路形成有目标的先验计划。整体来看，</w:t>
      </w:r>
      <w:r>
        <w:t>占比较高的候选计划主要</w:t>
      </w:r>
      <w:r>
        <w:rPr>
          <w:rFonts w:hint="eastAsia"/>
        </w:rPr>
        <w:t>根据</w:t>
      </w:r>
      <w:r>
        <w:t>“先检测与补证、再逐步处置”的思路</w:t>
      </w:r>
      <w:r>
        <w:rPr>
          <w:rFonts w:hint="eastAsia"/>
        </w:rPr>
        <w:t>进行，</w:t>
      </w:r>
      <w:r>
        <w:t>这与APT检测过程中先核验异常、后实施响应的基本要求较为一致；而占比较低的候选计划通常对应更强的取证或处置方式，</w:t>
      </w:r>
      <w:r>
        <w:rPr>
          <w:rFonts w:hint="eastAsia"/>
        </w:rPr>
        <w:t>表明</w:t>
      </w:r>
      <w:r>
        <w:t>LLM仅在部分风险较高或异常更为明显的时刻才倾向于生成</w:t>
      </w:r>
      <w:r>
        <w:rPr>
          <w:rFonts w:hint="eastAsia"/>
        </w:rPr>
        <w:t>这类计划。</w:t>
      </w:r>
      <w:r>
        <w:t>由此可见，LLM生成的候选计划分布具有一定规律性，能够在不同状态下形成</w:t>
      </w:r>
      <w:r>
        <w:rPr>
          <w:rFonts w:hint="eastAsia"/>
        </w:rPr>
        <w:t>针对性</w:t>
      </w:r>
      <w:r>
        <w:t>的候选</w:t>
      </w:r>
      <w:r>
        <w:rPr>
          <w:rFonts w:hint="eastAsia"/>
        </w:rPr>
        <w:t>计划</w:t>
      </w:r>
      <w:r>
        <w:t>集合。</w:t>
      </w:r>
    </w:p>
    <w:p w14:paraId="6A5AB7B8">
      <w:pPr>
        <w:ind w:firstLine="482" w:firstLineChars="200"/>
        <w:rPr>
          <w:b/>
          <w:bCs/>
        </w:rPr>
      </w:pPr>
      <w:r>
        <w:rPr>
          <w:rFonts w:hint="eastAsia"/>
          <w:b/>
          <w:bCs/>
        </w:rPr>
        <w:t>（2）前瞻评估与后验选择决策</w:t>
      </w:r>
    </w:p>
    <w:p w14:paraId="772262E9">
      <w:pPr>
        <w:ind w:firstLine="480" w:firstLineChars="200"/>
      </w:pPr>
      <w:r>
        <w:t>为</w:t>
      </w:r>
      <w:r>
        <w:rPr>
          <w:rFonts w:hint="eastAsia"/>
        </w:rPr>
        <w:t>体现前瞻评估与</w:t>
      </w:r>
      <w:r>
        <w:t>后验选择</w:t>
      </w:r>
      <w:r>
        <w:rPr>
          <w:rFonts w:hint="eastAsia"/>
        </w:rPr>
        <w:t>决策</w:t>
      </w:r>
      <w:r>
        <w:t>的具体过程，本文选取某一典型时刻的候选计划选择结果进行展示</w:t>
      </w:r>
      <w:r>
        <w:rPr>
          <w:rFonts w:hint="eastAsia"/>
        </w:rPr>
        <w:t>分析</w:t>
      </w:r>
      <w:r>
        <w:t>，如表4.</w:t>
      </w:r>
      <w:r>
        <w:rPr>
          <w:rFonts w:hint="eastAsia"/>
        </w:rPr>
        <w:t>2及图4.4</w:t>
      </w:r>
      <w:r>
        <w:t>所示。表中列出了各候选计划的</w:t>
      </w:r>
      <w:r>
        <w:rPr>
          <w:rFonts w:hint="eastAsia"/>
        </w:rPr>
        <w:t>动作编码</w:t>
      </w:r>
      <w:r>
        <w:t>序列、</w:t>
      </w:r>
      <w:r>
        <w:rPr>
          <w:rFonts w:hint="eastAsia"/>
        </w:rPr>
        <w:t>世界模型</w:t>
      </w:r>
      <w:r>
        <w:t>前瞻评估结果、先验偏好评分、后验策略概率及最终选择结果。其中，计划ID用于</w:t>
      </w:r>
      <w:r>
        <w:rPr>
          <w:rFonts w:hint="eastAsia"/>
        </w:rPr>
        <w:t>表示</w:t>
      </w:r>
      <w:r>
        <w:t>当前时刻LLM生成的不同候选计划，动作序列用于表示该候选计划对应的具体动作方案。在此基础上，世界模型进一步对该动作序列进行前瞻评估，并得到对应的检测收益、不确定性和累计代价等结果。</w:t>
      </w:r>
      <w:r>
        <w:rPr>
          <w:rFonts w:hint="eastAsia"/>
        </w:rPr>
        <w:t>最终，后验选择给出策略概率并做出方案选择。</w:t>
      </w:r>
    </w:p>
    <w:p w14:paraId="0374DD5A">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2</w:t>
      </w:r>
      <w:r>
        <w:rPr>
          <w:rFonts w:eastAsia="宋体" w:cs="Times New Roman"/>
          <w:sz w:val="21"/>
          <w:szCs w:val="21"/>
        </w:rPr>
        <w:t xml:space="preserve"> </w:t>
      </w:r>
      <w:r>
        <w:rPr>
          <w:rFonts w:hint="eastAsia" w:eastAsia="宋体" w:cs="Times New Roman"/>
          <w:sz w:val="21"/>
          <w:szCs w:val="21"/>
        </w:rPr>
        <w:t>后验选择决策过程案例分析</w:t>
      </w:r>
    </w:p>
    <w:tbl>
      <w:tblPr>
        <w:tblStyle w:val="18"/>
        <w:tblW w:w="4903" w:type="pct"/>
        <w:jc w:val="center"/>
        <w:tblLayout w:type="autofit"/>
        <w:tblCellMar>
          <w:top w:w="0" w:type="dxa"/>
          <w:left w:w="0" w:type="dxa"/>
          <w:bottom w:w="0" w:type="dxa"/>
          <w:right w:w="0" w:type="dxa"/>
        </w:tblCellMar>
      </w:tblPr>
      <w:tblGrid>
        <w:gridCol w:w="848"/>
        <w:gridCol w:w="1134"/>
        <w:gridCol w:w="1194"/>
        <w:gridCol w:w="1074"/>
        <w:gridCol w:w="852"/>
        <w:gridCol w:w="1132"/>
        <w:gridCol w:w="852"/>
        <w:gridCol w:w="1216"/>
      </w:tblGrid>
      <w:tr w14:paraId="17B40B25">
        <w:tblPrEx>
          <w:tblCellMar>
            <w:top w:w="0" w:type="dxa"/>
            <w:left w:w="0" w:type="dxa"/>
            <w:bottom w:w="0" w:type="dxa"/>
            <w:right w:w="0" w:type="dxa"/>
          </w:tblCellMar>
        </w:tblPrEx>
        <w:trPr>
          <w:jc w:val="center"/>
        </w:trPr>
        <w:tc>
          <w:tcPr>
            <w:tcW w:w="511" w:type="pct"/>
            <w:tcBorders>
              <w:top w:val="single" w:color="000000" w:sz="12" w:space="0"/>
              <w:left w:val="nil"/>
              <w:bottom w:val="single" w:color="000000" w:sz="4" w:space="0"/>
              <w:right w:val="nil"/>
              <w:tl2br w:val="nil"/>
            </w:tcBorders>
            <w:shd w:val="clear" w:color="auto" w:fill="FFFFFF"/>
            <w:tcMar>
              <w:top w:w="80" w:type="dxa"/>
              <w:left w:w="80" w:type="dxa"/>
              <w:bottom w:w="80" w:type="dxa"/>
              <w:right w:w="80" w:type="dxa"/>
            </w:tcMar>
            <w:vAlign w:val="center"/>
          </w:tcPr>
          <w:p w14:paraId="69E7B40A">
            <w:pPr>
              <w:widowControl/>
              <w:spacing w:before="100" w:beforeAutospacing="1" w:after="100" w:afterAutospacing="1" w:line="288" w:lineRule="auto"/>
              <w:contextualSpacing/>
              <w:jc w:val="center"/>
              <w:rPr>
                <w:rFonts w:eastAsia="宋体" w:cs="Times New Roman"/>
                <w:color w:val="000000"/>
                <w:kern w:val="0"/>
                <w:sz w:val="21"/>
                <w:szCs w:val="21"/>
              </w:rPr>
            </w:pPr>
            <w:r>
              <w:rPr>
                <w:rFonts w:eastAsia="宋体" w:cs="Times New Roman"/>
                <w:color w:val="000000"/>
                <w:kern w:val="0"/>
                <w:sz w:val="21"/>
                <w:szCs w:val="21"/>
              </w:rPr>
              <w:t>计划ID</w:t>
            </w:r>
          </w:p>
        </w:tc>
        <w:tc>
          <w:tcPr>
            <w:tcW w:w="683"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8F2DD17">
            <w:pPr>
              <w:widowControl/>
              <w:spacing w:before="100" w:beforeAutospacing="1" w:after="100" w:afterAutospacing="1" w:line="288" w:lineRule="auto"/>
              <w:contextualSpacing/>
              <w:jc w:val="center"/>
              <w:rPr>
                <w:rFonts w:eastAsia="宋体" w:cs="Times New Roman"/>
                <w:color w:val="000000"/>
                <w:kern w:val="0"/>
                <w:sz w:val="21"/>
                <w:szCs w:val="21"/>
              </w:rPr>
            </w:pPr>
            <w:r>
              <w:rPr>
                <w:rFonts w:eastAsia="宋体" w:cs="Times New Roman"/>
                <w:color w:val="000000"/>
                <w:kern w:val="0"/>
                <w:sz w:val="21"/>
                <w:szCs w:val="21"/>
              </w:rPr>
              <w:t>是否选中</w:t>
            </w:r>
          </w:p>
        </w:tc>
        <w:tc>
          <w:tcPr>
            <w:tcW w:w="719"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818A60E">
            <w:pPr>
              <w:widowControl/>
              <w:spacing w:before="100" w:beforeAutospacing="1" w:after="100" w:afterAutospacing="1" w:line="288" w:lineRule="auto"/>
              <w:contextualSpacing/>
              <w:jc w:val="center"/>
              <w:rPr>
                <w:rFonts w:eastAsia="宋体" w:cs="Times New Roman"/>
                <w:color w:val="000000"/>
                <w:kern w:val="0"/>
                <w:sz w:val="21"/>
                <w:szCs w:val="21"/>
              </w:rPr>
            </w:pPr>
            <w:r>
              <w:rPr>
                <w:rFonts w:hint="eastAsia" w:eastAsia="宋体" w:cs="Times New Roman"/>
                <w:color w:val="000000"/>
                <w:kern w:val="0"/>
                <w:sz w:val="21"/>
                <w:szCs w:val="21"/>
              </w:rPr>
              <w:t>动作</w:t>
            </w:r>
            <w:r>
              <w:rPr>
                <w:rFonts w:eastAsia="宋体" w:cs="Times New Roman"/>
                <w:color w:val="000000"/>
                <w:kern w:val="0"/>
                <w:sz w:val="21"/>
                <w:szCs w:val="21"/>
              </w:rPr>
              <w:t>序列</w:t>
            </w:r>
          </w:p>
        </w:tc>
        <w:tc>
          <w:tcPr>
            <w:tcW w:w="647"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A733BE">
            <w:pPr>
              <w:widowControl/>
              <w:spacing w:before="100" w:beforeAutospacing="1" w:after="100" w:afterAutospacing="1" w:line="288" w:lineRule="auto"/>
              <w:contextualSpacing/>
              <w:jc w:val="center"/>
              <w:rPr>
                <w:rFonts w:eastAsia="宋体" w:cs="Times New Roman"/>
                <w:color w:val="000000"/>
                <w:kern w:val="0"/>
                <w:sz w:val="21"/>
                <w:szCs w:val="21"/>
              </w:rPr>
            </w:pPr>
            <w:r>
              <w:rPr>
                <w:rFonts w:ascii="Calibri" w:hAnsi="Calibri" w:eastAsia="宋体" w:cs="Times New Roman"/>
                <w:kern w:val="0"/>
                <w:position w:val="-14"/>
                <w:szCs w:val="24"/>
              </w:rPr>
              <w:object>
                <v:shape id="_x0000_i1280" o:spt="75" type="#_x0000_t75" style="height:21pt;width:18.15pt;" o:ole="t" filled="f" o:preferrelative="t" stroked="f" coordsize="21600,21600">
                  <v:path/>
                  <v:fill on="f" focussize="0,0"/>
                  <v:stroke on="f" joinstyle="miter"/>
                  <v:imagedata r:id="rId505" o:title=""/>
                  <o:lock v:ext="edit" aspectratio="t"/>
                  <w10:wrap type="none"/>
                  <w10:anchorlock/>
                </v:shape>
                <o:OLEObject Type="Embed" ProgID="Equation.DSMT4" ShapeID="_x0000_i1280" DrawAspect="Content" ObjectID="_1468075980" r:id="rId504">
                  <o:LockedField>false</o:LockedField>
                </o:OLEObject>
              </w:object>
            </w:r>
          </w:p>
        </w:tc>
        <w:tc>
          <w:tcPr>
            <w:tcW w:w="513"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D78AC89">
            <w:pPr>
              <w:widowControl/>
              <w:spacing w:before="100" w:beforeAutospacing="1" w:after="100" w:afterAutospacing="1" w:line="288" w:lineRule="auto"/>
              <w:contextualSpacing/>
              <w:jc w:val="center"/>
              <w:rPr>
                <w:rFonts w:eastAsia="宋体" w:cs="Times New Roman"/>
                <w:color w:val="000000"/>
                <w:kern w:val="0"/>
                <w:sz w:val="21"/>
                <w:szCs w:val="21"/>
              </w:rPr>
            </w:pPr>
            <w:r>
              <w:rPr>
                <w:rFonts w:ascii="Calibri" w:hAnsi="Calibri" w:eastAsia="宋体" w:cs="Times New Roman"/>
                <w:kern w:val="0"/>
                <w:position w:val="-14"/>
                <w:szCs w:val="24"/>
              </w:rPr>
              <w:object>
                <v:shape id="_x0000_i1281" o:spt="75" type="#_x0000_t75" style="height:21pt;width:19pt;" o:ole="t" filled="f" o:preferrelative="t" stroked="f" coordsize="21600,21600">
                  <v:path/>
                  <v:fill on="f" focussize="0,0"/>
                  <v:stroke on="f" joinstyle="miter"/>
                  <v:imagedata r:id="rId403" o:title=""/>
                  <o:lock v:ext="edit" aspectratio="t"/>
                  <w10:wrap type="none"/>
                  <w10:anchorlock/>
                </v:shape>
                <o:OLEObject Type="Embed" ProgID="Equation.DSMT4" ShapeID="_x0000_i1281" DrawAspect="Content" ObjectID="_1468075981" r:id="rId506">
                  <o:LockedField>false</o:LockedField>
                </o:OLEObject>
              </w:object>
            </w:r>
          </w:p>
        </w:tc>
        <w:tc>
          <w:tcPr>
            <w:tcW w:w="682"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97FB333">
            <w:pPr>
              <w:widowControl/>
              <w:spacing w:before="100" w:beforeAutospacing="1" w:after="100" w:afterAutospacing="1" w:line="288" w:lineRule="auto"/>
              <w:contextualSpacing/>
              <w:jc w:val="center"/>
              <w:rPr>
                <w:rFonts w:eastAsia="宋体" w:cs="Times New Roman"/>
                <w:color w:val="000000"/>
                <w:kern w:val="0"/>
                <w:sz w:val="21"/>
                <w:szCs w:val="21"/>
              </w:rPr>
            </w:pPr>
            <w:r>
              <w:rPr>
                <w:rFonts w:ascii="Calibri" w:hAnsi="Calibri" w:eastAsia="宋体" w:cs="Times New Roman"/>
                <w:kern w:val="0"/>
                <w:position w:val="-14"/>
                <w:szCs w:val="24"/>
              </w:rPr>
              <w:object>
                <v:shape id="_x0000_i1282" o:spt="75" type="#_x0000_t75" style="height:21pt;width:18.15pt;" o:ole="t" filled="f" o:preferrelative="t" stroked="f" coordsize="21600,21600">
                  <v:path/>
                  <v:fill on="f" focussize="0,0"/>
                  <v:stroke on="f" joinstyle="miter"/>
                  <v:imagedata r:id="rId405" o:title=""/>
                  <o:lock v:ext="edit" aspectratio="t"/>
                  <w10:wrap type="none"/>
                  <w10:anchorlock/>
                </v:shape>
                <o:OLEObject Type="Embed" ProgID="Equation.DSMT4" ShapeID="_x0000_i1282" DrawAspect="Content" ObjectID="_1468075982" r:id="rId507">
                  <o:LockedField>false</o:LockedField>
                </o:OLEObject>
              </w:object>
            </w:r>
          </w:p>
        </w:tc>
        <w:tc>
          <w:tcPr>
            <w:tcW w:w="513"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30A848A">
            <w:pPr>
              <w:widowControl/>
              <w:spacing w:before="100" w:beforeAutospacing="1" w:after="100" w:afterAutospacing="1" w:line="288" w:lineRule="auto"/>
              <w:contextualSpacing/>
              <w:jc w:val="center"/>
              <w:rPr>
                <w:rFonts w:eastAsia="宋体" w:cs="Times New Roman"/>
                <w:color w:val="000000"/>
                <w:kern w:val="0"/>
                <w:sz w:val="21"/>
                <w:szCs w:val="21"/>
              </w:rPr>
            </w:pPr>
            <w:r>
              <w:rPr>
                <w:rFonts w:eastAsia="宋体" w:cs="Times New Roman"/>
                <w:color w:val="000000"/>
                <w:kern w:val="0"/>
                <w:sz w:val="21"/>
                <w:szCs w:val="21"/>
              </w:rPr>
              <w:t>先验偏</w:t>
            </w:r>
          </w:p>
          <w:p w14:paraId="758B9A3D">
            <w:pPr>
              <w:widowControl/>
              <w:spacing w:before="100" w:beforeAutospacing="1" w:after="100" w:afterAutospacing="1" w:line="288" w:lineRule="auto"/>
              <w:contextualSpacing/>
              <w:jc w:val="center"/>
              <w:rPr>
                <w:rFonts w:eastAsia="宋体" w:cs="Times New Roman"/>
                <w:color w:val="000000"/>
                <w:kern w:val="0"/>
                <w:sz w:val="21"/>
                <w:szCs w:val="21"/>
              </w:rPr>
            </w:pPr>
            <w:r>
              <w:rPr>
                <w:rFonts w:eastAsia="宋体" w:cs="Times New Roman"/>
                <w:color w:val="000000"/>
                <w:kern w:val="0"/>
                <w:sz w:val="21"/>
                <w:szCs w:val="21"/>
              </w:rPr>
              <w:t>好评分</w:t>
            </w:r>
          </w:p>
        </w:tc>
        <w:tc>
          <w:tcPr>
            <w:tcW w:w="732" w:type="pct"/>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839C724">
            <w:pPr>
              <w:widowControl/>
              <w:spacing w:before="100" w:beforeAutospacing="1" w:after="100" w:afterAutospacing="1" w:line="288" w:lineRule="auto"/>
              <w:contextualSpacing/>
              <w:jc w:val="center"/>
              <w:rPr>
                <w:rFonts w:eastAsia="宋体" w:cs="Times New Roman"/>
                <w:color w:val="000000"/>
                <w:kern w:val="0"/>
                <w:sz w:val="21"/>
                <w:szCs w:val="21"/>
              </w:rPr>
            </w:pPr>
            <w:r>
              <w:rPr>
                <w:rFonts w:eastAsia="宋体" w:cs="Times New Roman"/>
                <w:color w:val="000000"/>
                <w:kern w:val="0"/>
                <w:sz w:val="21"/>
                <w:szCs w:val="21"/>
              </w:rPr>
              <w:t>后验策</w:t>
            </w:r>
          </w:p>
          <w:p w14:paraId="7DC8B426">
            <w:pPr>
              <w:widowControl/>
              <w:spacing w:before="100" w:beforeAutospacing="1" w:after="100" w:afterAutospacing="1" w:line="288" w:lineRule="auto"/>
              <w:contextualSpacing/>
              <w:jc w:val="center"/>
              <w:rPr>
                <w:rFonts w:eastAsia="宋体" w:cs="Times New Roman"/>
                <w:color w:val="000000"/>
                <w:kern w:val="0"/>
                <w:sz w:val="21"/>
                <w:szCs w:val="21"/>
              </w:rPr>
            </w:pPr>
            <w:r>
              <w:rPr>
                <w:rFonts w:eastAsia="宋体" w:cs="Times New Roman"/>
                <w:color w:val="000000"/>
                <w:kern w:val="0"/>
                <w:sz w:val="21"/>
                <w:szCs w:val="21"/>
              </w:rPr>
              <w:t>略</w:t>
            </w:r>
            <w:r>
              <w:rPr>
                <w:rFonts w:hint="eastAsia" w:eastAsia="宋体" w:cs="Times New Roman"/>
                <w:color w:val="000000"/>
                <w:kern w:val="0"/>
                <w:sz w:val="21"/>
                <w:szCs w:val="21"/>
              </w:rPr>
              <w:t>概率</w:t>
            </w:r>
          </w:p>
        </w:tc>
      </w:tr>
      <w:tr w14:paraId="2F55C091">
        <w:tblPrEx>
          <w:tblCellMar>
            <w:top w:w="0" w:type="dxa"/>
            <w:left w:w="0" w:type="dxa"/>
            <w:bottom w:w="0" w:type="dxa"/>
            <w:right w:w="0" w:type="dxa"/>
          </w:tblCellMar>
        </w:tblPrEx>
        <w:trPr>
          <w:jc w:val="center"/>
        </w:trPr>
        <w:tc>
          <w:tcPr>
            <w:tcW w:w="511"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711C4F4C">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w:t>
            </w:r>
          </w:p>
        </w:tc>
        <w:tc>
          <w:tcPr>
            <w:tcW w:w="68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61B140A">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否</w:t>
            </w:r>
          </w:p>
        </w:tc>
        <w:tc>
          <w:tcPr>
            <w:tcW w:w="719"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7DCA02C">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0-4-0-0</w:t>
            </w:r>
          </w:p>
        </w:tc>
        <w:tc>
          <w:tcPr>
            <w:tcW w:w="647"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25F977FA">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-0.8054</w:t>
            </w:r>
          </w:p>
        </w:tc>
        <w:tc>
          <w:tcPr>
            <w:tcW w:w="51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E7C69F0">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0.0355</w:t>
            </w:r>
          </w:p>
        </w:tc>
        <w:tc>
          <w:tcPr>
            <w:tcW w:w="682"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5F91E44">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1.2500</w:t>
            </w:r>
          </w:p>
        </w:tc>
        <w:tc>
          <w:tcPr>
            <w:tcW w:w="513"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310AD6C5">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0.67</w:t>
            </w:r>
          </w:p>
        </w:tc>
        <w:tc>
          <w:tcPr>
            <w:tcW w:w="732" w:type="pct"/>
            <w:tcBorders>
              <w:top w:val="single" w:color="000000" w:sz="4" w:space="0"/>
              <w:left w:val="nil"/>
              <w:bottom w:val="nil"/>
              <w:right w:val="nil"/>
            </w:tcBorders>
            <w:shd w:val="clear" w:color="auto" w:fill="FFFFFF"/>
            <w:tcMar>
              <w:top w:w="80" w:type="dxa"/>
              <w:left w:w="80" w:type="dxa"/>
              <w:bottom w:w="80" w:type="dxa"/>
              <w:right w:w="80" w:type="dxa"/>
            </w:tcMar>
            <w:vAlign w:val="center"/>
          </w:tcPr>
          <w:p w14:paraId="6B18BE9F">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w:t>
            </w:r>
            <w:r>
              <w:rPr>
                <w:rFonts w:hint="eastAsia" w:eastAsia="宋体" w:cs="Times New Roman"/>
                <w:color w:val="000000"/>
                <w:kern w:val="0"/>
                <w:sz w:val="21"/>
                <w:szCs w:val="21"/>
              </w:rPr>
              <w:t>1048</w:t>
            </w:r>
          </w:p>
        </w:tc>
      </w:tr>
      <w:tr w14:paraId="5E09206E">
        <w:tblPrEx>
          <w:tblCellMar>
            <w:top w:w="0" w:type="dxa"/>
            <w:left w:w="0" w:type="dxa"/>
            <w:bottom w:w="0" w:type="dxa"/>
            <w:right w:w="0" w:type="dxa"/>
          </w:tblCellMar>
        </w:tblPrEx>
        <w:trPr>
          <w:jc w:val="center"/>
        </w:trPr>
        <w:tc>
          <w:tcPr>
            <w:tcW w:w="511" w:type="pct"/>
            <w:tcBorders>
              <w:top w:val="nil"/>
              <w:left w:val="nil"/>
              <w:bottom w:val="nil"/>
              <w:right w:val="nil"/>
            </w:tcBorders>
            <w:shd w:val="clear" w:color="auto" w:fill="FFFFFF"/>
            <w:tcMar>
              <w:top w:w="80" w:type="dxa"/>
              <w:left w:w="80" w:type="dxa"/>
              <w:bottom w:w="80" w:type="dxa"/>
              <w:right w:w="80" w:type="dxa"/>
            </w:tcMar>
            <w:vAlign w:val="center"/>
          </w:tcPr>
          <w:p w14:paraId="07C9363F">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1</w:t>
            </w:r>
          </w:p>
        </w:tc>
        <w:tc>
          <w:tcPr>
            <w:tcW w:w="683" w:type="pct"/>
            <w:tcBorders>
              <w:top w:val="nil"/>
              <w:left w:val="nil"/>
              <w:bottom w:val="nil"/>
              <w:right w:val="nil"/>
            </w:tcBorders>
            <w:shd w:val="clear" w:color="auto" w:fill="FFFFFF"/>
            <w:tcMar>
              <w:top w:w="80" w:type="dxa"/>
              <w:left w:w="80" w:type="dxa"/>
              <w:bottom w:w="80" w:type="dxa"/>
              <w:right w:w="80" w:type="dxa"/>
            </w:tcMar>
            <w:vAlign w:val="center"/>
          </w:tcPr>
          <w:p w14:paraId="4D32D1DF">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否</w:t>
            </w:r>
          </w:p>
        </w:tc>
        <w:tc>
          <w:tcPr>
            <w:tcW w:w="719" w:type="pct"/>
            <w:tcBorders>
              <w:top w:val="nil"/>
              <w:left w:val="nil"/>
              <w:bottom w:val="nil"/>
              <w:right w:val="nil"/>
            </w:tcBorders>
            <w:shd w:val="clear" w:color="auto" w:fill="FFFFFF"/>
            <w:tcMar>
              <w:top w:w="80" w:type="dxa"/>
              <w:left w:w="80" w:type="dxa"/>
              <w:bottom w:w="80" w:type="dxa"/>
              <w:right w:w="80" w:type="dxa"/>
            </w:tcMar>
            <w:vAlign w:val="center"/>
          </w:tcPr>
          <w:p w14:paraId="31AA40B0">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0-1-0-0</w:t>
            </w:r>
          </w:p>
        </w:tc>
        <w:tc>
          <w:tcPr>
            <w:tcW w:w="647" w:type="pct"/>
            <w:tcBorders>
              <w:top w:val="nil"/>
              <w:left w:val="nil"/>
              <w:bottom w:val="nil"/>
              <w:right w:val="nil"/>
            </w:tcBorders>
            <w:shd w:val="clear" w:color="auto" w:fill="FFFFFF"/>
            <w:tcMar>
              <w:top w:w="80" w:type="dxa"/>
              <w:left w:w="80" w:type="dxa"/>
              <w:bottom w:w="80" w:type="dxa"/>
              <w:right w:w="80" w:type="dxa"/>
            </w:tcMar>
            <w:vAlign w:val="center"/>
          </w:tcPr>
          <w:p w14:paraId="6B807042">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-0.8221</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395F8964">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0.0223</w:t>
            </w:r>
          </w:p>
        </w:tc>
        <w:tc>
          <w:tcPr>
            <w:tcW w:w="682" w:type="pct"/>
            <w:tcBorders>
              <w:top w:val="nil"/>
              <w:left w:val="nil"/>
              <w:bottom w:val="nil"/>
              <w:right w:val="nil"/>
            </w:tcBorders>
            <w:shd w:val="clear" w:color="auto" w:fill="FFFFFF"/>
            <w:tcMar>
              <w:top w:w="80" w:type="dxa"/>
              <w:left w:w="80" w:type="dxa"/>
              <w:bottom w:w="80" w:type="dxa"/>
              <w:right w:w="80" w:type="dxa"/>
            </w:tcMar>
            <w:vAlign w:val="center"/>
          </w:tcPr>
          <w:p w14:paraId="21268D15">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0.3500</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5EFF2A9B">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0.75</w:t>
            </w:r>
          </w:p>
        </w:tc>
        <w:tc>
          <w:tcPr>
            <w:tcW w:w="732" w:type="pct"/>
            <w:tcBorders>
              <w:top w:val="nil"/>
              <w:left w:val="nil"/>
              <w:bottom w:val="nil"/>
              <w:right w:val="nil"/>
            </w:tcBorders>
            <w:shd w:val="clear" w:color="auto" w:fill="FFFFFF"/>
            <w:tcMar>
              <w:top w:w="80" w:type="dxa"/>
              <w:left w:w="80" w:type="dxa"/>
              <w:bottom w:w="80" w:type="dxa"/>
              <w:right w:w="80" w:type="dxa"/>
            </w:tcMar>
            <w:vAlign w:val="center"/>
          </w:tcPr>
          <w:p w14:paraId="218DF552">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0.2452</w:t>
            </w:r>
          </w:p>
        </w:tc>
      </w:tr>
      <w:tr w14:paraId="5F84AB87">
        <w:tblPrEx>
          <w:tblCellMar>
            <w:top w:w="0" w:type="dxa"/>
            <w:left w:w="0" w:type="dxa"/>
            <w:bottom w:w="0" w:type="dxa"/>
            <w:right w:w="0" w:type="dxa"/>
          </w:tblCellMar>
        </w:tblPrEx>
        <w:trPr>
          <w:jc w:val="center"/>
        </w:trPr>
        <w:tc>
          <w:tcPr>
            <w:tcW w:w="511" w:type="pct"/>
            <w:tcBorders>
              <w:top w:val="nil"/>
              <w:left w:val="nil"/>
              <w:bottom w:val="nil"/>
              <w:right w:val="nil"/>
            </w:tcBorders>
            <w:shd w:val="clear" w:color="auto" w:fill="FFFFFF"/>
            <w:tcMar>
              <w:top w:w="80" w:type="dxa"/>
              <w:left w:w="80" w:type="dxa"/>
              <w:bottom w:w="80" w:type="dxa"/>
              <w:right w:w="80" w:type="dxa"/>
            </w:tcMar>
            <w:vAlign w:val="center"/>
          </w:tcPr>
          <w:p w14:paraId="1F2E0D68">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2</w:t>
            </w:r>
          </w:p>
        </w:tc>
        <w:tc>
          <w:tcPr>
            <w:tcW w:w="683" w:type="pct"/>
            <w:tcBorders>
              <w:top w:val="nil"/>
              <w:left w:val="nil"/>
              <w:bottom w:val="nil"/>
              <w:right w:val="nil"/>
            </w:tcBorders>
            <w:shd w:val="clear" w:color="auto" w:fill="FFFFFF"/>
            <w:tcMar>
              <w:top w:w="80" w:type="dxa"/>
              <w:left w:w="80" w:type="dxa"/>
              <w:bottom w:w="80" w:type="dxa"/>
              <w:right w:w="80" w:type="dxa"/>
            </w:tcMar>
            <w:vAlign w:val="center"/>
          </w:tcPr>
          <w:p w14:paraId="44C50268">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否</w:t>
            </w:r>
          </w:p>
        </w:tc>
        <w:tc>
          <w:tcPr>
            <w:tcW w:w="719" w:type="pct"/>
            <w:tcBorders>
              <w:top w:val="nil"/>
              <w:left w:val="nil"/>
              <w:bottom w:val="nil"/>
              <w:right w:val="nil"/>
            </w:tcBorders>
            <w:shd w:val="clear" w:color="auto" w:fill="FFFFFF"/>
            <w:tcMar>
              <w:top w:w="80" w:type="dxa"/>
              <w:left w:w="80" w:type="dxa"/>
              <w:bottom w:w="80" w:type="dxa"/>
              <w:right w:w="80" w:type="dxa"/>
            </w:tcMar>
            <w:vAlign w:val="center"/>
          </w:tcPr>
          <w:p w14:paraId="54FA2F64">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1-1-2-0</w:t>
            </w:r>
          </w:p>
        </w:tc>
        <w:tc>
          <w:tcPr>
            <w:tcW w:w="647" w:type="pct"/>
            <w:tcBorders>
              <w:top w:val="nil"/>
              <w:left w:val="nil"/>
              <w:bottom w:val="nil"/>
              <w:right w:val="nil"/>
            </w:tcBorders>
            <w:shd w:val="clear" w:color="auto" w:fill="FFFFFF"/>
            <w:tcMar>
              <w:top w:w="80" w:type="dxa"/>
              <w:left w:w="80" w:type="dxa"/>
              <w:bottom w:w="80" w:type="dxa"/>
              <w:right w:w="80" w:type="dxa"/>
            </w:tcMar>
            <w:vAlign w:val="center"/>
          </w:tcPr>
          <w:p w14:paraId="1CF8E07A">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-0.8983</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12C8774C">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0.0077</w:t>
            </w:r>
          </w:p>
        </w:tc>
        <w:tc>
          <w:tcPr>
            <w:tcW w:w="682" w:type="pct"/>
            <w:tcBorders>
              <w:top w:val="nil"/>
              <w:left w:val="nil"/>
              <w:bottom w:val="nil"/>
              <w:right w:val="nil"/>
            </w:tcBorders>
            <w:shd w:val="clear" w:color="auto" w:fill="FFFFFF"/>
            <w:tcMar>
              <w:top w:w="80" w:type="dxa"/>
              <w:left w:w="80" w:type="dxa"/>
              <w:bottom w:w="80" w:type="dxa"/>
              <w:right w:w="80" w:type="dxa"/>
            </w:tcMar>
            <w:vAlign w:val="center"/>
          </w:tcPr>
          <w:p w14:paraId="2F956352">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0.9000</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111009EC">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0.42</w:t>
            </w:r>
          </w:p>
        </w:tc>
        <w:tc>
          <w:tcPr>
            <w:tcW w:w="732" w:type="pct"/>
            <w:tcBorders>
              <w:top w:val="nil"/>
              <w:left w:val="nil"/>
              <w:bottom w:val="nil"/>
              <w:right w:val="nil"/>
            </w:tcBorders>
            <w:shd w:val="clear" w:color="auto" w:fill="FFFFFF"/>
            <w:tcMar>
              <w:top w:w="80" w:type="dxa"/>
              <w:left w:w="80" w:type="dxa"/>
              <w:bottom w:w="80" w:type="dxa"/>
              <w:right w:w="80" w:type="dxa"/>
            </w:tcMar>
            <w:vAlign w:val="center"/>
          </w:tcPr>
          <w:p w14:paraId="12EB14AB">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0.0038</w:t>
            </w:r>
          </w:p>
        </w:tc>
      </w:tr>
      <w:tr w14:paraId="54D19363">
        <w:tblPrEx>
          <w:tblCellMar>
            <w:top w:w="0" w:type="dxa"/>
            <w:left w:w="0" w:type="dxa"/>
            <w:bottom w:w="0" w:type="dxa"/>
            <w:right w:w="0" w:type="dxa"/>
          </w:tblCellMar>
        </w:tblPrEx>
        <w:trPr>
          <w:jc w:val="center"/>
        </w:trPr>
        <w:tc>
          <w:tcPr>
            <w:tcW w:w="511" w:type="pct"/>
            <w:tcBorders>
              <w:top w:val="nil"/>
              <w:left w:val="nil"/>
              <w:bottom w:val="nil"/>
              <w:right w:val="nil"/>
            </w:tcBorders>
            <w:shd w:val="clear" w:color="auto" w:fill="FFFFFF"/>
            <w:tcMar>
              <w:top w:w="80" w:type="dxa"/>
              <w:left w:w="80" w:type="dxa"/>
              <w:bottom w:w="80" w:type="dxa"/>
              <w:right w:w="80" w:type="dxa"/>
            </w:tcMar>
            <w:vAlign w:val="center"/>
          </w:tcPr>
          <w:p w14:paraId="7FB537DA">
            <w:pPr>
              <w:widowControl/>
              <w:spacing w:before="100" w:beforeAutospacing="1" w:after="100" w:afterAutospacing="1" w:line="288" w:lineRule="auto"/>
              <w:jc w:val="center"/>
              <w:rPr>
                <w:rFonts w:eastAsia="宋体" w:cs="Times New Roman"/>
                <w:b/>
                <w:color w:val="000000"/>
                <w:kern w:val="0"/>
                <w:sz w:val="21"/>
                <w:szCs w:val="21"/>
              </w:rPr>
            </w:pPr>
            <w:r>
              <w:rPr>
                <w:rFonts w:eastAsia="宋体" w:cs="Times New Roman"/>
                <w:b/>
                <w:color w:val="000000"/>
                <w:kern w:val="0"/>
                <w:sz w:val="21"/>
                <w:szCs w:val="21"/>
              </w:rPr>
              <w:t>3</w:t>
            </w:r>
          </w:p>
        </w:tc>
        <w:tc>
          <w:tcPr>
            <w:tcW w:w="683" w:type="pct"/>
            <w:tcBorders>
              <w:top w:val="nil"/>
              <w:left w:val="nil"/>
              <w:bottom w:val="nil"/>
              <w:right w:val="nil"/>
            </w:tcBorders>
            <w:shd w:val="clear" w:color="auto" w:fill="FFFFFF"/>
            <w:tcMar>
              <w:top w:w="80" w:type="dxa"/>
              <w:left w:w="80" w:type="dxa"/>
              <w:bottom w:w="80" w:type="dxa"/>
              <w:right w:w="80" w:type="dxa"/>
            </w:tcMar>
            <w:vAlign w:val="center"/>
          </w:tcPr>
          <w:p w14:paraId="662C8FEB">
            <w:pPr>
              <w:widowControl/>
              <w:spacing w:before="100" w:beforeAutospacing="1" w:after="100" w:afterAutospacing="1" w:line="288" w:lineRule="auto"/>
              <w:jc w:val="center"/>
              <w:rPr>
                <w:rFonts w:eastAsia="宋体" w:cs="Times New Roman"/>
                <w:b/>
                <w:color w:val="000000"/>
                <w:kern w:val="0"/>
                <w:sz w:val="21"/>
                <w:szCs w:val="21"/>
              </w:rPr>
            </w:pPr>
            <w:r>
              <w:rPr>
                <w:rFonts w:eastAsia="宋体" w:cs="Times New Roman"/>
                <w:b/>
                <w:color w:val="000000"/>
                <w:kern w:val="0"/>
                <w:sz w:val="21"/>
                <w:szCs w:val="21"/>
              </w:rPr>
              <w:t>是</w:t>
            </w:r>
          </w:p>
        </w:tc>
        <w:tc>
          <w:tcPr>
            <w:tcW w:w="719" w:type="pct"/>
            <w:tcBorders>
              <w:top w:val="nil"/>
              <w:left w:val="nil"/>
              <w:bottom w:val="nil"/>
              <w:right w:val="nil"/>
            </w:tcBorders>
            <w:shd w:val="clear" w:color="auto" w:fill="FFFFFF"/>
            <w:tcMar>
              <w:top w:w="80" w:type="dxa"/>
              <w:left w:w="80" w:type="dxa"/>
              <w:bottom w:w="80" w:type="dxa"/>
              <w:right w:w="80" w:type="dxa"/>
            </w:tcMar>
            <w:vAlign w:val="center"/>
          </w:tcPr>
          <w:p w14:paraId="569A0F99">
            <w:pPr>
              <w:widowControl/>
              <w:spacing w:before="100" w:beforeAutospacing="1" w:after="100" w:afterAutospacing="1" w:line="288" w:lineRule="auto"/>
              <w:jc w:val="center"/>
              <w:rPr>
                <w:rFonts w:eastAsia="宋体" w:cs="Times New Roman"/>
                <w:b/>
                <w:color w:val="000000"/>
                <w:kern w:val="0"/>
                <w:sz w:val="21"/>
                <w:szCs w:val="21"/>
              </w:rPr>
            </w:pPr>
            <w:r>
              <w:rPr>
                <w:rFonts w:eastAsia="宋体" w:cs="Times New Roman"/>
                <w:b/>
                <w:color w:val="000000"/>
                <w:kern w:val="0"/>
                <w:sz w:val="21"/>
                <w:szCs w:val="21"/>
              </w:rPr>
              <w:t>0-3-0-0</w:t>
            </w:r>
          </w:p>
        </w:tc>
        <w:tc>
          <w:tcPr>
            <w:tcW w:w="647" w:type="pct"/>
            <w:tcBorders>
              <w:top w:val="nil"/>
              <w:left w:val="nil"/>
              <w:bottom w:val="nil"/>
              <w:right w:val="nil"/>
            </w:tcBorders>
            <w:shd w:val="clear" w:color="auto" w:fill="FFFFFF"/>
            <w:tcMar>
              <w:top w:w="80" w:type="dxa"/>
              <w:left w:w="80" w:type="dxa"/>
              <w:bottom w:w="80" w:type="dxa"/>
              <w:right w:w="80" w:type="dxa"/>
            </w:tcMar>
            <w:vAlign w:val="center"/>
          </w:tcPr>
          <w:p w14:paraId="6F5549A1">
            <w:pPr>
              <w:widowControl/>
              <w:spacing w:before="100" w:beforeAutospacing="1" w:after="100" w:afterAutospacing="1" w:line="288" w:lineRule="auto"/>
              <w:jc w:val="center"/>
              <w:rPr>
                <w:rFonts w:eastAsia="宋体" w:cs="Times New Roman"/>
                <w:b/>
                <w:color w:val="000000"/>
                <w:kern w:val="0"/>
                <w:sz w:val="21"/>
                <w:szCs w:val="21"/>
              </w:rPr>
            </w:pPr>
            <w:r>
              <w:rPr>
                <w:rFonts w:eastAsia="宋体" w:cs="Times New Roman"/>
                <w:b/>
                <w:color w:val="000000"/>
                <w:kern w:val="0"/>
                <w:sz w:val="21"/>
                <w:szCs w:val="21"/>
              </w:rPr>
              <w:t>-0.7</w:t>
            </w:r>
            <w:r>
              <w:rPr>
                <w:rFonts w:hint="eastAsia" w:eastAsia="宋体" w:cs="Times New Roman"/>
                <w:b/>
                <w:color w:val="000000"/>
                <w:kern w:val="0"/>
                <w:sz w:val="21"/>
                <w:szCs w:val="21"/>
              </w:rPr>
              <w:t>6</w:t>
            </w:r>
            <w:r>
              <w:rPr>
                <w:rFonts w:eastAsia="宋体" w:cs="Times New Roman"/>
                <w:b/>
                <w:color w:val="000000"/>
                <w:kern w:val="0"/>
                <w:sz w:val="21"/>
                <w:szCs w:val="21"/>
              </w:rPr>
              <w:t>09</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35F698A7">
            <w:pPr>
              <w:widowControl/>
              <w:spacing w:before="100" w:beforeAutospacing="1" w:after="100" w:afterAutospacing="1" w:line="288" w:lineRule="auto"/>
              <w:jc w:val="center"/>
              <w:rPr>
                <w:rFonts w:eastAsia="宋体" w:cs="Times New Roman"/>
                <w:b/>
                <w:color w:val="000000"/>
                <w:kern w:val="0"/>
                <w:sz w:val="21"/>
                <w:szCs w:val="21"/>
              </w:rPr>
            </w:pPr>
            <w:r>
              <w:rPr>
                <w:rFonts w:eastAsia="宋体" w:cs="Times New Roman"/>
                <w:b/>
                <w:color w:val="000000"/>
                <w:kern w:val="0"/>
                <w:sz w:val="21"/>
                <w:szCs w:val="21"/>
              </w:rPr>
              <w:t>0.0</w:t>
            </w:r>
            <w:r>
              <w:rPr>
                <w:rFonts w:hint="eastAsia" w:eastAsia="宋体" w:cs="Times New Roman"/>
                <w:b/>
                <w:color w:val="000000"/>
                <w:kern w:val="0"/>
                <w:sz w:val="21"/>
                <w:szCs w:val="21"/>
              </w:rPr>
              <w:t>17</w:t>
            </w:r>
            <w:r>
              <w:rPr>
                <w:rFonts w:eastAsia="宋体" w:cs="Times New Roman"/>
                <w:b/>
                <w:color w:val="000000"/>
                <w:kern w:val="0"/>
                <w:sz w:val="21"/>
                <w:szCs w:val="21"/>
              </w:rPr>
              <w:t>6</w:t>
            </w:r>
          </w:p>
        </w:tc>
        <w:tc>
          <w:tcPr>
            <w:tcW w:w="682" w:type="pct"/>
            <w:tcBorders>
              <w:top w:val="nil"/>
              <w:left w:val="nil"/>
              <w:bottom w:val="nil"/>
              <w:right w:val="nil"/>
            </w:tcBorders>
            <w:shd w:val="clear" w:color="auto" w:fill="FFFFFF"/>
            <w:tcMar>
              <w:top w:w="80" w:type="dxa"/>
              <w:left w:w="80" w:type="dxa"/>
              <w:bottom w:w="80" w:type="dxa"/>
              <w:right w:w="80" w:type="dxa"/>
            </w:tcMar>
            <w:vAlign w:val="center"/>
          </w:tcPr>
          <w:p w14:paraId="504B1F8D">
            <w:pPr>
              <w:widowControl/>
              <w:spacing w:before="100" w:beforeAutospacing="1" w:after="100" w:afterAutospacing="1" w:line="288" w:lineRule="auto"/>
              <w:jc w:val="center"/>
              <w:rPr>
                <w:rFonts w:eastAsia="宋体" w:cs="Times New Roman"/>
                <w:b/>
                <w:color w:val="000000"/>
                <w:kern w:val="0"/>
                <w:sz w:val="21"/>
                <w:szCs w:val="21"/>
              </w:rPr>
            </w:pPr>
            <w:r>
              <w:rPr>
                <w:rFonts w:eastAsia="宋体" w:cs="Times New Roman"/>
                <w:b/>
                <w:color w:val="000000"/>
                <w:kern w:val="0"/>
                <w:sz w:val="21"/>
                <w:szCs w:val="21"/>
              </w:rPr>
              <w:t>0.9000</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6D0638BD">
            <w:pPr>
              <w:widowControl/>
              <w:spacing w:before="100" w:beforeAutospacing="1" w:after="100" w:afterAutospacing="1" w:line="288" w:lineRule="auto"/>
              <w:jc w:val="center"/>
              <w:rPr>
                <w:rFonts w:eastAsia="宋体" w:cs="Times New Roman"/>
                <w:b/>
                <w:color w:val="000000"/>
                <w:kern w:val="0"/>
                <w:sz w:val="21"/>
                <w:szCs w:val="21"/>
              </w:rPr>
            </w:pPr>
            <w:r>
              <w:rPr>
                <w:rFonts w:hint="eastAsia" w:eastAsia="宋体" w:cs="Times New Roman"/>
                <w:b/>
                <w:color w:val="000000"/>
                <w:kern w:val="0"/>
                <w:sz w:val="21"/>
                <w:szCs w:val="21"/>
              </w:rPr>
              <w:t>0.88</w:t>
            </w:r>
          </w:p>
        </w:tc>
        <w:tc>
          <w:tcPr>
            <w:tcW w:w="732" w:type="pct"/>
            <w:tcBorders>
              <w:top w:val="nil"/>
              <w:left w:val="nil"/>
              <w:bottom w:val="nil"/>
              <w:right w:val="nil"/>
            </w:tcBorders>
            <w:shd w:val="clear" w:color="auto" w:fill="FFFFFF"/>
            <w:tcMar>
              <w:top w:w="80" w:type="dxa"/>
              <w:left w:w="80" w:type="dxa"/>
              <w:bottom w:w="80" w:type="dxa"/>
              <w:right w:w="80" w:type="dxa"/>
            </w:tcMar>
            <w:vAlign w:val="center"/>
          </w:tcPr>
          <w:p w14:paraId="13F5B947">
            <w:pPr>
              <w:widowControl/>
              <w:spacing w:before="100" w:beforeAutospacing="1" w:after="100" w:afterAutospacing="1" w:line="288" w:lineRule="auto"/>
              <w:jc w:val="center"/>
              <w:rPr>
                <w:rFonts w:eastAsia="宋体" w:cs="Times New Roman"/>
                <w:b/>
                <w:color w:val="000000"/>
                <w:kern w:val="0"/>
                <w:sz w:val="21"/>
                <w:szCs w:val="21"/>
              </w:rPr>
            </w:pPr>
            <w:r>
              <w:rPr>
                <w:rFonts w:hint="eastAsia" w:eastAsia="宋体" w:cs="Times New Roman"/>
                <w:b/>
                <w:color w:val="000000"/>
                <w:kern w:val="0"/>
                <w:sz w:val="21"/>
                <w:szCs w:val="21"/>
              </w:rPr>
              <w:t>0.3528</w:t>
            </w:r>
          </w:p>
        </w:tc>
      </w:tr>
      <w:tr w14:paraId="6B90C4BA">
        <w:tblPrEx>
          <w:tblCellMar>
            <w:top w:w="0" w:type="dxa"/>
            <w:left w:w="0" w:type="dxa"/>
            <w:bottom w:w="0" w:type="dxa"/>
            <w:right w:w="0" w:type="dxa"/>
          </w:tblCellMar>
        </w:tblPrEx>
        <w:trPr>
          <w:jc w:val="center"/>
        </w:trPr>
        <w:tc>
          <w:tcPr>
            <w:tcW w:w="511" w:type="pct"/>
            <w:tcBorders>
              <w:top w:val="nil"/>
              <w:left w:val="nil"/>
              <w:bottom w:val="nil"/>
              <w:right w:val="nil"/>
            </w:tcBorders>
            <w:shd w:val="clear" w:color="auto" w:fill="FFFFFF"/>
            <w:tcMar>
              <w:top w:w="80" w:type="dxa"/>
              <w:left w:w="80" w:type="dxa"/>
              <w:bottom w:w="80" w:type="dxa"/>
              <w:right w:w="80" w:type="dxa"/>
            </w:tcMar>
            <w:vAlign w:val="center"/>
          </w:tcPr>
          <w:p w14:paraId="07101875">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4</w:t>
            </w:r>
          </w:p>
        </w:tc>
        <w:tc>
          <w:tcPr>
            <w:tcW w:w="683" w:type="pct"/>
            <w:tcBorders>
              <w:top w:val="nil"/>
              <w:left w:val="nil"/>
              <w:bottom w:val="nil"/>
              <w:right w:val="nil"/>
            </w:tcBorders>
            <w:shd w:val="clear" w:color="auto" w:fill="FFFFFF"/>
            <w:tcMar>
              <w:top w:w="80" w:type="dxa"/>
              <w:left w:w="80" w:type="dxa"/>
              <w:bottom w:w="80" w:type="dxa"/>
              <w:right w:w="80" w:type="dxa"/>
            </w:tcMar>
            <w:vAlign w:val="center"/>
          </w:tcPr>
          <w:p w14:paraId="0F86EBAA">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否</w:t>
            </w:r>
          </w:p>
        </w:tc>
        <w:tc>
          <w:tcPr>
            <w:tcW w:w="719" w:type="pct"/>
            <w:tcBorders>
              <w:top w:val="nil"/>
              <w:left w:val="nil"/>
              <w:bottom w:val="nil"/>
              <w:right w:val="nil"/>
            </w:tcBorders>
            <w:shd w:val="clear" w:color="auto" w:fill="FFFFFF"/>
            <w:tcMar>
              <w:top w:w="80" w:type="dxa"/>
              <w:left w:w="80" w:type="dxa"/>
              <w:bottom w:w="80" w:type="dxa"/>
              <w:right w:w="80" w:type="dxa"/>
            </w:tcMar>
            <w:vAlign w:val="center"/>
          </w:tcPr>
          <w:p w14:paraId="460BA436">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1-1-0-1</w:t>
            </w:r>
          </w:p>
        </w:tc>
        <w:tc>
          <w:tcPr>
            <w:tcW w:w="647" w:type="pct"/>
            <w:tcBorders>
              <w:top w:val="nil"/>
              <w:left w:val="nil"/>
              <w:bottom w:val="nil"/>
              <w:right w:val="nil"/>
            </w:tcBorders>
            <w:shd w:val="clear" w:color="auto" w:fill="FFFFFF"/>
            <w:tcMar>
              <w:top w:w="80" w:type="dxa"/>
              <w:left w:w="80" w:type="dxa"/>
              <w:bottom w:w="80" w:type="dxa"/>
              <w:right w:w="80" w:type="dxa"/>
            </w:tcMar>
            <w:vAlign w:val="center"/>
          </w:tcPr>
          <w:p w14:paraId="47A78216">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-0.8912</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00365100">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0.0101</w:t>
            </w:r>
          </w:p>
        </w:tc>
        <w:tc>
          <w:tcPr>
            <w:tcW w:w="682" w:type="pct"/>
            <w:tcBorders>
              <w:top w:val="nil"/>
              <w:left w:val="nil"/>
              <w:bottom w:val="nil"/>
              <w:right w:val="nil"/>
            </w:tcBorders>
            <w:shd w:val="clear" w:color="auto" w:fill="FFFFFF"/>
            <w:tcMar>
              <w:top w:w="80" w:type="dxa"/>
              <w:left w:w="80" w:type="dxa"/>
              <w:bottom w:w="80" w:type="dxa"/>
              <w:right w:w="80" w:type="dxa"/>
            </w:tcMar>
            <w:vAlign w:val="center"/>
          </w:tcPr>
          <w:p w14:paraId="3ECE19A8">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0.6500</w:t>
            </w:r>
          </w:p>
        </w:tc>
        <w:tc>
          <w:tcPr>
            <w:tcW w:w="513" w:type="pct"/>
            <w:tcBorders>
              <w:top w:val="nil"/>
              <w:left w:val="nil"/>
              <w:bottom w:val="nil"/>
              <w:right w:val="nil"/>
            </w:tcBorders>
            <w:shd w:val="clear" w:color="auto" w:fill="FFFFFF"/>
            <w:tcMar>
              <w:top w:w="80" w:type="dxa"/>
              <w:left w:w="80" w:type="dxa"/>
              <w:bottom w:w="80" w:type="dxa"/>
              <w:right w:w="80" w:type="dxa"/>
            </w:tcMar>
            <w:vAlign w:val="center"/>
          </w:tcPr>
          <w:p w14:paraId="03BB25C4">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0.50</w:t>
            </w:r>
          </w:p>
        </w:tc>
        <w:tc>
          <w:tcPr>
            <w:tcW w:w="732" w:type="pct"/>
            <w:tcBorders>
              <w:top w:val="nil"/>
              <w:left w:val="nil"/>
              <w:bottom w:val="nil"/>
              <w:right w:val="nil"/>
            </w:tcBorders>
            <w:shd w:val="clear" w:color="auto" w:fill="FFFFFF"/>
            <w:tcMar>
              <w:top w:w="80" w:type="dxa"/>
              <w:left w:w="80" w:type="dxa"/>
              <w:bottom w:w="80" w:type="dxa"/>
              <w:right w:w="80" w:type="dxa"/>
            </w:tcMar>
            <w:vAlign w:val="center"/>
          </w:tcPr>
          <w:p w14:paraId="6C2892B3">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0.0051</w:t>
            </w:r>
          </w:p>
        </w:tc>
      </w:tr>
      <w:tr w14:paraId="045E5B7B">
        <w:tblPrEx>
          <w:tblCellMar>
            <w:top w:w="0" w:type="dxa"/>
            <w:left w:w="0" w:type="dxa"/>
            <w:bottom w:w="0" w:type="dxa"/>
            <w:right w:w="0" w:type="dxa"/>
          </w:tblCellMar>
        </w:tblPrEx>
        <w:trPr>
          <w:jc w:val="center"/>
        </w:trPr>
        <w:tc>
          <w:tcPr>
            <w:tcW w:w="511"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BD7FC66">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5</w:t>
            </w:r>
          </w:p>
        </w:tc>
        <w:tc>
          <w:tcPr>
            <w:tcW w:w="68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17FA8D07">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否</w:t>
            </w:r>
          </w:p>
        </w:tc>
        <w:tc>
          <w:tcPr>
            <w:tcW w:w="719"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02011353">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0-2-0-0</w:t>
            </w:r>
          </w:p>
        </w:tc>
        <w:tc>
          <w:tcPr>
            <w:tcW w:w="647"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7E4EF917">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-0.8199</w:t>
            </w:r>
          </w:p>
        </w:tc>
        <w:tc>
          <w:tcPr>
            <w:tcW w:w="51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6B6F26D">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0.0162</w:t>
            </w:r>
          </w:p>
        </w:tc>
        <w:tc>
          <w:tcPr>
            <w:tcW w:w="682"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237F0EF3">
            <w:pPr>
              <w:widowControl/>
              <w:spacing w:before="100" w:beforeAutospacing="1" w:after="100" w:afterAutospacing="1" w:line="288" w:lineRule="auto"/>
              <w:jc w:val="center"/>
              <w:rPr>
                <w:rFonts w:eastAsia="宋体" w:cs="Times New Roman"/>
                <w:color w:val="000000"/>
                <w:kern w:val="0"/>
                <w:sz w:val="21"/>
                <w:szCs w:val="21"/>
              </w:rPr>
            </w:pPr>
            <w:r>
              <w:rPr>
                <w:rFonts w:eastAsia="宋体" w:cs="Times New Roman"/>
                <w:color w:val="000000"/>
                <w:kern w:val="0"/>
                <w:sz w:val="21"/>
                <w:szCs w:val="21"/>
              </w:rPr>
              <w:t>0.6000</w:t>
            </w:r>
          </w:p>
        </w:tc>
        <w:tc>
          <w:tcPr>
            <w:tcW w:w="513"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5C6D4177">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0.81</w:t>
            </w:r>
          </w:p>
        </w:tc>
        <w:tc>
          <w:tcPr>
            <w:tcW w:w="732" w:type="pct"/>
            <w:tcBorders>
              <w:top w:val="nil"/>
              <w:left w:val="nil"/>
              <w:bottom w:val="single" w:color="000000" w:sz="12" w:space="0"/>
              <w:right w:val="nil"/>
            </w:tcBorders>
            <w:shd w:val="clear" w:color="auto" w:fill="FFFFFF"/>
            <w:tcMar>
              <w:top w:w="80" w:type="dxa"/>
              <w:left w:w="80" w:type="dxa"/>
              <w:bottom w:w="80" w:type="dxa"/>
              <w:right w:w="80" w:type="dxa"/>
            </w:tcMar>
            <w:vAlign w:val="center"/>
          </w:tcPr>
          <w:p w14:paraId="3D1C5E67">
            <w:pPr>
              <w:widowControl/>
              <w:spacing w:before="100" w:beforeAutospacing="1" w:after="100" w:afterAutospacing="1" w:line="288" w:lineRule="auto"/>
              <w:jc w:val="center"/>
              <w:rPr>
                <w:rFonts w:eastAsia="宋体" w:cs="Times New Roman"/>
                <w:color w:val="000000"/>
                <w:kern w:val="0"/>
                <w:sz w:val="21"/>
                <w:szCs w:val="21"/>
              </w:rPr>
            </w:pPr>
            <w:r>
              <w:rPr>
                <w:rFonts w:hint="eastAsia" w:eastAsia="宋体" w:cs="Times New Roman"/>
                <w:color w:val="000000"/>
                <w:kern w:val="0"/>
                <w:sz w:val="21"/>
                <w:szCs w:val="21"/>
              </w:rPr>
              <w:t>0.2883</w:t>
            </w:r>
          </w:p>
        </w:tc>
      </w:tr>
    </w:tbl>
    <w:p w14:paraId="1B664A7D">
      <w:pPr>
        <w:spacing w:before="156" w:beforeLines="50"/>
        <w:ind w:firstLine="480" w:firstLineChars="200"/>
        <w:jc w:val="center"/>
      </w:pPr>
      <w:r>
        <w:drawing>
          <wp:inline distT="0" distB="0" distL="0" distR="0">
            <wp:extent cx="2987675" cy="2552700"/>
            <wp:effectExtent l="0" t="0" r="0" b="0"/>
            <wp:docPr id="20587463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46320" name="图片 4"/>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a:xfrm>
                      <a:off x="0" y="0"/>
                      <a:ext cx="3022314" cy="2582074"/>
                    </a:xfrm>
                    <a:prstGeom prst="rect">
                      <a:avLst/>
                    </a:prstGeom>
                    <a:noFill/>
                    <a:ln>
                      <a:noFill/>
                    </a:ln>
                  </pic:spPr>
                </pic:pic>
              </a:graphicData>
            </a:graphic>
          </wp:inline>
        </w:drawing>
      </w:r>
    </w:p>
    <w:p w14:paraId="7C0C169D">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4.4 后验选择关键指标对比图</w:t>
      </w:r>
    </w:p>
    <w:p w14:paraId="627B666D">
      <w:pPr>
        <w:ind w:firstLine="480" w:firstLineChars="200"/>
      </w:pPr>
      <w:r>
        <w:t>从表4.</w:t>
      </w:r>
      <w:r>
        <w:rPr>
          <w:rFonts w:hint="eastAsia"/>
        </w:rPr>
        <w:t>2及图4.4中</w:t>
      </w:r>
      <w:r>
        <w:t>可以看出，最终选择结果并不是由某一项指标单独决定，而是在先验偏好与前瞻评估共同作用下形成的。以计划3为例，其预测不确定性和累计代价并非所有候选计划中最优，</w:t>
      </w:r>
      <w:r>
        <w:rPr>
          <w:rFonts w:hint="eastAsia"/>
        </w:rPr>
        <w:t>但是其综合收益与先验偏好均较优，因此综合权衡后成为最优选择</w:t>
      </w:r>
      <w:r>
        <w:t>。</w:t>
      </w:r>
      <w:r>
        <w:rPr>
          <w:rFonts w:hint="eastAsia"/>
        </w:rPr>
        <w:t>而其他</w:t>
      </w:r>
      <w:r>
        <w:t>候选计划虽然在预测不确定性或累计代价上具有一定优势，但</w:t>
      </w:r>
      <w:r>
        <w:rPr>
          <w:rFonts w:hint="eastAsia"/>
        </w:rPr>
        <w:t>其</w:t>
      </w:r>
      <w:r>
        <w:t>先验偏好较低</w:t>
      </w:r>
      <w:r>
        <w:rPr>
          <w:rFonts w:hint="eastAsia"/>
        </w:rPr>
        <w:t>、</w:t>
      </w:r>
      <w:r>
        <w:t>前瞻收益相对较弱，因而不会被最终选中。由此可见，本文所采用的后验选择</w:t>
      </w:r>
      <w:r>
        <w:rPr>
          <w:rFonts w:hint="eastAsia"/>
        </w:rPr>
        <w:t>方法</w:t>
      </w:r>
      <w:r>
        <w:t>并不是对LLM先验结果的直接沿用</w:t>
      </w:r>
      <w:r>
        <w:rPr>
          <w:rFonts w:hint="eastAsia"/>
        </w:rPr>
        <w:t>或根据</w:t>
      </w:r>
      <w:r>
        <w:t>前瞻评估的结果进行决策，而是在综合比较候选计划后作出最终选择。</w:t>
      </w:r>
    </w:p>
    <w:p w14:paraId="2EBF2330">
      <w:pPr>
        <w:ind w:firstLine="480" w:firstLineChars="200"/>
      </w:pPr>
      <w:r>
        <w:t>为进一步</w:t>
      </w:r>
      <w:r>
        <w:rPr>
          <w:rFonts w:hint="eastAsia"/>
        </w:rPr>
        <w:t>体现</w:t>
      </w:r>
      <w:r>
        <w:t>后验选择策略在收益与代价之间的权衡情况，本文对候选计划在实验过程中的综合收益与累计代价进行可视化展示，结果如图4.</w:t>
      </w:r>
      <w:r>
        <w:rPr>
          <w:rFonts w:hint="eastAsia"/>
        </w:rPr>
        <w:t>5</w:t>
      </w:r>
      <w:r>
        <w:t>所示。</w:t>
      </w:r>
    </w:p>
    <w:p w14:paraId="30D80A8F">
      <w:pPr>
        <w:jc w:val="center"/>
      </w:pPr>
      <w:r>
        <w:drawing>
          <wp:inline distT="0" distB="0" distL="0" distR="0">
            <wp:extent cx="3343275" cy="2501265"/>
            <wp:effectExtent l="0" t="0" r="0" b="0"/>
            <wp:docPr id="192258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8457" name="图片 2"/>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a:xfrm>
                      <a:off x="0" y="0"/>
                      <a:ext cx="3358130" cy="2512735"/>
                    </a:xfrm>
                    <a:prstGeom prst="rect">
                      <a:avLst/>
                    </a:prstGeom>
                    <a:noFill/>
                    <a:ln>
                      <a:noFill/>
                    </a:ln>
                  </pic:spPr>
                </pic:pic>
              </a:graphicData>
            </a:graphic>
          </wp:inline>
        </w:drawing>
      </w:r>
    </w:p>
    <w:p w14:paraId="155D4D83">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4.5</w:t>
      </w:r>
      <w:r>
        <w:rPr>
          <w:rFonts w:cs="Times New Roman"/>
          <w:sz w:val="21"/>
          <w:szCs w:val="21"/>
        </w:rPr>
        <w:t xml:space="preserve"> </w:t>
      </w:r>
      <w:r>
        <w:rPr>
          <w:rFonts w:hint="eastAsia" w:cs="Times New Roman"/>
          <w:sz w:val="21"/>
          <w:szCs w:val="21"/>
        </w:rPr>
        <w:t>选择策略的收益-代价图</w:t>
      </w:r>
    </w:p>
    <w:p w14:paraId="697B6993">
      <w:pPr>
        <w:ind w:firstLine="480" w:firstLineChars="200"/>
      </w:pPr>
      <w:r>
        <w:t>从图4.</w:t>
      </w:r>
      <w:r>
        <w:rPr>
          <w:rFonts w:hint="eastAsia"/>
        </w:rPr>
        <w:t>5中</w:t>
      </w:r>
      <w:r>
        <w:t>可以看出，被选择的策略整体更多</w:t>
      </w:r>
      <w:r>
        <w:rPr>
          <w:rFonts w:hint="eastAsia"/>
        </w:rPr>
        <w:t>地</w:t>
      </w:r>
      <w:r>
        <w:t>分布在收益较高且代价相对可控的区域，而未被选择的策略则更多表现为收益较低，</w:t>
      </w:r>
      <w:r>
        <w:rPr>
          <w:rFonts w:hint="eastAsia"/>
        </w:rPr>
        <w:t>或者虽然</w:t>
      </w:r>
      <w:r>
        <w:t>具有一定收益但代价相对偏高。</w:t>
      </w:r>
      <w:r>
        <w:rPr>
          <w:rFonts w:hint="eastAsia"/>
        </w:rPr>
        <w:t>这表明</w:t>
      </w:r>
      <w:r>
        <w:t>后验选择</w:t>
      </w:r>
      <w:r>
        <w:rPr>
          <w:rFonts w:hint="eastAsia"/>
        </w:rPr>
        <w:t>不是只追求</w:t>
      </w:r>
      <w:r>
        <w:t>更高收益或更低代价，而是在综合权衡后完成策略</w:t>
      </w:r>
      <w:r>
        <w:rPr>
          <w:rFonts w:hint="eastAsia"/>
        </w:rPr>
        <w:t>选择</w:t>
      </w:r>
      <w:r>
        <w:t>。</w:t>
      </w:r>
    </w:p>
    <w:p w14:paraId="3426C67F">
      <w:pPr>
        <w:ind w:firstLine="482" w:firstLineChars="200"/>
        <w:rPr>
          <w:b/>
          <w:bCs/>
        </w:rPr>
      </w:pPr>
      <w:r>
        <w:rPr>
          <w:rFonts w:hint="eastAsia"/>
          <w:b/>
          <w:bCs/>
        </w:rPr>
        <w:t>（3）各区域检测结果</w:t>
      </w:r>
    </w:p>
    <w:p w14:paraId="4E99BE84">
      <w:pPr>
        <w:ind w:firstLine="480" w:firstLineChars="200"/>
      </w:pPr>
      <w:r>
        <w:rPr>
          <w:rFonts w:hint="eastAsia"/>
        </w:rPr>
        <w:t>为验证本文方法在不同区域场景下的检测效果，本文分别在Region 0至Region 3上进行了实验，并计算其平均结果作为LWM-RL方法的检测效果，实验结果如表4.3所示。</w:t>
      </w:r>
    </w:p>
    <w:p w14:paraId="7B2EB99F">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3</w:t>
      </w:r>
      <w:r>
        <w:rPr>
          <w:rFonts w:eastAsia="宋体" w:cs="Times New Roman"/>
          <w:sz w:val="21"/>
          <w:szCs w:val="21"/>
        </w:rPr>
        <w:t xml:space="preserve"> </w:t>
      </w:r>
      <w:r>
        <w:rPr>
          <w:rFonts w:hint="eastAsia" w:eastAsia="宋体" w:cs="Times New Roman"/>
          <w:sz w:val="21"/>
          <w:szCs w:val="21"/>
        </w:rPr>
        <w:t>各区域检测实验结果</w:t>
      </w:r>
    </w:p>
    <w:tbl>
      <w:tblPr>
        <w:tblStyle w:val="19"/>
        <w:tblW w:w="85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1134"/>
        <w:gridCol w:w="1276"/>
        <w:gridCol w:w="1559"/>
        <w:gridCol w:w="1276"/>
        <w:gridCol w:w="1984"/>
      </w:tblGrid>
      <w:tr w14:paraId="0B9E59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12" w:space="0"/>
              <w:bottom w:val="single" w:color="auto" w:sz="4" w:space="0"/>
            </w:tcBorders>
          </w:tcPr>
          <w:p w14:paraId="4A9409A3">
            <w:pPr>
              <w:spacing w:line="288" w:lineRule="auto"/>
              <w:jc w:val="center"/>
              <w:rPr>
                <w:rFonts w:eastAsia="宋体" w:cs="Times New Roman"/>
                <w:sz w:val="21"/>
              </w:rPr>
            </w:pPr>
          </w:p>
        </w:tc>
        <w:tc>
          <w:tcPr>
            <w:tcW w:w="1134" w:type="dxa"/>
            <w:tcBorders>
              <w:top w:val="single" w:color="auto" w:sz="12" w:space="0"/>
              <w:bottom w:val="single" w:color="auto" w:sz="4" w:space="0"/>
            </w:tcBorders>
          </w:tcPr>
          <w:p w14:paraId="2C429C3D">
            <w:pPr>
              <w:spacing w:line="288" w:lineRule="auto"/>
              <w:jc w:val="center"/>
              <w:rPr>
                <w:rFonts w:eastAsia="宋体" w:cs="Times New Roman"/>
                <w:sz w:val="21"/>
              </w:rPr>
            </w:pPr>
            <w:r>
              <w:rPr>
                <w:rFonts w:hint="eastAsia" w:eastAsia="宋体" w:cs="Times New Roman"/>
                <w:sz w:val="21"/>
                <w:szCs w:val="21"/>
              </w:rPr>
              <w:t>平均回报</w:t>
            </w:r>
          </w:p>
        </w:tc>
        <w:tc>
          <w:tcPr>
            <w:tcW w:w="1276" w:type="dxa"/>
            <w:tcBorders>
              <w:top w:val="single" w:color="auto" w:sz="12" w:space="0"/>
              <w:bottom w:val="single" w:color="auto" w:sz="4" w:space="0"/>
            </w:tcBorders>
          </w:tcPr>
          <w:p w14:paraId="1270AAD4">
            <w:pPr>
              <w:spacing w:line="288" w:lineRule="auto"/>
              <w:jc w:val="center"/>
              <w:rPr>
                <w:rFonts w:eastAsia="宋体" w:cs="Times New Roman"/>
                <w:sz w:val="21"/>
              </w:rPr>
            </w:pPr>
            <w:r>
              <w:rPr>
                <w:rFonts w:hint="eastAsia" w:eastAsia="宋体" w:cs="Times New Roman"/>
                <w:sz w:val="21"/>
                <w:szCs w:val="21"/>
              </w:rPr>
              <w:t>回报标准差</w:t>
            </w:r>
          </w:p>
        </w:tc>
        <w:tc>
          <w:tcPr>
            <w:tcW w:w="1559" w:type="dxa"/>
            <w:tcBorders>
              <w:top w:val="single" w:color="auto" w:sz="12" w:space="0"/>
              <w:bottom w:val="single" w:color="auto" w:sz="4" w:space="0"/>
            </w:tcBorders>
          </w:tcPr>
          <w:p w14:paraId="07563241">
            <w:pPr>
              <w:spacing w:line="288" w:lineRule="auto"/>
              <w:jc w:val="center"/>
              <w:rPr>
                <w:rFonts w:eastAsia="宋体" w:cs="Times New Roman"/>
                <w:sz w:val="21"/>
              </w:rPr>
            </w:pPr>
            <w:r>
              <w:rPr>
                <w:rFonts w:hint="eastAsia" w:eastAsia="宋体" w:cs="Times New Roman"/>
                <w:sz w:val="21"/>
                <w:szCs w:val="21"/>
              </w:rPr>
              <w:t>平均恢复时间</w:t>
            </w:r>
          </w:p>
        </w:tc>
        <w:tc>
          <w:tcPr>
            <w:tcW w:w="1276" w:type="dxa"/>
            <w:tcBorders>
              <w:top w:val="single" w:color="auto" w:sz="12" w:space="0"/>
              <w:bottom w:val="single" w:color="auto" w:sz="4" w:space="0"/>
            </w:tcBorders>
          </w:tcPr>
          <w:p w14:paraId="10D293AD">
            <w:pPr>
              <w:spacing w:line="288" w:lineRule="auto"/>
              <w:jc w:val="center"/>
              <w:rPr>
                <w:rFonts w:eastAsia="宋体" w:cs="Times New Roman"/>
                <w:sz w:val="21"/>
              </w:rPr>
            </w:pPr>
            <w:r>
              <w:rPr>
                <w:rFonts w:hint="eastAsia" w:eastAsia="宋体" w:cs="Times New Roman"/>
                <w:sz w:val="21"/>
                <w:szCs w:val="21"/>
              </w:rPr>
              <w:t>恢复精确率</w:t>
            </w:r>
          </w:p>
        </w:tc>
        <w:tc>
          <w:tcPr>
            <w:tcW w:w="1984" w:type="dxa"/>
            <w:tcBorders>
              <w:top w:val="single" w:color="auto" w:sz="12" w:space="0"/>
              <w:bottom w:val="single" w:color="auto" w:sz="4" w:space="0"/>
            </w:tcBorders>
          </w:tcPr>
          <w:p w14:paraId="7977FFD4">
            <w:pPr>
              <w:spacing w:line="288" w:lineRule="auto"/>
              <w:jc w:val="center"/>
              <w:rPr>
                <w:rFonts w:eastAsia="宋体" w:cs="Times New Roman"/>
                <w:sz w:val="21"/>
              </w:rPr>
            </w:pPr>
            <w:r>
              <w:rPr>
                <w:rFonts w:hint="eastAsia" w:eastAsia="宋体" w:cs="Times New Roman"/>
                <w:sz w:val="21"/>
                <w:szCs w:val="21"/>
              </w:rPr>
              <w:t>平均预警提前步数</w:t>
            </w:r>
          </w:p>
        </w:tc>
      </w:tr>
      <w:tr w14:paraId="237024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4" w:space="0"/>
            </w:tcBorders>
          </w:tcPr>
          <w:p w14:paraId="54E63720">
            <w:pPr>
              <w:spacing w:line="288" w:lineRule="auto"/>
              <w:jc w:val="center"/>
              <w:rPr>
                <w:rFonts w:eastAsia="宋体" w:cs="Times New Roman"/>
                <w:sz w:val="21"/>
              </w:rPr>
            </w:pPr>
            <w:r>
              <w:rPr>
                <w:rFonts w:eastAsia="宋体" w:cs="宋体"/>
                <w:kern w:val="0"/>
                <w:sz w:val="21"/>
                <w:szCs w:val="21"/>
              </w:rPr>
              <w:t>R</w:t>
            </w:r>
            <w:r>
              <w:rPr>
                <w:rFonts w:hint="eastAsia" w:eastAsia="宋体" w:cs="宋体"/>
                <w:kern w:val="0"/>
                <w:sz w:val="21"/>
                <w:szCs w:val="21"/>
              </w:rPr>
              <w:t>egion 0</w:t>
            </w:r>
          </w:p>
        </w:tc>
        <w:tc>
          <w:tcPr>
            <w:tcW w:w="1134" w:type="dxa"/>
            <w:tcBorders>
              <w:top w:val="single" w:color="auto" w:sz="4" w:space="0"/>
            </w:tcBorders>
          </w:tcPr>
          <w:p w14:paraId="1EDDA3B0">
            <w:pPr>
              <w:spacing w:line="288" w:lineRule="auto"/>
              <w:jc w:val="center"/>
              <w:rPr>
                <w:rFonts w:eastAsia="宋体" w:cs="Times New Roman"/>
                <w:sz w:val="21"/>
              </w:rPr>
            </w:pPr>
            <w:r>
              <w:rPr>
                <w:rFonts w:hint="eastAsia" w:eastAsia="宋体" w:cs="Times New Roman"/>
                <w:sz w:val="21"/>
              </w:rPr>
              <w:t>-125.44</w:t>
            </w:r>
          </w:p>
        </w:tc>
        <w:tc>
          <w:tcPr>
            <w:tcW w:w="1276" w:type="dxa"/>
            <w:tcBorders>
              <w:top w:val="single" w:color="auto" w:sz="4" w:space="0"/>
            </w:tcBorders>
          </w:tcPr>
          <w:p w14:paraId="37DD6158">
            <w:pPr>
              <w:spacing w:line="288" w:lineRule="auto"/>
              <w:jc w:val="center"/>
              <w:rPr>
                <w:rFonts w:eastAsia="宋体" w:cs="Times New Roman"/>
                <w:sz w:val="21"/>
              </w:rPr>
            </w:pPr>
            <w:r>
              <w:rPr>
                <w:rFonts w:hint="eastAsia" w:eastAsia="宋体" w:cs="Times New Roman"/>
                <w:sz w:val="21"/>
              </w:rPr>
              <w:t>51.93</w:t>
            </w:r>
          </w:p>
        </w:tc>
        <w:tc>
          <w:tcPr>
            <w:tcW w:w="1559" w:type="dxa"/>
            <w:tcBorders>
              <w:top w:val="single" w:color="auto" w:sz="4" w:space="0"/>
            </w:tcBorders>
          </w:tcPr>
          <w:p w14:paraId="42EC2E9B">
            <w:pPr>
              <w:spacing w:line="288" w:lineRule="auto"/>
              <w:jc w:val="center"/>
              <w:rPr>
                <w:rFonts w:eastAsia="宋体" w:cs="Times New Roman"/>
                <w:sz w:val="21"/>
              </w:rPr>
            </w:pPr>
            <w:r>
              <w:rPr>
                <w:rFonts w:hint="eastAsia" w:eastAsia="宋体" w:cs="Times New Roman"/>
                <w:sz w:val="21"/>
              </w:rPr>
              <w:t>43.56</w:t>
            </w:r>
          </w:p>
        </w:tc>
        <w:tc>
          <w:tcPr>
            <w:tcW w:w="1276" w:type="dxa"/>
            <w:tcBorders>
              <w:top w:val="single" w:color="auto" w:sz="4" w:space="0"/>
            </w:tcBorders>
          </w:tcPr>
          <w:p w14:paraId="79C4CEA4">
            <w:pPr>
              <w:spacing w:line="288" w:lineRule="auto"/>
              <w:jc w:val="center"/>
              <w:rPr>
                <w:rFonts w:eastAsia="宋体" w:cs="Times New Roman"/>
                <w:sz w:val="21"/>
              </w:rPr>
            </w:pPr>
            <w:r>
              <w:rPr>
                <w:rFonts w:hint="eastAsia" w:eastAsia="宋体" w:cs="Times New Roman"/>
                <w:sz w:val="21"/>
              </w:rPr>
              <w:t>0.63</w:t>
            </w:r>
          </w:p>
        </w:tc>
        <w:tc>
          <w:tcPr>
            <w:tcW w:w="1984" w:type="dxa"/>
            <w:tcBorders>
              <w:top w:val="single" w:color="auto" w:sz="4" w:space="0"/>
            </w:tcBorders>
          </w:tcPr>
          <w:p w14:paraId="0E385DB8">
            <w:pPr>
              <w:spacing w:line="288" w:lineRule="auto"/>
              <w:jc w:val="center"/>
              <w:rPr>
                <w:rFonts w:eastAsia="宋体" w:cs="Times New Roman"/>
                <w:sz w:val="21"/>
              </w:rPr>
            </w:pPr>
            <w:r>
              <w:rPr>
                <w:rFonts w:hint="eastAsia" w:eastAsia="宋体" w:cs="Times New Roman"/>
                <w:sz w:val="21"/>
              </w:rPr>
              <w:t>48.74</w:t>
            </w:r>
          </w:p>
        </w:tc>
      </w:tr>
      <w:tr w14:paraId="3B00DF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202D6A40">
            <w:pPr>
              <w:spacing w:line="288" w:lineRule="auto"/>
              <w:jc w:val="center"/>
              <w:rPr>
                <w:rFonts w:eastAsia="宋体" w:cs="Times New Roman"/>
                <w:sz w:val="21"/>
              </w:rPr>
            </w:pPr>
            <w:r>
              <w:rPr>
                <w:rFonts w:eastAsia="宋体" w:cs="Times New Roman"/>
                <w:sz w:val="21"/>
              </w:rPr>
              <w:t>R</w:t>
            </w:r>
            <w:r>
              <w:rPr>
                <w:rFonts w:hint="eastAsia" w:eastAsia="宋体" w:cs="Times New Roman"/>
                <w:sz w:val="21"/>
              </w:rPr>
              <w:t>egion 1</w:t>
            </w:r>
          </w:p>
        </w:tc>
        <w:tc>
          <w:tcPr>
            <w:tcW w:w="1134" w:type="dxa"/>
          </w:tcPr>
          <w:p w14:paraId="0951EFA5">
            <w:pPr>
              <w:spacing w:line="288" w:lineRule="auto"/>
              <w:jc w:val="center"/>
              <w:rPr>
                <w:rFonts w:eastAsia="宋体" w:cs="Times New Roman"/>
                <w:sz w:val="21"/>
              </w:rPr>
            </w:pPr>
            <w:r>
              <w:rPr>
                <w:rFonts w:hint="eastAsia" w:eastAsia="宋体" w:cs="Times New Roman"/>
                <w:sz w:val="21"/>
              </w:rPr>
              <w:t>-124.23</w:t>
            </w:r>
          </w:p>
        </w:tc>
        <w:tc>
          <w:tcPr>
            <w:tcW w:w="1276" w:type="dxa"/>
          </w:tcPr>
          <w:p w14:paraId="276350FA">
            <w:pPr>
              <w:spacing w:line="288" w:lineRule="auto"/>
              <w:jc w:val="center"/>
              <w:rPr>
                <w:rFonts w:eastAsia="宋体" w:cs="Times New Roman"/>
                <w:sz w:val="21"/>
              </w:rPr>
            </w:pPr>
            <w:r>
              <w:rPr>
                <w:rFonts w:hint="eastAsia" w:eastAsia="宋体" w:cs="Times New Roman"/>
                <w:sz w:val="21"/>
              </w:rPr>
              <w:t>50.76</w:t>
            </w:r>
          </w:p>
        </w:tc>
        <w:tc>
          <w:tcPr>
            <w:tcW w:w="1559" w:type="dxa"/>
          </w:tcPr>
          <w:p w14:paraId="28265DF7">
            <w:pPr>
              <w:spacing w:line="288" w:lineRule="auto"/>
              <w:jc w:val="center"/>
              <w:rPr>
                <w:rFonts w:eastAsia="宋体" w:cs="Times New Roman"/>
                <w:sz w:val="21"/>
              </w:rPr>
            </w:pPr>
            <w:r>
              <w:rPr>
                <w:rFonts w:hint="eastAsia" w:eastAsia="宋体" w:cs="Times New Roman"/>
                <w:sz w:val="21"/>
              </w:rPr>
              <w:t>42.19</w:t>
            </w:r>
          </w:p>
        </w:tc>
        <w:tc>
          <w:tcPr>
            <w:tcW w:w="1276" w:type="dxa"/>
          </w:tcPr>
          <w:p w14:paraId="62EF89B8">
            <w:pPr>
              <w:spacing w:line="288" w:lineRule="auto"/>
              <w:jc w:val="center"/>
              <w:rPr>
                <w:rFonts w:eastAsia="宋体" w:cs="Times New Roman"/>
                <w:sz w:val="21"/>
              </w:rPr>
            </w:pPr>
            <w:r>
              <w:rPr>
                <w:rFonts w:hint="eastAsia" w:eastAsia="宋体" w:cs="Times New Roman"/>
                <w:sz w:val="21"/>
              </w:rPr>
              <w:t>0.65</w:t>
            </w:r>
          </w:p>
        </w:tc>
        <w:tc>
          <w:tcPr>
            <w:tcW w:w="1984" w:type="dxa"/>
          </w:tcPr>
          <w:p w14:paraId="1A835281">
            <w:pPr>
              <w:spacing w:line="288" w:lineRule="auto"/>
              <w:jc w:val="center"/>
              <w:rPr>
                <w:rFonts w:eastAsia="宋体" w:cs="Times New Roman"/>
                <w:sz w:val="21"/>
              </w:rPr>
            </w:pPr>
            <w:r>
              <w:rPr>
                <w:rFonts w:hint="eastAsia" w:eastAsia="宋体" w:cs="Times New Roman"/>
                <w:sz w:val="21"/>
              </w:rPr>
              <w:t>51.25</w:t>
            </w:r>
          </w:p>
        </w:tc>
      </w:tr>
      <w:tr w14:paraId="7240D6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2B8EEE63">
            <w:pPr>
              <w:spacing w:line="288" w:lineRule="auto"/>
              <w:jc w:val="center"/>
              <w:rPr>
                <w:rFonts w:eastAsia="宋体" w:cs="Times New Roman"/>
                <w:sz w:val="21"/>
              </w:rPr>
            </w:pPr>
            <w:r>
              <w:rPr>
                <w:rFonts w:eastAsia="宋体" w:cs="Times New Roman"/>
                <w:sz w:val="21"/>
              </w:rPr>
              <w:t>R</w:t>
            </w:r>
            <w:r>
              <w:rPr>
                <w:rFonts w:hint="eastAsia" w:eastAsia="宋体" w:cs="Times New Roman"/>
                <w:sz w:val="21"/>
              </w:rPr>
              <w:t xml:space="preserve">egion </w:t>
            </w:r>
            <w:r>
              <w:rPr>
                <w:rFonts w:hint="eastAsia" w:eastAsia="宋体" w:cs="Times New Roman"/>
                <w:sz w:val="21"/>
                <w:szCs w:val="21"/>
              </w:rPr>
              <w:t>2</w:t>
            </w:r>
          </w:p>
        </w:tc>
        <w:tc>
          <w:tcPr>
            <w:tcW w:w="1134" w:type="dxa"/>
          </w:tcPr>
          <w:p w14:paraId="255C24D5">
            <w:pPr>
              <w:spacing w:line="288" w:lineRule="auto"/>
              <w:jc w:val="center"/>
              <w:rPr>
                <w:rFonts w:eastAsia="宋体" w:cs="Times New Roman"/>
                <w:sz w:val="21"/>
              </w:rPr>
            </w:pPr>
            <w:r>
              <w:rPr>
                <w:rFonts w:hint="eastAsia" w:eastAsia="宋体" w:cs="Times New Roman"/>
                <w:sz w:val="21"/>
              </w:rPr>
              <w:t>-130.19</w:t>
            </w:r>
          </w:p>
        </w:tc>
        <w:tc>
          <w:tcPr>
            <w:tcW w:w="1276" w:type="dxa"/>
          </w:tcPr>
          <w:p w14:paraId="5AFDC330">
            <w:pPr>
              <w:spacing w:line="288" w:lineRule="auto"/>
              <w:jc w:val="center"/>
              <w:rPr>
                <w:rFonts w:eastAsia="宋体" w:cs="Times New Roman"/>
                <w:sz w:val="21"/>
              </w:rPr>
            </w:pPr>
            <w:r>
              <w:rPr>
                <w:rFonts w:hint="eastAsia" w:eastAsia="宋体" w:cs="Times New Roman"/>
                <w:sz w:val="21"/>
              </w:rPr>
              <w:t>55.91</w:t>
            </w:r>
          </w:p>
        </w:tc>
        <w:tc>
          <w:tcPr>
            <w:tcW w:w="1559" w:type="dxa"/>
          </w:tcPr>
          <w:p w14:paraId="5435F109">
            <w:pPr>
              <w:spacing w:line="288" w:lineRule="auto"/>
              <w:jc w:val="center"/>
              <w:rPr>
                <w:rFonts w:eastAsia="宋体" w:cs="Times New Roman"/>
                <w:sz w:val="21"/>
              </w:rPr>
            </w:pPr>
            <w:r>
              <w:rPr>
                <w:rFonts w:hint="eastAsia" w:eastAsia="宋体" w:cs="Times New Roman"/>
                <w:sz w:val="21"/>
              </w:rPr>
              <w:t>47.02</w:t>
            </w:r>
          </w:p>
        </w:tc>
        <w:tc>
          <w:tcPr>
            <w:tcW w:w="1276" w:type="dxa"/>
          </w:tcPr>
          <w:p w14:paraId="346CD5FD">
            <w:pPr>
              <w:spacing w:line="288" w:lineRule="auto"/>
              <w:jc w:val="center"/>
              <w:rPr>
                <w:rFonts w:eastAsia="宋体" w:cs="Times New Roman"/>
                <w:sz w:val="21"/>
              </w:rPr>
            </w:pPr>
            <w:r>
              <w:rPr>
                <w:rFonts w:hint="eastAsia" w:eastAsia="宋体" w:cs="Times New Roman"/>
                <w:sz w:val="21"/>
              </w:rPr>
              <w:t>0.58</w:t>
            </w:r>
          </w:p>
        </w:tc>
        <w:tc>
          <w:tcPr>
            <w:tcW w:w="1984" w:type="dxa"/>
          </w:tcPr>
          <w:p w14:paraId="4E5A1E14">
            <w:pPr>
              <w:spacing w:line="288" w:lineRule="auto"/>
              <w:jc w:val="center"/>
              <w:rPr>
                <w:rFonts w:eastAsia="宋体" w:cs="Times New Roman"/>
                <w:sz w:val="21"/>
              </w:rPr>
            </w:pPr>
            <w:r>
              <w:rPr>
                <w:rFonts w:hint="eastAsia" w:eastAsia="宋体" w:cs="Times New Roman"/>
                <w:sz w:val="21"/>
              </w:rPr>
              <w:t>47.10</w:t>
            </w:r>
          </w:p>
        </w:tc>
      </w:tr>
      <w:tr w14:paraId="58CA9D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3C82575B">
            <w:pPr>
              <w:spacing w:line="288" w:lineRule="auto"/>
              <w:jc w:val="center"/>
              <w:rPr>
                <w:rFonts w:eastAsia="宋体" w:cs="Times New Roman"/>
                <w:sz w:val="21"/>
              </w:rPr>
            </w:pPr>
            <w:r>
              <w:rPr>
                <w:rFonts w:hint="eastAsia" w:eastAsia="宋体" w:cs="Times New Roman"/>
                <w:sz w:val="21"/>
                <w:szCs w:val="21"/>
              </w:rPr>
              <w:t>Region 3</w:t>
            </w:r>
          </w:p>
        </w:tc>
        <w:tc>
          <w:tcPr>
            <w:tcW w:w="1134" w:type="dxa"/>
          </w:tcPr>
          <w:p w14:paraId="6F5E114D">
            <w:pPr>
              <w:spacing w:line="288" w:lineRule="auto"/>
              <w:jc w:val="center"/>
              <w:rPr>
                <w:rFonts w:eastAsia="宋体" w:cs="Times New Roman"/>
                <w:sz w:val="21"/>
              </w:rPr>
            </w:pPr>
            <w:r>
              <w:rPr>
                <w:rFonts w:hint="eastAsia" w:eastAsia="宋体" w:cs="Times New Roman"/>
                <w:sz w:val="21"/>
              </w:rPr>
              <w:t>-122.75</w:t>
            </w:r>
          </w:p>
        </w:tc>
        <w:tc>
          <w:tcPr>
            <w:tcW w:w="1276" w:type="dxa"/>
          </w:tcPr>
          <w:p w14:paraId="06CAAF9C">
            <w:pPr>
              <w:spacing w:line="288" w:lineRule="auto"/>
              <w:jc w:val="center"/>
              <w:rPr>
                <w:rFonts w:eastAsia="宋体" w:cs="Times New Roman"/>
                <w:sz w:val="21"/>
              </w:rPr>
            </w:pPr>
            <w:r>
              <w:rPr>
                <w:rFonts w:hint="eastAsia" w:eastAsia="宋体" w:cs="Times New Roman"/>
                <w:sz w:val="21"/>
              </w:rPr>
              <w:t>42.68</w:t>
            </w:r>
          </w:p>
        </w:tc>
        <w:tc>
          <w:tcPr>
            <w:tcW w:w="1559" w:type="dxa"/>
          </w:tcPr>
          <w:p w14:paraId="28BFB83C">
            <w:pPr>
              <w:spacing w:line="288" w:lineRule="auto"/>
              <w:jc w:val="center"/>
              <w:rPr>
                <w:rFonts w:eastAsia="宋体" w:cs="Times New Roman"/>
                <w:sz w:val="21"/>
              </w:rPr>
            </w:pPr>
            <w:r>
              <w:rPr>
                <w:rFonts w:hint="eastAsia" w:eastAsia="宋体" w:cs="Times New Roman"/>
                <w:sz w:val="21"/>
              </w:rPr>
              <w:t>38.71</w:t>
            </w:r>
          </w:p>
        </w:tc>
        <w:tc>
          <w:tcPr>
            <w:tcW w:w="1276" w:type="dxa"/>
          </w:tcPr>
          <w:p w14:paraId="5E0B90FD">
            <w:pPr>
              <w:spacing w:line="288" w:lineRule="auto"/>
              <w:jc w:val="center"/>
              <w:rPr>
                <w:rFonts w:eastAsia="宋体" w:cs="Times New Roman"/>
                <w:sz w:val="21"/>
              </w:rPr>
            </w:pPr>
            <w:r>
              <w:rPr>
                <w:rFonts w:hint="eastAsia" w:eastAsia="宋体" w:cs="Times New Roman"/>
                <w:sz w:val="21"/>
              </w:rPr>
              <w:t>0.67</w:t>
            </w:r>
          </w:p>
        </w:tc>
        <w:tc>
          <w:tcPr>
            <w:tcW w:w="1984" w:type="dxa"/>
          </w:tcPr>
          <w:p w14:paraId="7CC626C7">
            <w:pPr>
              <w:spacing w:line="288" w:lineRule="auto"/>
              <w:jc w:val="center"/>
              <w:rPr>
                <w:rFonts w:eastAsia="宋体" w:cs="Times New Roman"/>
                <w:sz w:val="21"/>
              </w:rPr>
            </w:pPr>
            <w:r>
              <w:rPr>
                <w:rFonts w:hint="eastAsia" w:eastAsia="宋体" w:cs="Times New Roman"/>
                <w:sz w:val="21"/>
              </w:rPr>
              <w:t>50.52</w:t>
            </w:r>
          </w:p>
        </w:tc>
      </w:tr>
      <w:tr w14:paraId="5E74DF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700BDEDA">
            <w:pPr>
              <w:spacing w:line="288" w:lineRule="auto"/>
              <w:jc w:val="center"/>
              <w:rPr>
                <w:rFonts w:eastAsia="宋体" w:cs="Times New Roman"/>
                <w:sz w:val="21"/>
              </w:rPr>
            </w:pPr>
            <w:r>
              <w:rPr>
                <w:rFonts w:hint="eastAsia" w:eastAsia="宋体" w:cs="宋体"/>
                <w:kern w:val="0"/>
                <w:sz w:val="21"/>
                <w:szCs w:val="21"/>
              </w:rPr>
              <w:t>LWM-RL</w:t>
            </w:r>
          </w:p>
        </w:tc>
        <w:tc>
          <w:tcPr>
            <w:tcW w:w="1134" w:type="dxa"/>
          </w:tcPr>
          <w:p w14:paraId="127131DB">
            <w:pPr>
              <w:spacing w:line="288" w:lineRule="auto"/>
              <w:jc w:val="center"/>
              <w:rPr>
                <w:rFonts w:eastAsia="宋体" w:cs="Times New Roman"/>
                <w:sz w:val="21"/>
              </w:rPr>
            </w:pPr>
            <w:r>
              <w:rPr>
                <w:rFonts w:hint="eastAsia" w:eastAsia="宋体" w:cs="Times New Roman"/>
                <w:sz w:val="21"/>
              </w:rPr>
              <w:t>-125.65</w:t>
            </w:r>
          </w:p>
        </w:tc>
        <w:tc>
          <w:tcPr>
            <w:tcW w:w="1276" w:type="dxa"/>
          </w:tcPr>
          <w:p w14:paraId="1B925E53">
            <w:pPr>
              <w:spacing w:line="288" w:lineRule="auto"/>
              <w:jc w:val="center"/>
              <w:rPr>
                <w:rFonts w:eastAsia="宋体" w:cs="Times New Roman"/>
                <w:sz w:val="21"/>
              </w:rPr>
            </w:pPr>
            <w:r>
              <w:rPr>
                <w:rFonts w:hint="eastAsia" w:eastAsia="宋体" w:cs="Times New Roman"/>
                <w:sz w:val="21"/>
              </w:rPr>
              <w:t>50.32</w:t>
            </w:r>
          </w:p>
        </w:tc>
        <w:tc>
          <w:tcPr>
            <w:tcW w:w="1559" w:type="dxa"/>
          </w:tcPr>
          <w:p w14:paraId="59395FBB">
            <w:pPr>
              <w:spacing w:line="288" w:lineRule="auto"/>
              <w:jc w:val="center"/>
              <w:rPr>
                <w:rFonts w:eastAsia="宋体" w:cs="Times New Roman"/>
                <w:sz w:val="21"/>
              </w:rPr>
            </w:pPr>
            <w:r>
              <w:rPr>
                <w:rFonts w:hint="eastAsia" w:eastAsia="宋体" w:cs="Times New Roman"/>
                <w:sz w:val="21"/>
              </w:rPr>
              <w:t>42.87</w:t>
            </w:r>
          </w:p>
        </w:tc>
        <w:tc>
          <w:tcPr>
            <w:tcW w:w="1276" w:type="dxa"/>
          </w:tcPr>
          <w:p w14:paraId="091A7103">
            <w:pPr>
              <w:spacing w:line="288" w:lineRule="auto"/>
              <w:jc w:val="center"/>
              <w:rPr>
                <w:rFonts w:eastAsia="宋体" w:cs="Times New Roman"/>
                <w:sz w:val="21"/>
              </w:rPr>
            </w:pPr>
            <w:r>
              <w:rPr>
                <w:rFonts w:hint="eastAsia" w:eastAsia="宋体" w:cs="Times New Roman"/>
                <w:sz w:val="21"/>
              </w:rPr>
              <w:t>0.63</w:t>
            </w:r>
          </w:p>
        </w:tc>
        <w:tc>
          <w:tcPr>
            <w:tcW w:w="1984" w:type="dxa"/>
          </w:tcPr>
          <w:p w14:paraId="566E3F07">
            <w:pPr>
              <w:spacing w:line="288" w:lineRule="auto"/>
              <w:jc w:val="center"/>
              <w:rPr>
                <w:rFonts w:eastAsia="宋体" w:cs="Times New Roman"/>
                <w:sz w:val="21"/>
              </w:rPr>
            </w:pPr>
            <w:r>
              <w:rPr>
                <w:rFonts w:hint="eastAsia" w:eastAsia="宋体" w:cs="Times New Roman"/>
                <w:sz w:val="21"/>
              </w:rPr>
              <w:t>49.40</w:t>
            </w:r>
          </w:p>
        </w:tc>
      </w:tr>
    </w:tbl>
    <w:p w14:paraId="07801CD6">
      <w:pPr>
        <w:spacing w:before="156" w:beforeLines="50"/>
        <w:ind w:firstLine="480"/>
      </w:pPr>
      <w:r>
        <w:rPr>
          <w:rFonts w:hint="eastAsia"/>
        </w:rPr>
        <w:t>从表4.3中可以看出，本文方法在四个区域上均取得较优的检测效果。从整体结果来看，Region 3的结果相对最优，Region 2的结果略弱，其他区域均处于稳定的水平。各区域检测结果出现一定波动的原因可能是不同区域在攻击行为演化、信息观测复杂度等方面存在差异；然而，方法在不同区域的整体波动较小，在不同区域保持较为稳定的检测性能，</w:t>
      </w:r>
      <w:r>
        <w:t>表明该方法在不同区域场景下具有较好的适用性与稳定性</w:t>
      </w:r>
      <w:r>
        <w:rPr>
          <w:rFonts w:hint="eastAsia"/>
        </w:rPr>
        <w:t>。</w:t>
      </w:r>
    </w:p>
    <w:p w14:paraId="1A2DE908">
      <w:pPr>
        <w:pStyle w:val="4"/>
      </w:pPr>
      <w:bookmarkStart w:id="86" w:name="_Toc230086383"/>
      <w:r>
        <w:rPr>
          <w:rFonts w:hint="eastAsia"/>
        </w:rPr>
        <w:t>4.5.4 APT检测效果验证</w:t>
      </w:r>
      <w:bookmarkEnd w:id="86"/>
    </w:p>
    <w:p w14:paraId="38D4DF05">
      <w:pPr>
        <w:ind w:firstLine="482" w:firstLineChars="200"/>
        <w:rPr>
          <w:b/>
          <w:bCs/>
        </w:rPr>
      </w:pPr>
      <w:r>
        <w:rPr>
          <w:rFonts w:hint="eastAsia"/>
          <w:b/>
          <w:bCs/>
        </w:rPr>
        <w:t>（1）与现有文献方法对比</w:t>
      </w:r>
    </w:p>
    <w:p w14:paraId="33C805AD">
      <w:pPr>
        <w:ind w:firstLine="480" w:firstLineChars="200"/>
      </w:pPr>
      <w:r>
        <w:t>为验证本文</w:t>
      </w:r>
      <w:r>
        <w:rPr>
          <w:rFonts w:hint="eastAsia"/>
        </w:rPr>
        <w:t>方法</w:t>
      </w:r>
      <w:r>
        <w:t>LWM-RL在APT检测有效性方面的优势，</w:t>
      </w:r>
      <w:r>
        <w:rPr>
          <w:rFonts w:hint="eastAsia"/>
        </w:rPr>
        <w:t>本节</w:t>
      </w:r>
      <w:r>
        <w:t>选取三种具有代表性的文献方法进行对比实验。其中，LLM Priors与Eureka代表大模型与强化学习结合方法，DCA代表基于模型的</w:t>
      </w:r>
      <w:r>
        <w:rPr>
          <w:rFonts w:hint="eastAsia"/>
        </w:rPr>
        <w:t>及早</w:t>
      </w:r>
      <w:r>
        <w:t>检测方法。实验结果如表4.</w:t>
      </w:r>
      <w:r>
        <w:rPr>
          <w:rFonts w:hint="eastAsia"/>
        </w:rPr>
        <w:t>4</w:t>
      </w:r>
      <w:r>
        <w:t>所示。</w:t>
      </w:r>
    </w:p>
    <w:p w14:paraId="41B2645C">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4 与其他文献方法对比实验结果</w:t>
      </w:r>
    </w:p>
    <w:tbl>
      <w:tblPr>
        <w:tblStyle w:val="19"/>
        <w:tblW w:w="83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5"/>
        <w:gridCol w:w="1479"/>
        <w:gridCol w:w="1664"/>
        <w:gridCol w:w="2033"/>
        <w:gridCol w:w="1481"/>
      </w:tblGrid>
      <w:tr w14:paraId="6EC36B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12" w:space="0"/>
              <w:bottom w:val="single" w:color="auto" w:sz="4" w:space="0"/>
            </w:tcBorders>
          </w:tcPr>
          <w:p w14:paraId="0CD6007D">
            <w:pPr>
              <w:spacing w:line="288" w:lineRule="auto"/>
              <w:jc w:val="center"/>
              <w:rPr>
                <w:rFonts w:eastAsia="宋体" w:cs="Times New Roman"/>
                <w:sz w:val="21"/>
              </w:rPr>
            </w:pPr>
          </w:p>
        </w:tc>
        <w:tc>
          <w:tcPr>
            <w:tcW w:w="1479" w:type="dxa"/>
            <w:tcBorders>
              <w:top w:val="single" w:color="auto" w:sz="12" w:space="0"/>
              <w:bottom w:val="single" w:color="auto" w:sz="4" w:space="0"/>
            </w:tcBorders>
          </w:tcPr>
          <w:p w14:paraId="08DD618D">
            <w:pPr>
              <w:spacing w:line="288" w:lineRule="auto"/>
              <w:jc w:val="center"/>
              <w:rPr>
                <w:rFonts w:eastAsia="宋体" w:cs="Times New Roman"/>
                <w:sz w:val="21"/>
              </w:rPr>
            </w:pPr>
            <w:r>
              <w:rPr>
                <w:rFonts w:hint="eastAsia" w:eastAsia="宋体" w:cs="Times New Roman"/>
                <w:sz w:val="21"/>
                <w:szCs w:val="21"/>
              </w:rPr>
              <w:t>平均回报</w:t>
            </w:r>
          </w:p>
        </w:tc>
        <w:tc>
          <w:tcPr>
            <w:tcW w:w="1664" w:type="dxa"/>
            <w:tcBorders>
              <w:top w:val="single" w:color="auto" w:sz="12" w:space="0"/>
              <w:bottom w:val="single" w:color="auto" w:sz="4" w:space="0"/>
            </w:tcBorders>
          </w:tcPr>
          <w:p w14:paraId="2FF42328">
            <w:pPr>
              <w:spacing w:line="288" w:lineRule="auto"/>
              <w:jc w:val="center"/>
              <w:rPr>
                <w:rFonts w:eastAsia="宋体" w:cs="Times New Roman"/>
                <w:sz w:val="21"/>
              </w:rPr>
            </w:pPr>
            <w:r>
              <w:rPr>
                <w:rFonts w:hint="eastAsia" w:eastAsia="宋体" w:cs="Times New Roman"/>
                <w:sz w:val="21"/>
                <w:szCs w:val="21"/>
              </w:rPr>
              <w:t>回报标准差</w:t>
            </w:r>
          </w:p>
        </w:tc>
        <w:tc>
          <w:tcPr>
            <w:tcW w:w="2033" w:type="dxa"/>
            <w:tcBorders>
              <w:top w:val="single" w:color="auto" w:sz="12" w:space="0"/>
              <w:bottom w:val="single" w:color="auto" w:sz="4" w:space="0"/>
            </w:tcBorders>
          </w:tcPr>
          <w:p w14:paraId="43F59391">
            <w:pPr>
              <w:spacing w:line="288" w:lineRule="auto"/>
              <w:jc w:val="center"/>
              <w:rPr>
                <w:rFonts w:eastAsia="宋体" w:cs="Times New Roman"/>
                <w:sz w:val="21"/>
              </w:rPr>
            </w:pPr>
            <w:r>
              <w:rPr>
                <w:rFonts w:hint="eastAsia" w:eastAsia="宋体" w:cs="Times New Roman"/>
                <w:sz w:val="21"/>
                <w:szCs w:val="21"/>
              </w:rPr>
              <w:t>平均恢复时间</w:t>
            </w:r>
          </w:p>
        </w:tc>
        <w:tc>
          <w:tcPr>
            <w:tcW w:w="1481" w:type="dxa"/>
            <w:tcBorders>
              <w:top w:val="single" w:color="auto" w:sz="12" w:space="0"/>
              <w:bottom w:val="single" w:color="auto" w:sz="4" w:space="0"/>
            </w:tcBorders>
          </w:tcPr>
          <w:p w14:paraId="3F2AF9F1">
            <w:pPr>
              <w:spacing w:line="288" w:lineRule="auto"/>
              <w:jc w:val="center"/>
              <w:rPr>
                <w:rFonts w:eastAsia="宋体" w:cs="Times New Roman"/>
                <w:sz w:val="21"/>
              </w:rPr>
            </w:pPr>
            <w:r>
              <w:rPr>
                <w:rFonts w:hint="eastAsia" w:eastAsia="宋体" w:cs="Times New Roman"/>
                <w:sz w:val="21"/>
                <w:szCs w:val="21"/>
              </w:rPr>
              <w:t>恢复精确率</w:t>
            </w:r>
          </w:p>
        </w:tc>
      </w:tr>
      <w:tr w14:paraId="09CB5B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4" w:space="0"/>
            </w:tcBorders>
          </w:tcPr>
          <w:p w14:paraId="59F9CBCF">
            <w:pPr>
              <w:spacing w:line="288" w:lineRule="auto"/>
              <w:jc w:val="center"/>
              <w:rPr>
                <w:rFonts w:eastAsia="宋体" w:cs="Times New Roman"/>
                <w:sz w:val="21"/>
              </w:rPr>
            </w:pPr>
            <w:r>
              <w:rPr>
                <w:rFonts w:cs="Times New Roman" w:eastAsiaTheme="minorEastAsia"/>
                <w:sz w:val="21"/>
                <w:szCs w:val="21"/>
              </w:rPr>
              <w:t>LLM Priors</w:t>
            </w:r>
            <w:r>
              <w:rPr>
                <w:rFonts w:eastAsia="Times New Roman" w:cs="Times New Roman"/>
                <w:sz w:val="21"/>
                <w:szCs w:val="21"/>
                <w:vertAlign w:val="superscript"/>
              </w:rPr>
              <w:fldChar w:fldCharType="begin" w:fldLock="1"/>
            </w:r>
            <w:r>
              <w:rPr>
                <w:rFonts w:cs="Times New Roman" w:eastAsiaTheme="minorEastAsia"/>
                <w:sz w:val="21"/>
                <w:szCs w:val="21"/>
                <w:vertAlign w:val="superscript"/>
              </w:rPr>
              <w:instrText xml:space="preserve"> REF _Ref225450607 \r \h  \* MERGEFORMAT </w:instrText>
            </w:r>
            <w:r>
              <w:rPr>
                <w:rFonts w:eastAsia="Times New Roman" w:cs="Times New Roman"/>
                <w:sz w:val="21"/>
                <w:szCs w:val="21"/>
                <w:vertAlign w:val="superscript"/>
              </w:rPr>
              <w:fldChar w:fldCharType="separate"/>
            </w:r>
            <w:r>
              <w:rPr>
                <w:rFonts w:cs="Times New Roman" w:eastAsiaTheme="minorEastAsia"/>
                <w:sz w:val="21"/>
                <w:szCs w:val="21"/>
                <w:vertAlign w:val="superscript"/>
              </w:rPr>
              <w:t>[55]</w:t>
            </w:r>
            <w:r>
              <w:rPr>
                <w:rFonts w:eastAsia="Times New Roman" w:cs="Times New Roman"/>
                <w:sz w:val="21"/>
                <w:szCs w:val="21"/>
                <w:vertAlign w:val="superscript"/>
              </w:rPr>
              <w:fldChar w:fldCharType="end"/>
            </w:r>
          </w:p>
        </w:tc>
        <w:tc>
          <w:tcPr>
            <w:tcW w:w="1479" w:type="dxa"/>
            <w:tcBorders>
              <w:top w:val="single" w:color="auto" w:sz="4" w:space="0"/>
            </w:tcBorders>
          </w:tcPr>
          <w:p w14:paraId="5F0CB0EB">
            <w:pPr>
              <w:spacing w:line="288" w:lineRule="auto"/>
              <w:jc w:val="center"/>
              <w:rPr>
                <w:rFonts w:eastAsia="宋体" w:cs="Times New Roman"/>
                <w:sz w:val="21"/>
              </w:rPr>
            </w:pPr>
            <w:r>
              <w:rPr>
                <w:rFonts w:hint="eastAsia" w:eastAsia="宋体" w:cs="Times New Roman"/>
                <w:sz w:val="21"/>
              </w:rPr>
              <w:t>-204.50</w:t>
            </w:r>
          </w:p>
        </w:tc>
        <w:tc>
          <w:tcPr>
            <w:tcW w:w="1664" w:type="dxa"/>
            <w:tcBorders>
              <w:top w:val="single" w:color="auto" w:sz="4" w:space="0"/>
            </w:tcBorders>
          </w:tcPr>
          <w:p w14:paraId="04EC16B8">
            <w:pPr>
              <w:spacing w:line="288" w:lineRule="auto"/>
              <w:jc w:val="center"/>
              <w:rPr>
                <w:rFonts w:eastAsia="宋体" w:cs="Times New Roman"/>
                <w:sz w:val="21"/>
              </w:rPr>
            </w:pPr>
            <w:r>
              <w:rPr>
                <w:rFonts w:hint="eastAsia" w:eastAsia="宋体" w:cs="Times New Roman"/>
                <w:sz w:val="21"/>
              </w:rPr>
              <w:t>63.52</w:t>
            </w:r>
          </w:p>
        </w:tc>
        <w:tc>
          <w:tcPr>
            <w:tcW w:w="2033" w:type="dxa"/>
            <w:tcBorders>
              <w:top w:val="single" w:color="auto" w:sz="4" w:space="0"/>
            </w:tcBorders>
          </w:tcPr>
          <w:p w14:paraId="7030412B">
            <w:pPr>
              <w:spacing w:line="288" w:lineRule="auto"/>
              <w:jc w:val="center"/>
              <w:rPr>
                <w:rFonts w:eastAsia="宋体" w:cs="Times New Roman"/>
                <w:sz w:val="21"/>
              </w:rPr>
            </w:pPr>
            <w:r>
              <w:rPr>
                <w:rFonts w:hint="eastAsia" w:eastAsia="宋体" w:cs="Times New Roman"/>
                <w:sz w:val="21"/>
              </w:rPr>
              <w:t>50.36</w:t>
            </w:r>
          </w:p>
        </w:tc>
        <w:tc>
          <w:tcPr>
            <w:tcW w:w="1481" w:type="dxa"/>
            <w:tcBorders>
              <w:top w:val="single" w:color="auto" w:sz="4" w:space="0"/>
            </w:tcBorders>
          </w:tcPr>
          <w:p w14:paraId="064114E5">
            <w:pPr>
              <w:spacing w:line="288" w:lineRule="auto"/>
              <w:jc w:val="center"/>
              <w:rPr>
                <w:rFonts w:eastAsia="宋体" w:cs="Times New Roman"/>
                <w:sz w:val="21"/>
              </w:rPr>
            </w:pPr>
            <w:r>
              <w:rPr>
                <w:rFonts w:hint="eastAsia" w:eastAsia="宋体" w:cs="Times New Roman"/>
                <w:sz w:val="21"/>
              </w:rPr>
              <w:t>0.56</w:t>
            </w:r>
          </w:p>
        </w:tc>
      </w:tr>
      <w:tr w14:paraId="654F38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598F78AF">
            <w:pPr>
              <w:spacing w:line="288" w:lineRule="auto"/>
              <w:jc w:val="center"/>
              <w:rPr>
                <w:rFonts w:eastAsia="宋体" w:cs="Times New Roman"/>
                <w:sz w:val="21"/>
              </w:rPr>
            </w:pPr>
            <w:r>
              <w:rPr>
                <w:rFonts w:eastAsia="Times New Roman"/>
                <w:sz w:val="21"/>
                <w:szCs w:val="21"/>
              </w:rPr>
              <w:t>Eurek</w:t>
            </w:r>
            <w:r>
              <w:rPr>
                <w:rFonts w:hint="eastAsia" w:eastAsiaTheme="minorEastAsia"/>
                <w:sz w:val="21"/>
                <w:szCs w:val="21"/>
              </w:rPr>
              <w:t>a</w:t>
            </w:r>
            <w:r>
              <w:rPr>
                <w:rFonts w:eastAsia="Times New Roman"/>
                <w:sz w:val="21"/>
                <w:szCs w:val="21"/>
                <w:vertAlign w:val="superscript"/>
              </w:rPr>
              <w:fldChar w:fldCharType="begin" w:fldLock="1"/>
            </w:r>
            <w:r>
              <w:rPr>
                <w:rFonts w:eastAsiaTheme="minorEastAsia"/>
                <w:sz w:val="21"/>
                <w:szCs w:val="21"/>
                <w:vertAlign w:val="superscript"/>
              </w:rPr>
              <w:instrText xml:space="preserve"> </w:instrText>
            </w:r>
            <w:r>
              <w:rPr>
                <w:rFonts w:hint="eastAsia" w:eastAsiaTheme="minorEastAsia"/>
                <w:sz w:val="21"/>
                <w:szCs w:val="21"/>
                <w:vertAlign w:val="superscript"/>
              </w:rPr>
              <w:instrText xml:space="preserve">REF _Ref226555743 \r \h</w:instrText>
            </w:r>
            <w:r>
              <w:rPr>
                <w:rFonts w:eastAsiaTheme="minorEastAsia"/>
                <w:sz w:val="21"/>
                <w:szCs w:val="21"/>
                <w:vertAlign w:val="superscript"/>
              </w:rPr>
              <w:instrText xml:space="preserve">  \* MERGEFORMAT </w:instrText>
            </w:r>
            <w:r>
              <w:rPr>
                <w:rFonts w:eastAsia="Times New Roman"/>
                <w:sz w:val="21"/>
                <w:szCs w:val="21"/>
                <w:vertAlign w:val="superscript"/>
              </w:rPr>
              <w:fldChar w:fldCharType="separate"/>
            </w:r>
            <w:r>
              <w:rPr>
                <w:rFonts w:eastAsiaTheme="minorEastAsia"/>
                <w:sz w:val="21"/>
                <w:szCs w:val="21"/>
                <w:vertAlign w:val="superscript"/>
              </w:rPr>
              <w:t>[60]</w:t>
            </w:r>
            <w:r>
              <w:rPr>
                <w:rFonts w:eastAsia="Times New Roman"/>
                <w:sz w:val="21"/>
                <w:szCs w:val="21"/>
                <w:vertAlign w:val="superscript"/>
              </w:rPr>
              <w:fldChar w:fldCharType="end"/>
            </w:r>
            <w:r>
              <w:rPr>
                <w:rFonts w:eastAsia="宋体" w:cs="Times New Roman"/>
                <w:sz w:val="21"/>
                <w:vertAlign w:val="superscript"/>
              </w:rPr>
              <w:t xml:space="preserve"> </w:t>
            </w:r>
          </w:p>
        </w:tc>
        <w:tc>
          <w:tcPr>
            <w:tcW w:w="1479" w:type="dxa"/>
          </w:tcPr>
          <w:p w14:paraId="7015BE25">
            <w:pPr>
              <w:spacing w:line="288" w:lineRule="auto"/>
              <w:jc w:val="center"/>
              <w:rPr>
                <w:rFonts w:eastAsia="宋体" w:cs="Times New Roman"/>
                <w:sz w:val="21"/>
              </w:rPr>
            </w:pPr>
            <w:r>
              <w:rPr>
                <w:rFonts w:hint="eastAsia" w:eastAsia="宋体" w:cs="Times New Roman"/>
                <w:sz w:val="21"/>
              </w:rPr>
              <w:t>-265.78</w:t>
            </w:r>
          </w:p>
        </w:tc>
        <w:tc>
          <w:tcPr>
            <w:tcW w:w="1664" w:type="dxa"/>
          </w:tcPr>
          <w:p w14:paraId="0D2C72DA">
            <w:pPr>
              <w:spacing w:line="288" w:lineRule="auto"/>
              <w:jc w:val="center"/>
              <w:rPr>
                <w:rFonts w:eastAsia="宋体" w:cs="Times New Roman"/>
                <w:sz w:val="21"/>
              </w:rPr>
            </w:pPr>
            <w:r>
              <w:rPr>
                <w:rFonts w:hint="eastAsia" w:eastAsia="宋体" w:cs="Times New Roman"/>
                <w:sz w:val="21"/>
              </w:rPr>
              <w:t>70.44</w:t>
            </w:r>
          </w:p>
        </w:tc>
        <w:tc>
          <w:tcPr>
            <w:tcW w:w="2033" w:type="dxa"/>
          </w:tcPr>
          <w:p w14:paraId="7D3ECDC3">
            <w:pPr>
              <w:spacing w:line="288" w:lineRule="auto"/>
              <w:jc w:val="center"/>
              <w:rPr>
                <w:rFonts w:eastAsia="宋体" w:cs="Times New Roman"/>
                <w:sz w:val="21"/>
              </w:rPr>
            </w:pPr>
            <w:r>
              <w:rPr>
                <w:rFonts w:hint="eastAsia" w:eastAsia="宋体" w:cs="Times New Roman"/>
                <w:sz w:val="21"/>
              </w:rPr>
              <w:t>56.09</w:t>
            </w:r>
          </w:p>
        </w:tc>
        <w:tc>
          <w:tcPr>
            <w:tcW w:w="1481" w:type="dxa"/>
          </w:tcPr>
          <w:p w14:paraId="6D68B75C">
            <w:pPr>
              <w:spacing w:line="288" w:lineRule="auto"/>
              <w:jc w:val="center"/>
              <w:rPr>
                <w:rFonts w:eastAsia="宋体" w:cs="Times New Roman"/>
                <w:sz w:val="21"/>
              </w:rPr>
            </w:pPr>
            <w:r>
              <w:rPr>
                <w:rFonts w:hint="eastAsia" w:eastAsia="宋体" w:cs="Times New Roman"/>
                <w:sz w:val="21"/>
              </w:rPr>
              <w:t>0.49</w:t>
            </w:r>
          </w:p>
        </w:tc>
      </w:tr>
      <w:tr w14:paraId="7AE0E6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2B3C9491">
            <w:pPr>
              <w:spacing w:line="288" w:lineRule="auto"/>
              <w:jc w:val="center"/>
              <w:rPr>
                <w:rFonts w:eastAsia="宋体" w:cs="Times New Roman"/>
                <w:sz w:val="21"/>
              </w:rPr>
            </w:pPr>
            <w:r>
              <w:rPr>
                <w:rFonts w:hint="eastAsia" w:eastAsia="宋体" w:cs="Times New Roman"/>
                <w:sz w:val="21"/>
                <w:szCs w:val="21"/>
              </w:rPr>
              <w:t>DCA</w:t>
            </w:r>
            <w:r>
              <w:rPr>
                <w:rFonts w:eastAsia="宋体" w:cs="Times New Roman"/>
                <w:sz w:val="21"/>
                <w:szCs w:val="21"/>
                <w:vertAlign w:val="superscript"/>
              </w:rPr>
              <w:fldChar w:fldCharType="begin" w:fldLock="1"/>
            </w:r>
            <w:r>
              <w:rPr>
                <w:rFonts w:eastAsia="宋体" w:cs="Times New Roman"/>
                <w:sz w:val="21"/>
                <w:szCs w:val="21"/>
                <w:vertAlign w:val="superscript"/>
              </w:rPr>
              <w:instrText xml:space="preserve"> </w:instrText>
            </w:r>
            <w:r>
              <w:rPr>
                <w:rFonts w:hint="eastAsia" w:eastAsia="宋体" w:cs="Times New Roman"/>
                <w:sz w:val="21"/>
                <w:szCs w:val="21"/>
                <w:vertAlign w:val="superscript"/>
              </w:rPr>
              <w:instrText xml:space="preserve">REF _Ref225796628 \r \h</w:instrText>
            </w:r>
            <w:r>
              <w:rPr>
                <w:rFonts w:eastAsia="宋体" w:cs="Times New Roman"/>
                <w:sz w:val="21"/>
                <w:szCs w:val="21"/>
                <w:vertAlign w:val="superscript"/>
              </w:rPr>
              <w:instrText xml:space="preserve">  \* MERGEFORMAT </w:instrText>
            </w:r>
            <w:r>
              <w:rPr>
                <w:rFonts w:eastAsia="宋体" w:cs="Times New Roman"/>
                <w:sz w:val="21"/>
                <w:szCs w:val="21"/>
                <w:vertAlign w:val="superscript"/>
              </w:rPr>
              <w:fldChar w:fldCharType="separate"/>
            </w:r>
            <w:r>
              <w:rPr>
                <w:rFonts w:eastAsia="宋体" w:cs="Times New Roman"/>
                <w:sz w:val="21"/>
                <w:szCs w:val="21"/>
                <w:vertAlign w:val="superscript"/>
              </w:rPr>
              <w:t>[98]</w:t>
            </w:r>
            <w:r>
              <w:rPr>
                <w:rFonts w:eastAsia="宋体" w:cs="Times New Roman"/>
                <w:sz w:val="21"/>
                <w:szCs w:val="21"/>
                <w:vertAlign w:val="superscript"/>
              </w:rPr>
              <w:fldChar w:fldCharType="end"/>
            </w:r>
          </w:p>
        </w:tc>
        <w:tc>
          <w:tcPr>
            <w:tcW w:w="1479" w:type="dxa"/>
          </w:tcPr>
          <w:p w14:paraId="4E1C3FDD">
            <w:pPr>
              <w:spacing w:line="288" w:lineRule="auto"/>
              <w:jc w:val="center"/>
              <w:rPr>
                <w:rFonts w:eastAsia="宋体" w:cs="Times New Roman"/>
                <w:sz w:val="21"/>
              </w:rPr>
            </w:pPr>
            <w:r>
              <w:rPr>
                <w:rFonts w:hint="eastAsia" w:eastAsia="宋体" w:cs="Times New Roman"/>
                <w:sz w:val="21"/>
              </w:rPr>
              <w:t>-240.42</w:t>
            </w:r>
          </w:p>
        </w:tc>
        <w:tc>
          <w:tcPr>
            <w:tcW w:w="1664" w:type="dxa"/>
          </w:tcPr>
          <w:p w14:paraId="2CCADC2D">
            <w:pPr>
              <w:spacing w:line="288" w:lineRule="auto"/>
              <w:jc w:val="center"/>
              <w:rPr>
                <w:rFonts w:eastAsia="宋体" w:cs="Times New Roman"/>
                <w:sz w:val="21"/>
              </w:rPr>
            </w:pPr>
            <w:r>
              <w:rPr>
                <w:rFonts w:hint="eastAsia" w:eastAsia="宋体" w:cs="Times New Roman"/>
                <w:sz w:val="21"/>
              </w:rPr>
              <w:t>64.15</w:t>
            </w:r>
          </w:p>
        </w:tc>
        <w:tc>
          <w:tcPr>
            <w:tcW w:w="2033" w:type="dxa"/>
          </w:tcPr>
          <w:p w14:paraId="7D6D6A7C">
            <w:pPr>
              <w:spacing w:line="288" w:lineRule="auto"/>
              <w:jc w:val="center"/>
              <w:rPr>
                <w:rFonts w:eastAsia="宋体" w:cs="Times New Roman"/>
                <w:sz w:val="21"/>
              </w:rPr>
            </w:pPr>
            <w:r>
              <w:rPr>
                <w:rFonts w:hint="eastAsia" w:eastAsia="宋体" w:cs="Times New Roman"/>
                <w:sz w:val="21"/>
              </w:rPr>
              <w:t>45.72</w:t>
            </w:r>
          </w:p>
        </w:tc>
        <w:tc>
          <w:tcPr>
            <w:tcW w:w="1481" w:type="dxa"/>
          </w:tcPr>
          <w:p w14:paraId="699B0377">
            <w:pPr>
              <w:spacing w:line="288" w:lineRule="auto"/>
              <w:jc w:val="center"/>
              <w:rPr>
                <w:rFonts w:eastAsia="宋体" w:cs="Times New Roman"/>
                <w:sz w:val="21"/>
              </w:rPr>
            </w:pPr>
            <w:r>
              <w:rPr>
                <w:rFonts w:hint="eastAsia" w:eastAsia="宋体" w:cs="Times New Roman"/>
                <w:sz w:val="21"/>
              </w:rPr>
              <w:t>0.58</w:t>
            </w:r>
          </w:p>
        </w:tc>
      </w:tr>
      <w:tr w14:paraId="46E28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244DF7DF">
            <w:pPr>
              <w:spacing w:line="288" w:lineRule="auto"/>
              <w:jc w:val="center"/>
              <w:rPr>
                <w:rFonts w:eastAsia="宋体" w:cs="Times New Roman"/>
                <w:b/>
                <w:bCs/>
                <w:sz w:val="21"/>
                <w:szCs w:val="21"/>
              </w:rPr>
            </w:pPr>
            <w:r>
              <w:rPr>
                <w:rFonts w:hint="eastAsia" w:eastAsia="宋体" w:cs="Times New Roman"/>
                <w:b/>
                <w:bCs/>
                <w:sz w:val="21"/>
                <w:szCs w:val="21"/>
              </w:rPr>
              <w:t>LWM-RL</w:t>
            </w:r>
          </w:p>
        </w:tc>
        <w:tc>
          <w:tcPr>
            <w:tcW w:w="1479" w:type="dxa"/>
          </w:tcPr>
          <w:p w14:paraId="5E2AF788">
            <w:pPr>
              <w:spacing w:line="288" w:lineRule="auto"/>
              <w:jc w:val="center"/>
              <w:rPr>
                <w:rFonts w:eastAsia="宋体" w:cs="Times New Roman"/>
                <w:b/>
                <w:bCs/>
                <w:sz w:val="21"/>
              </w:rPr>
            </w:pPr>
            <w:r>
              <w:rPr>
                <w:rFonts w:hint="eastAsia" w:eastAsiaTheme="minorEastAsia"/>
                <w:b/>
                <w:bCs/>
                <w:sz w:val="21"/>
                <w:szCs w:val="21"/>
              </w:rPr>
              <w:t>-125.65</w:t>
            </w:r>
          </w:p>
        </w:tc>
        <w:tc>
          <w:tcPr>
            <w:tcW w:w="1664" w:type="dxa"/>
          </w:tcPr>
          <w:p w14:paraId="31670E39">
            <w:pPr>
              <w:spacing w:line="288" w:lineRule="auto"/>
              <w:jc w:val="center"/>
              <w:rPr>
                <w:rFonts w:eastAsia="宋体" w:cs="Times New Roman"/>
                <w:b/>
                <w:bCs/>
                <w:sz w:val="21"/>
              </w:rPr>
            </w:pPr>
            <w:r>
              <w:rPr>
                <w:rFonts w:hint="eastAsia" w:eastAsiaTheme="minorEastAsia"/>
                <w:b/>
                <w:bCs/>
                <w:sz w:val="21"/>
                <w:szCs w:val="21"/>
              </w:rPr>
              <w:t>50.32</w:t>
            </w:r>
          </w:p>
        </w:tc>
        <w:tc>
          <w:tcPr>
            <w:tcW w:w="2033" w:type="dxa"/>
          </w:tcPr>
          <w:p w14:paraId="5999772C">
            <w:pPr>
              <w:spacing w:line="288" w:lineRule="auto"/>
              <w:jc w:val="center"/>
              <w:rPr>
                <w:rFonts w:eastAsia="宋体" w:cs="Times New Roman"/>
                <w:b/>
                <w:bCs/>
                <w:sz w:val="21"/>
              </w:rPr>
            </w:pPr>
            <w:r>
              <w:rPr>
                <w:rFonts w:hint="eastAsia" w:eastAsiaTheme="minorEastAsia"/>
                <w:b/>
                <w:bCs/>
                <w:sz w:val="21"/>
                <w:szCs w:val="21"/>
              </w:rPr>
              <w:t>42.87</w:t>
            </w:r>
          </w:p>
        </w:tc>
        <w:tc>
          <w:tcPr>
            <w:tcW w:w="1481" w:type="dxa"/>
          </w:tcPr>
          <w:p w14:paraId="6F7DC459">
            <w:pPr>
              <w:spacing w:line="288" w:lineRule="auto"/>
              <w:jc w:val="center"/>
              <w:rPr>
                <w:rFonts w:eastAsia="宋体" w:cs="Times New Roman"/>
                <w:b/>
                <w:bCs/>
                <w:sz w:val="21"/>
              </w:rPr>
            </w:pPr>
            <w:r>
              <w:rPr>
                <w:rFonts w:hint="eastAsia" w:eastAsiaTheme="minorEastAsia"/>
                <w:b/>
                <w:bCs/>
                <w:sz w:val="21"/>
                <w:szCs w:val="21"/>
              </w:rPr>
              <w:t>0.63</w:t>
            </w:r>
          </w:p>
        </w:tc>
      </w:tr>
    </w:tbl>
    <w:p w14:paraId="7E0B2E32">
      <w:pPr>
        <w:spacing w:before="156" w:beforeLines="50"/>
        <w:ind w:firstLine="480" w:firstLineChars="200"/>
      </w:pPr>
      <w:r>
        <w:rPr>
          <w:rFonts w:hint="eastAsia"/>
        </w:rPr>
        <w:t>从表4.4中可以看出，LWM-RL在平均回报、回报标准差、平均恢复时间及恢复精确率四项指标上均取得了最优结果，相较于现有方法平均回报提升了78.85。说明本文方法在检测效果、策略稳定性以及恢复质量等方面具有较好的综合性能，具体分析如下：</w:t>
      </w:r>
    </w:p>
    <w:p w14:paraId="1CC3FEFB">
      <w:pPr>
        <w:ind w:firstLine="480" w:firstLineChars="200"/>
      </w:pPr>
      <w:r>
        <w:t>1）相较于LLM Priors和Eureka方法，LWM-RL在各项指标上均表现更优。 其中，LLM Priors虽然将LLM先验引入强化学习过程，能够在一定程度上缩小策略搜索范围，但其</w:t>
      </w:r>
      <w:r>
        <w:rPr>
          <w:rFonts w:hint="eastAsia"/>
        </w:rPr>
        <w:t>并未考虑</w:t>
      </w:r>
      <w:r>
        <w:t>候选计划</w:t>
      </w:r>
      <w:r>
        <w:rPr>
          <w:rFonts w:hint="eastAsia"/>
        </w:rPr>
        <w:t>的</w:t>
      </w:r>
      <w:r>
        <w:t>后续影响</w:t>
      </w:r>
      <w:r>
        <w:rPr>
          <w:rFonts w:hint="eastAsia"/>
        </w:rPr>
        <w:t>及进行前瞻评估</w:t>
      </w:r>
      <w:r>
        <w:t>；Eureka则主要通过LLM对奖励设计进行优化，</w:t>
      </w:r>
      <w:r>
        <w:rPr>
          <w:rFonts w:hint="eastAsia"/>
        </w:rPr>
        <w:t>不完全适用于</w:t>
      </w:r>
      <w:r>
        <w:t>检测决策过程。对于APT检测这类具有持续演化特征的任务，上述方法均难以区分不同候选计划在后续状态变化、检测收益及恢复结果上的差异，因此其整体</w:t>
      </w:r>
      <w:r>
        <w:rPr>
          <w:rFonts w:hint="eastAsia"/>
        </w:rPr>
        <w:t>检测</w:t>
      </w:r>
      <w:r>
        <w:t>效果弱于本文方法。</w:t>
      </w:r>
    </w:p>
    <w:p w14:paraId="2619AD24">
      <w:pPr>
        <w:ind w:firstLine="480" w:firstLineChars="200"/>
      </w:pPr>
      <w:r>
        <w:t>2）相较于DCA方法，LWM-RL在APT检测有效性方面同样表现出更明显的优势。DCA主要依赖系统模型</w:t>
      </w:r>
      <w:r>
        <w:rPr>
          <w:rFonts w:hint="eastAsia"/>
        </w:rPr>
        <w:t>进行</w:t>
      </w:r>
      <w:r>
        <w:t>攻击关联分析与后续攻击预测，在平均恢复时间和恢复精确率方面</w:t>
      </w:r>
      <w:r>
        <w:rPr>
          <w:rFonts w:hint="eastAsia"/>
        </w:rPr>
        <w:t>相较于</w:t>
      </w:r>
      <w:r>
        <w:t>LLM Priors和Eureka方法有一定</w:t>
      </w:r>
      <w:r>
        <w:rPr>
          <w:rFonts w:hint="eastAsia"/>
        </w:rPr>
        <w:t>提升</w:t>
      </w:r>
      <w:r>
        <w:t>。但该方法</w:t>
      </w:r>
      <w:r>
        <w:rPr>
          <w:rFonts w:hint="eastAsia"/>
        </w:rPr>
        <w:t>侧重于</w:t>
      </w:r>
      <w:r>
        <w:t>攻击路径推断，对检测决策过程中的先验信息利用和策略优化考虑不足。对于新型电力系统中持续演化的APT攻击，</w:t>
      </w:r>
      <w:r>
        <w:rPr>
          <w:rFonts w:hint="eastAsia"/>
        </w:rPr>
        <w:t>若只</w:t>
      </w:r>
      <w:r>
        <w:t>依赖攻击关联分析和后续路径预测，仍难以同时兼顾检测效果、策略稳定性与恢复质量，因此其整体性能弱于本文方法。</w:t>
      </w:r>
    </w:p>
    <w:p w14:paraId="0C8697E4">
      <w:pPr>
        <w:ind w:firstLine="480" w:firstLineChars="200"/>
      </w:pPr>
      <w:r>
        <w:rPr>
          <w:rFonts w:hint="eastAsia"/>
        </w:rPr>
        <w:t>综上所述，相较于现有文献方法，本文提出的LWM-RL方法在APT检测中表现出更好的综合性能，证明了本文方法的检测有效性。</w:t>
      </w:r>
    </w:p>
    <w:p w14:paraId="0C154A7C">
      <w:pPr>
        <w:ind w:firstLine="482" w:firstLineChars="200"/>
        <w:rPr>
          <w:b/>
          <w:bCs/>
        </w:rPr>
      </w:pPr>
      <w:r>
        <w:rPr>
          <w:rFonts w:hint="eastAsia"/>
          <w:b/>
          <w:bCs/>
        </w:rPr>
        <w:t>（2）与基线模型对比</w:t>
      </w:r>
    </w:p>
    <w:p w14:paraId="52739AF4">
      <w:pPr>
        <w:ind w:firstLine="480" w:firstLineChars="200"/>
      </w:pPr>
      <w:r>
        <w:rPr>
          <w:rFonts w:hint="eastAsia"/>
        </w:rPr>
        <w:t>为进一步验证本文方法LWM-RL针对单区域APT隐匿行为检测的有效性，本节设计了其与基线模型的对比实验，其中对基线模型的定义如下：Rule为基于风险阈值触发的规则方法，当风险较低时执行持续监测，风险升高后依次执行轻量核验、深度核验及处置恢复；RL-Only为仅采用PPO强化学习方法学习检测策略的模型；LLM-Only为仅使用大模型生成候选计划并直接进行先验选择的方法，不引入世界模型及强化学习方法；LWM-RL为本文提出的完整检测方法。下述检测结果为四个区域的平均值，具体结果如表4.5所示。</w:t>
      </w:r>
    </w:p>
    <w:p w14:paraId="6D69BD04">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5 与基线模型对比实验结果</w:t>
      </w:r>
    </w:p>
    <w:tbl>
      <w:tblPr>
        <w:tblStyle w:val="19"/>
        <w:tblW w:w="83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5"/>
        <w:gridCol w:w="1479"/>
        <w:gridCol w:w="1664"/>
        <w:gridCol w:w="2033"/>
        <w:gridCol w:w="1481"/>
      </w:tblGrid>
      <w:tr w14:paraId="4C7134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12" w:space="0"/>
              <w:bottom w:val="single" w:color="auto" w:sz="4" w:space="0"/>
            </w:tcBorders>
          </w:tcPr>
          <w:p w14:paraId="27E36020">
            <w:pPr>
              <w:spacing w:line="288" w:lineRule="auto"/>
              <w:jc w:val="center"/>
              <w:rPr>
                <w:rFonts w:eastAsia="宋体" w:cs="Times New Roman"/>
                <w:sz w:val="21"/>
              </w:rPr>
            </w:pPr>
          </w:p>
        </w:tc>
        <w:tc>
          <w:tcPr>
            <w:tcW w:w="1479" w:type="dxa"/>
            <w:tcBorders>
              <w:top w:val="single" w:color="auto" w:sz="12" w:space="0"/>
              <w:bottom w:val="single" w:color="auto" w:sz="4" w:space="0"/>
            </w:tcBorders>
          </w:tcPr>
          <w:p w14:paraId="58EB6372">
            <w:pPr>
              <w:spacing w:line="288" w:lineRule="auto"/>
              <w:jc w:val="center"/>
              <w:rPr>
                <w:rFonts w:eastAsia="宋体" w:cs="Times New Roman"/>
                <w:sz w:val="21"/>
              </w:rPr>
            </w:pPr>
            <w:r>
              <w:rPr>
                <w:rFonts w:hint="eastAsia" w:eastAsia="宋体" w:cs="Times New Roman"/>
                <w:sz w:val="21"/>
                <w:szCs w:val="21"/>
              </w:rPr>
              <w:t>平均回报</w:t>
            </w:r>
          </w:p>
        </w:tc>
        <w:tc>
          <w:tcPr>
            <w:tcW w:w="1664" w:type="dxa"/>
            <w:tcBorders>
              <w:top w:val="single" w:color="auto" w:sz="12" w:space="0"/>
              <w:bottom w:val="single" w:color="auto" w:sz="4" w:space="0"/>
            </w:tcBorders>
          </w:tcPr>
          <w:p w14:paraId="5952F29D">
            <w:pPr>
              <w:spacing w:line="288" w:lineRule="auto"/>
              <w:jc w:val="center"/>
              <w:rPr>
                <w:rFonts w:eastAsia="宋体" w:cs="Times New Roman"/>
                <w:sz w:val="21"/>
              </w:rPr>
            </w:pPr>
            <w:r>
              <w:rPr>
                <w:rFonts w:hint="eastAsia" w:eastAsia="宋体" w:cs="Times New Roman"/>
                <w:sz w:val="21"/>
                <w:szCs w:val="21"/>
              </w:rPr>
              <w:t>回报标准差</w:t>
            </w:r>
          </w:p>
        </w:tc>
        <w:tc>
          <w:tcPr>
            <w:tcW w:w="2033" w:type="dxa"/>
            <w:tcBorders>
              <w:top w:val="single" w:color="auto" w:sz="12" w:space="0"/>
              <w:bottom w:val="single" w:color="auto" w:sz="4" w:space="0"/>
            </w:tcBorders>
          </w:tcPr>
          <w:p w14:paraId="5E3267F2">
            <w:pPr>
              <w:spacing w:line="288" w:lineRule="auto"/>
              <w:jc w:val="center"/>
              <w:rPr>
                <w:rFonts w:eastAsia="宋体" w:cs="Times New Roman"/>
                <w:sz w:val="21"/>
              </w:rPr>
            </w:pPr>
            <w:r>
              <w:rPr>
                <w:rFonts w:hint="eastAsia" w:eastAsia="宋体" w:cs="Times New Roman"/>
                <w:sz w:val="21"/>
                <w:szCs w:val="21"/>
              </w:rPr>
              <w:t>平均恢复时间</w:t>
            </w:r>
          </w:p>
        </w:tc>
        <w:tc>
          <w:tcPr>
            <w:tcW w:w="1481" w:type="dxa"/>
            <w:tcBorders>
              <w:top w:val="single" w:color="auto" w:sz="12" w:space="0"/>
              <w:bottom w:val="single" w:color="auto" w:sz="4" w:space="0"/>
            </w:tcBorders>
          </w:tcPr>
          <w:p w14:paraId="4ECA92DE">
            <w:pPr>
              <w:spacing w:line="288" w:lineRule="auto"/>
              <w:jc w:val="center"/>
              <w:rPr>
                <w:rFonts w:eastAsia="宋体" w:cs="Times New Roman"/>
                <w:sz w:val="21"/>
              </w:rPr>
            </w:pPr>
            <w:r>
              <w:rPr>
                <w:rFonts w:hint="eastAsia" w:eastAsia="宋体" w:cs="Times New Roman"/>
                <w:sz w:val="21"/>
                <w:szCs w:val="21"/>
              </w:rPr>
              <w:t>恢复精确率</w:t>
            </w:r>
          </w:p>
        </w:tc>
      </w:tr>
      <w:tr w14:paraId="2F8533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4" w:space="0"/>
            </w:tcBorders>
          </w:tcPr>
          <w:p w14:paraId="2DF140A6">
            <w:pPr>
              <w:spacing w:line="288" w:lineRule="auto"/>
              <w:jc w:val="center"/>
              <w:rPr>
                <w:rFonts w:eastAsia="宋体" w:cs="Times New Roman"/>
                <w:sz w:val="21"/>
              </w:rPr>
            </w:pPr>
            <w:r>
              <w:rPr>
                <w:rFonts w:eastAsia="宋体" w:cs="宋体"/>
                <w:kern w:val="0"/>
                <w:sz w:val="21"/>
                <w:szCs w:val="21"/>
              </w:rPr>
              <w:t xml:space="preserve">Rule </w:t>
            </w:r>
          </w:p>
        </w:tc>
        <w:tc>
          <w:tcPr>
            <w:tcW w:w="1479" w:type="dxa"/>
            <w:tcBorders>
              <w:top w:val="single" w:color="auto" w:sz="4" w:space="0"/>
            </w:tcBorders>
          </w:tcPr>
          <w:p w14:paraId="1B49FABF">
            <w:pPr>
              <w:spacing w:line="288" w:lineRule="auto"/>
              <w:jc w:val="center"/>
              <w:rPr>
                <w:rFonts w:eastAsia="宋体" w:cs="Times New Roman"/>
                <w:sz w:val="21"/>
              </w:rPr>
            </w:pPr>
            <w:r>
              <w:rPr>
                <w:rFonts w:hint="eastAsia" w:eastAsia="宋体" w:cs="Times New Roman"/>
                <w:sz w:val="21"/>
              </w:rPr>
              <w:t>-275.26</w:t>
            </w:r>
          </w:p>
        </w:tc>
        <w:tc>
          <w:tcPr>
            <w:tcW w:w="1664" w:type="dxa"/>
            <w:tcBorders>
              <w:top w:val="single" w:color="auto" w:sz="4" w:space="0"/>
            </w:tcBorders>
          </w:tcPr>
          <w:p w14:paraId="00252E15">
            <w:pPr>
              <w:spacing w:line="288" w:lineRule="auto"/>
              <w:jc w:val="center"/>
              <w:rPr>
                <w:rFonts w:eastAsia="宋体" w:cs="Times New Roman"/>
                <w:sz w:val="21"/>
              </w:rPr>
            </w:pPr>
            <w:r>
              <w:rPr>
                <w:rFonts w:hint="eastAsia" w:eastAsia="宋体" w:cs="Times New Roman"/>
                <w:sz w:val="21"/>
              </w:rPr>
              <w:t>77.39</w:t>
            </w:r>
          </w:p>
        </w:tc>
        <w:tc>
          <w:tcPr>
            <w:tcW w:w="2033" w:type="dxa"/>
            <w:tcBorders>
              <w:top w:val="single" w:color="auto" w:sz="4" w:space="0"/>
            </w:tcBorders>
          </w:tcPr>
          <w:p w14:paraId="2D65940D">
            <w:pPr>
              <w:spacing w:line="288" w:lineRule="auto"/>
              <w:jc w:val="center"/>
              <w:rPr>
                <w:rFonts w:eastAsia="宋体" w:cs="Times New Roman"/>
                <w:sz w:val="21"/>
              </w:rPr>
            </w:pPr>
            <w:r>
              <w:rPr>
                <w:rFonts w:hint="eastAsia" w:eastAsia="宋体" w:cs="Times New Roman"/>
                <w:sz w:val="21"/>
              </w:rPr>
              <w:t>59.47</w:t>
            </w:r>
          </w:p>
        </w:tc>
        <w:tc>
          <w:tcPr>
            <w:tcW w:w="1481" w:type="dxa"/>
            <w:tcBorders>
              <w:top w:val="single" w:color="auto" w:sz="4" w:space="0"/>
            </w:tcBorders>
          </w:tcPr>
          <w:p w14:paraId="2CED87F3">
            <w:pPr>
              <w:spacing w:line="288" w:lineRule="auto"/>
              <w:jc w:val="center"/>
              <w:rPr>
                <w:rFonts w:eastAsia="宋体" w:cs="Times New Roman"/>
                <w:sz w:val="21"/>
              </w:rPr>
            </w:pPr>
            <w:r>
              <w:rPr>
                <w:rFonts w:hint="eastAsia" w:eastAsia="宋体" w:cs="Times New Roman"/>
                <w:sz w:val="21"/>
              </w:rPr>
              <w:t>0.51</w:t>
            </w:r>
          </w:p>
        </w:tc>
      </w:tr>
      <w:tr w14:paraId="488EE8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240BB3AE">
            <w:pPr>
              <w:spacing w:line="288" w:lineRule="auto"/>
              <w:jc w:val="center"/>
              <w:rPr>
                <w:rFonts w:eastAsia="宋体" w:cs="Times New Roman"/>
                <w:sz w:val="21"/>
              </w:rPr>
            </w:pPr>
            <w:r>
              <w:rPr>
                <w:rFonts w:eastAsia="宋体" w:cs="Times New Roman"/>
                <w:sz w:val="21"/>
              </w:rPr>
              <w:t>RL-</w:t>
            </w:r>
            <w:r>
              <w:rPr>
                <w:rFonts w:hint="eastAsia" w:eastAsia="宋体" w:cs="Times New Roman"/>
                <w:sz w:val="21"/>
              </w:rPr>
              <w:t>O</w:t>
            </w:r>
            <w:r>
              <w:rPr>
                <w:rFonts w:eastAsia="宋体" w:cs="Times New Roman"/>
                <w:sz w:val="21"/>
              </w:rPr>
              <w:t>nly</w:t>
            </w:r>
          </w:p>
        </w:tc>
        <w:tc>
          <w:tcPr>
            <w:tcW w:w="1479" w:type="dxa"/>
          </w:tcPr>
          <w:p w14:paraId="6FF8F219">
            <w:pPr>
              <w:spacing w:line="288" w:lineRule="auto"/>
              <w:jc w:val="center"/>
              <w:rPr>
                <w:rFonts w:eastAsia="宋体" w:cs="Times New Roman"/>
                <w:sz w:val="21"/>
              </w:rPr>
            </w:pPr>
            <w:r>
              <w:rPr>
                <w:rFonts w:hint="eastAsia" w:eastAsia="宋体" w:cs="Times New Roman"/>
                <w:sz w:val="21"/>
              </w:rPr>
              <w:t>-196.40</w:t>
            </w:r>
          </w:p>
        </w:tc>
        <w:tc>
          <w:tcPr>
            <w:tcW w:w="1664" w:type="dxa"/>
          </w:tcPr>
          <w:p w14:paraId="3C6CABC2">
            <w:pPr>
              <w:spacing w:line="288" w:lineRule="auto"/>
              <w:jc w:val="center"/>
              <w:rPr>
                <w:rFonts w:eastAsia="宋体" w:cs="Times New Roman"/>
                <w:sz w:val="21"/>
              </w:rPr>
            </w:pPr>
            <w:r>
              <w:rPr>
                <w:rFonts w:hint="eastAsia" w:eastAsia="宋体" w:cs="Times New Roman"/>
                <w:sz w:val="21"/>
              </w:rPr>
              <w:t>64.45</w:t>
            </w:r>
          </w:p>
        </w:tc>
        <w:tc>
          <w:tcPr>
            <w:tcW w:w="2033" w:type="dxa"/>
          </w:tcPr>
          <w:p w14:paraId="300602ED">
            <w:pPr>
              <w:spacing w:line="288" w:lineRule="auto"/>
              <w:jc w:val="center"/>
              <w:rPr>
                <w:rFonts w:eastAsia="宋体" w:cs="Times New Roman"/>
                <w:sz w:val="21"/>
              </w:rPr>
            </w:pPr>
            <w:r>
              <w:rPr>
                <w:rFonts w:hint="eastAsia" w:eastAsia="宋体" w:cs="Times New Roman"/>
                <w:sz w:val="21"/>
              </w:rPr>
              <w:t>56.79</w:t>
            </w:r>
          </w:p>
        </w:tc>
        <w:tc>
          <w:tcPr>
            <w:tcW w:w="1481" w:type="dxa"/>
          </w:tcPr>
          <w:p w14:paraId="71AB0294">
            <w:pPr>
              <w:spacing w:line="288" w:lineRule="auto"/>
              <w:jc w:val="center"/>
              <w:rPr>
                <w:rFonts w:eastAsia="宋体" w:cs="Times New Roman"/>
                <w:sz w:val="21"/>
              </w:rPr>
            </w:pPr>
            <w:r>
              <w:rPr>
                <w:rFonts w:hint="eastAsia" w:eastAsia="宋体" w:cs="Times New Roman"/>
                <w:sz w:val="21"/>
              </w:rPr>
              <w:t>0.53</w:t>
            </w:r>
          </w:p>
        </w:tc>
      </w:tr>
      <w:tr w14:paraId="194EF3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2D82A58C">
            <w:pPr>
              <w:spacing w:line="288" w:lineRule="auto"/>
              <w:jc w:val="center"/>
              <w:rPr>
                <w:rFonts w:eastAsia="宋体" w:cs="Times New Roman"/>
                <w:sz w:val="21"/>
              </w:rPr>
            </w:pPr>
            <w:r>
              <w:rPr>
                <w:rFonts w:hint="eastAsia" w:eastAsia="宋体" w:cs="Times New Roman"/>
                <w:sz w:val="21"/>
                <w:szCs w:val="21"/>
              </w:rPr>
              <w:t>LLM-Only</w:t>
            </w:r>
          </w:p>
        </w:tc>
        <w:tc>
          <w:tcPr>
            <w:tcW w:w="1479" w:type="dxa"/>
          </w:tcPr>
          <w:p w14:paraId="0815C960">
            <w:pPr>
              <w:spacing w:line="288" w:lineRule="auto"/>
              <w:jc w:val="center"/>
              <w:rPr>
                <w:rFonts w:eastAsia="宋体" w:cs="Times New Roman"/>
                <w:sz w:val="21"/>
              </w:rPr>
            </w:pPr>
            <w:r>
              <w:rPr>
                <w:rFonts w:hint="eastAsia" w:eastAsia="宋体" w:cs="Times New Roman"/>
                <w:sz w:val="21"/>
              </w:rPr>
              <w:t>-201.72</w:t>
            </w:r>
          </w:p>
        </w:tc>
        <w:tc>
          <w:tcPr>
            <w:tcW w:w="1664" w:type="dxa"/>
          </w:tcPr>
          <w:p w14:paraId="46DB0F5D">
            <w:pPr>
              <w:spacing w:line="288" w:lineRule="auto"/>
              <w:jc w:val="center"/>
              <w:rPr>
                <w:rFonts w:eastAsia="宋体" w:cs="Times New Roman"/>
                <w:sz w:val="21"/>
              </w:rPr>
            </w:pPr>
            <w:r>
              <w:rPr>
                <w:rFonts w:hint="eastAsia" w:eastAsia="宋体" w:cs="Times New Roman"/>
                <w:sz w:val="21"/>
              </w:rPr>
              <w:t>67.90</w:t>
            </w:r>
          </w:p>
        </w:tc>
        <w:tc>
          <w:tcPr>
            <w:tcW w:w="2033" w:type="dxa"/>
          </w:tcPr>
          <w:p w14:paraId="5CE9320F">
            <w:pPr>
              <w:spacing w:line="288" w:lineRule="auto"/>
              <w:jc w:val="center"/>
              <w:rPr>
                <w:rFonts w:eastAsia="宋体" w:cs="Times New Roman"/>
                <w:sz w:val="21"/>
              </w:rPr>
            </w:pPr>
            <w:r>
              <w:rPr>
                <w:rFonts w:hint="eastAsia" w:eastAsia="宋体" w:cs="Times New Roman"/>
                <w:sz w:val="21"/>
              </w:rPr>
              <w:t>51.28</w:t>
            </w:r>
          </w:p>
        </w:tc>
        <w:tc>
          <w:tcPr>
            <w:tcW w:w="1481" w:type="dxa"/>
          </w:tcPr>
          <w:p w14:paraId="79324A07">
            <w:pPr>
              <w:spacing w:line="288" w:lineRule="auto"/>
              <w:jc w:val="center"/>
              <w:rPr>
                <w:rFonts w:eastAsia="宋体" w:cs="Times New Roman"/>
                <w:sz w:val="21"/>
              </w:rPr>
            </w:pPr>
            <w:r>
              <w:rPr>
                <w:rFonts w:hint="eastAsia" w:eastAsia="宋体" w:cs="Times New Roman"/>
                <w:sz w:val="21"/>
              </w:rPr>
              <w:t>0.57</w:t>
            </w:r>
          </w:p>
        </w:tc>
      </w:tr>
      <w:tr w14:paraId="305653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04F03E24">
            <w:pPr>
              <w:spacing w:line="288" w:lineRule="auto"/>
              <w:jc w:val="center"/>
              <w:rPr>
                <w:rFonts w:eastAsia="宋体" w:cs="Times New Roman"/>
                <w:b/>
                <w:bCs/>
                <w:sz w:val="21"/>
                <w:szCs w:val="21"/>
              </w:rPr>
            </w:pPr>
            <w:r>
              <w:rPr>
                <w:rFonts w:hint="eastAsia" w:eastAsia="宋体" w:cs="Times New Roman"/>
                <w:b/>
                <w:bCs/>
                <w:sz w:val="21"/>
                <w:szCs w:val="21"/>
              </w:rPr>
              <w:t>LWM-RL</w:t>
            </w:r>
          </w:p>
        </w:tc>
        <w:tc>
          <w:tcPr>
            <w:tcW w:w="1479" w:type="dxa"/>
          </w:tcPr>
          <w:p w14:paraId="0F8C8E4C">
            <w:pPr>
              <w:spacing w:line="288" w:lineRule="auto"/>
              <w:jc w:val="center"/>
              <w:rPr>
                <w:rFonts w:eastAsia="宋体" w:cs="Times New Roman"/>
                <w:b/>
                <w:bCs/>
                <w:sz w:val="21"/>
              </w:rPr>
            </w:pPr>
            <w:r>
              <w:rPr>
                <w:rFonts w:hint="eastAsia" w:eastAsia="宋体" w:cs="Times New Roman"/>
                <w:b/>
                <w:bCs/>
                <w:sz w:val="21"/>
              </w:rPr>
              <w:t>-125.65</w:t>
            </w:r>
          </w:p>
        </w:tc>
        <w:tc>
          <w:tcPr>
            <w:tcW w:w="1664" w:type="dxa"/>
          </w:tcPr>
          <w:p w14:paraId="1E3BBB53">
            <w:pPr>
              <w:spacing w:line="288" w:lineRule="auto"/>
              <w:jc w:val="center"/>
              <w:rPr>
                <w:rFonts w:eastAsia="宋体" w:cs="Times New Roman"/>
                <w:b/>
                <w:bCs/>
                <w:sz w:val="21"/>
              </w:rPr>
            </w:pPr>
            <w:r>
              <w:rPr>
                <w:rFonts w:hint="eastAsia" w:eastAsia="宋体" w:cs="Times New Roman"/>
                <w:b/>
                <w:bCs/>
                <w:sz w:val="21"/>
              </w:rPr>
              <w:t>50.32</w:t>
            </w:r>
          </w:p>
        </w:tc>
        <w:tc>
          <w:tcPr>
            <w:tcW w:w="2033" w:type="dxa"/>
          </w:tcPr>
          <w:p w14:paraId="748E1E17">
            <w:pPr>
              <w:spacing w:line="288" w:lineRule="auto"/>
              <w:jc w:val="center"/>
              <w:rPr>
                <w:rFonts w:eastAsia="宋体" w:cs="Times New Roman"/>
                <w:b/>
                <w:bCs/>
                <w:sz w:val="21"/>
              </w:rPr>
            </w:pPr>
            <w:r>
              <w:rPr>
                <w:rFonts w:hint="eastAsia" w:eastAsia="宋体" w:cs="Times New Roman"/>
                <w:b/>
                <w:bCs/>
                <w:sz w:val="21"/>
              </w:rPr>
              <w:t>42.87</w:t>
            </w:r>
          </w:p>
        </w:tc>
        <w:tc>
          <w:tcPr>
            <w:tcW w:w="1481" w:type="dxa"/>
          </w:tcPr>
          <w:p w14:paraId="0B254860">
            <w:pPr>
              <w:spacing w:line="288" w:lineRule="auto"/>
              <w:jc w:val="center"/>
              <w:rPr>
                <w:rFonts w:eastAsia="宋体" w:cs="Times New Roman"/>
                <w:b/>
                <w:bCs/>
                <w:sz w:val="21"/>
              </w:rPr>
            </w:pPr>
            <w:r>
              <w:rPr>
                <w:rFonts w:hint="eastAsia" w:eastAsia="宋体" w:cs="Times New Roman"/>
                <w:b/>
                <w:bCs/>
                <w:sz w:val="21"/>
              </w:rPr>
              <w:t>0.63</w:t>
            </w:r>
          </w:p>
        </w:tc>
      </w:tr>
    </w:tbl>
    <w:p w14:paraId="54233525">
      <w:pPr>
        <w:spacing w:before="156" w:beforeLines="50"/>
        <w:ind w:firstLine="480" w:firstLineChars="200"/>
      </w:pPr>
      <w:r>
        <w:rPr>
          <w:rFonts w:hint="eastAsia"/>
        </w:rPr>
        <w:t>从表4.5中可以看出，LWM-RL相较于基线模型取得了最优的检测效果，具体分析如下：</w:t>
      </w:r>
    </w:p>
    <w:p w14:paraId="5D840040">
      <w:pPr>
        <w:ind w:firstLine="480" w:firstLineChars="200"/>
      </w:pPr>
      <w:r>
        <w:rPr>
          <w:rFonts w:hint="eastAsia"/>
        </w:rPr>
        <w:t>1）相较于Rule方法，RL-Only及LLM-Only方法在各项指标上均有明显提升。该实验结果表明，若只依赖固定阈值规则，难以适应APT隐匿攻击行为动态变化演进的特性，而不论是强化学习的自适应决策能力，还是大模型的高质量候选计划及先验生成能力，都能够较大程度地提升方法整体的检测性能。</w:t>
      </w:r>
    </w:p>
    <w:p w14:paraId="27D18097">
      <w:pPr>
        <w:ind w:firstLine="480" w:firstLineChars="200"/>
      </w:pPr>
      <w:r>
        <w:rPr>
          <w:rFonts w:hint="eastAsia"/>
        </w:rPr>
        <w:t>2）相较于RL-Only，LLM-Only方法在平均恢复时间及恢复精确率方面更优，但在平均回报及回报标准差方面略弱于RL-Only方法。该实验结果表明，大模型生成的候选计划及先验偏好能够在一定程度上提升语义动作的合理性，使得方法在恢复准确性方面优于强化学习策略；然而，其缺少基于环境反馈的持续优化与学习能力，仅使用大模型难以保证长期收益及策略稳定性。因此，若将大模型与强化学习策略结合，则可以在一定程度上优势互补，达到更优的检测效果。</w:t>
      </w:r>
    </w:p>
    <w:p w14:paraId="1A6E9581">
      <w:pPr>
        <w:ind w:firstLine="480" w:firstLineChars="200"/>
      </w:pPr>
      <w:r>
        <w:rPr>
          <w:rFonts w:hint="eastAsia"/>
        </w:rPr>
        <w:t>3）LWM-RL在各项指标上均优于其他基线模型，且表现出最好的综合检测性能。这证明了仅单独使用大模型先验或强化学习方法，难以兼顾检测的长期收益、策略稳定性等方面，若将大模型先验、世界模型前瞻评估与强化学习后验选择结合使用，则可达到最优的检测效果。</w:t>
      </w:r>
    </w:p>
    <w:p w14:paraId="19DAF029">
      <w:pPr>
        <w:ind w:firstLine="480" w:firstLineChars="200"/>
      </w:pPr>
      <w:r>
        <w:rPr>
          <w:rFonts w:hint="eastAsia"/>
        </w:rPr>
        <w:t>综上所述，Rule、RL-Only及LLM-Only方法分别体现了规则决策、强化学习决策、大模型先验的检测性能，反映了它们难以兼顾长期收益、决策稳定性、恢复效率的特点。相比之下，本文提出的LWM-RL方法在各项指标上均取得最优结果，证明了本文方法的合理性与有效性。</w:t>
      </w:r>
    </w:p>
    <w:p w14:paraId="18E91E37">
      <w:pPr>
        <w:ind w:firstLine="482" w:firstLineChars="200"/>
        <w:rPr>
          <w:b/>
          <w:bCs/>
        </w:rPr>
      </w:pPr>
      <w:r>
        <w:rPr>
          <w:rFonts w:hint="eastAsia"/>
          <w:b/>
          <w:bCs/>
        </w:rPr>
        <w:t>（3）不同LLM模型有效性对比</w:t>
      </w:r>
    </w:p>
    <w:p w14:paraId="60BBB47D">
      <w:pPr>
        <w:ind w:firstLine="480" w:firstLineChars="200"/>
      </w:pPr>
      <w:r>
        <w:t>为比较</w:t>
      </w:r>
      <w:r>
        <w:rPr>
          <w:rFonts w:hint="eastAsia"/>
        </w:rPr>
        <w:t>使用</w:t>
      </w:r>
      <w:r>
        <w:t>不同LLM模型对本文方法检测效果的影响，</w:t>
      </w:r>
      <w:r>
        <w:rPr>
          <w:rFonts w:hint="eastAsia"/>
        </w:rPr>
        <w:t>本节</w:t>
      </w:r>
      <w:r>
        <w:t>在</w:t>
      </w:r>
      <w:r>
        <w:rPr>
          <w:rFonts w:hint="eastAsia"/>
        </w:rPr>
        <w:t>其他</w:t>
      </w:r>
      <w:r>
        <w:t>实验设置保持一致的条件下，分别接入Qwen-3.5、GPT-5.2和Gemini-3.1</w:t>
      </w:r>
      <w:r>
        <w:rPr>
          <w:rFonts w:hint="eastAsia"/>
        </w:rPr>
        <w:t>生成候选计划及先验偏好，其</w:t>
      </w:r>
      <w:r>
        <w:t>对比结果如表4.</w:t>
      </w:r>
      <w:r>
        <w:rPr>
          <w:rFonts w:hint="eastAsia"/>
        </w:rPr>
        <w:t>6</w:t>
      </w:r>
      <w:r>
        <w:t>所示。</w:t>
      </w:r>
    </w:p>
    <w:p w14:paraId="0A1AD1FA">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6</w:t>
      </w:r>
      <w:r>
        <w:rPr>
          <w:rFonts w:eastAsia="宋体" w:cs="Times New Roman"/>
          <w:sz w:val="21"/>
          <w:szCs w:val="21"/>
        </w:rPr>
        <w:t xml:space="preserve"> </w:t>
      </w:r>
      <w:r>
        <w:rPr>
          <w:rFonts w:hint="eastAsia" w:eastAsia="宋体" w:cs="Times New Roman"/>
          <w:sz w:val="21"/>
          <w:szCs w:val="21"/>
        </w:rPr>
        <w:t>使用不同大模型的对比实验结果</w:t>
      </w:r>
    </w:p>
    <w:tbl>
      <w:tblPr>
        <w:tblStyle w:val="19"/>
        <w:tblW w:w="83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5"/>
        <w:gridCol w:w="1479"/>
        <w:gridCol w:w="1664"/>
        <w:gridCol w:w="2033"/>
        <w:gridCol w:w="1481"/>
      </w:tblGrid>
      <w:tr w14:paraId="4BA422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12" w:space="0"/>
              <w:bottom w:val="single" w:color="auto" w:sz="4" w:space="0"/>
            </w:tcBorders>
          </w:tcPr>
          <w:p w14:paraId="5FF394C7">
            <w:pPr>
              <w:spacing w:line="288" w:lineRule="auto"/>
              <w:jc w:val="center"/>
              <w:rPr>
                <w:rFonts w:eastAsia="宋体" w:cs="Times New Roman"/>
                <w:sz w:val="21"/>
              </w:rPr>
            </w:pPr>
          </w:p>
        </w:tc>
        <w:tc>
          <w:tcPr>
            <w:tcW w:w="1479" w:type="dxa"/>
            <w:tcBorders>
              <w:top w:val="single" w:color="auto" w:sz="12" w:space="0"/>
              <w:bottom w:val="single" w:color="auto" w:sz="4" w:space="0"/>
            </w:tcBorders>
          </w:tcPr>
          <w:p w14:paraId="1E9F6DF6">
            <w:pPr>
              <w:spacing w:line="288" w:lineRule="auto"/>
              <w:jc w:val="center"/>
              <w:rPr>
                <w:rFonts w:eastAsia="宋体" w:cs="Times New Roman"/>
                <w:sz w:val="21"/>
              </w:rPr>
            </w:pPr>
            <w:r>
              <w:rPr>
                <w:rFonts w:hint="eastAsia" w:eastAsia="宋体" w:cs="Times New Roman"/>
                <w:sz w:val="21"/>
                <w:szCs w:val="21"/>
              </w:rPr>
              <w:t>平均回报</w:t>
            </w:r>
          </w:p>
        </w:tc>
        <w:tc>
          <w:tcPr>
            <w:tcW w:w="1664" w:type="dxa"/>
            <w:tcBorders>
              <w:top w:val="single" w:color="auto" w:sz="12" w:space="0"/>
              <w:bottom w:val="single" w:color="auto" w:sz="4" w:space="0"/>
            </w:tcBorders>
          </w:tcPr>
          <w:p w14:paraId="654A3DC6">
            <w:pPr>
              <w:spacing w:line="288" w:lineRule="auto"/>
              <w:jc w:val="center"/>
              <w:rPr>
                <w:rFonts w:eastAsia="宋体" w:cs="Times New Roman"/>
                <w:sz w:val="21"/>
              </w:rPr>
            </w:pPr>
            <w:r>
              <w:rPr>
                <w:rFonts w:hint="eastAsia" w:eastAsia="宋体" w:cs="Times New Roman"/>
                <w:sz w:val="21"/>
                <w:szCs w:val="21"/>
              </w:rPr>
              <w:t>回报标准差</w:t>
            </w:r>
          </w:p>
        </w:tc>
        <w:tc>
          <w:tcPr>
            <w:tcW w:w="2033" w:type="dxa"/>
            <w:tcBorders>
              <w:top w:val="single" w:color="auto" w:sz="12" w:space="0"/>
              <w:bottom w:val="single" w:color="auto" w:sz="4" w:space="0"/>
            </w:tcBorders>
          </w:tcPr>
          <w:p w14:paraId="6C30B2BD">
            <w:pPr>
              <w:spacing w:line="288" w:lineRule="auto"/>
              <w:jc w:val="center"/>
              <w:rPr>
                <w:rFonts w:eastAsia="宋体" w:cs="Times New Roman"/>
                <w:sz w:val="21"/>
              </w:rPr>
            </w:pPr>
            <w:r>
              <w:rPr>
                <w:rFonts w:hint="eastAsia" w:eastAsia="宋体" w:cs="Times New Roman"/>
                <w:sz w:val="21"/>
                <w:szCs w:val="21"/>
              </w:rPr>
              <w:t>平均恢复时间</w:t>
            </w:r>
          </w:p>
        </w:tc>
        <w:tc>
          <w:tcPr>
            <w:tcW w:w="1481" w:type="dxa"/>
            <w:tcBorders>
              <w:top w:val="single" w:color="auto" w:sz="12" w:space="0"/>
              <w:bottom w:val="single" w:color="auto" w:sz="4" w:space="0"/>
            </w:tcBorders>
          </w:tcPr>
          <w:p w14:paraId="2345E663">
            <w:pPr>
              <w:spacing w:line="288" w:lineRule="auto"/>
              <w:jc w:val="center"/>
              <w:rPr>
                <w:rFonts w:eastAsia="宋体" w:cs="Times New Roman"/>
                <w:sz w:val="21"/>
              </w:rPr>
            </w:pPr>
            <w:r>
              <w:rPr>
                <w:rFonts w:hint="eastAsia" w:eastAsia="宋体" w:cs="Times New Roman"/>
                <w:sz w:val="21"/>
                <w:szCs w:val="21"/>
              </w:rPr>
              <w:t>恢复精确率</w:t>
            </w:r>
          </w:p>
        </w:tc>
      </w:tr>
      <w:tr w14:paraId="33388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4" w:space="0"/>
            </w:tcBorders>
          </w:tcPr>
          <w:p w14:paraId="72D90810">
            <w:pPr>
              <w:spacing w:line="288" w:lineRule="auto"/>
              <w:jc w:val="center"/>
              <w:rPr>
                <w:rFonts w:eastAsia="宋体" w:cs="Times New Roman"/>
                <w:sz w:val="21"/>
              </w:rPr>
            </w:pPr>
            <w:r>
              <w:rPr>
                <w:rFonts w:hint="eastAsia" w:eastAsia="宋体" w:cs="宋体"/>
                <w:kern w:val="0"/>
                <w:sz w:val="21"/>
                <w:szCs w:val="21"/>
              </w:rPr>
              <w:t>Qwen-3.5</w:t>
            </w:r>
          </w:p>
        </w:tc>
        <w:tc>
          <w:tcPr>
            <w:tcW w:w="1479" w:type="dxa"/>
            <w:tcBorders>
              <w:top w:val="single" w:color="auto" w:sz="4" w:space="0"/>
            </w:tcBorders>
          </w:tcPr>
          <w:p w14:paraId="0B1740FB">
            <w:pPr>
              <w:spacing w:line="288" w:lineRule="auto"/>
              <w:jc w:val="center"/>
              <w:rPr>
                <w:rFonts w:eastAsia="宋体" w:cs="Times New Roman"/>
                <w:sz w:val="21"/>
              </w:rPr>
            </w:pPr>
            <w:r>
              <w:rPr>
                <w:rFonts w:hint="eastAsia" w:eastAsia="宋体" w:cs="Times New Roman"/>
                <w:sz w:val="21"/>
              </w:rPr>
              <w:t>-145.45</w:t>
            </w:r>
          </w:p>
        </w:tc>
        <w:tc>
          <w:tcPr>
            <w:tcW w:w="1664" w:type="dxa"/>
            <w:tcBorders>
              <w:top w:val="single" w:color="auto" w:sz="4" w:space="0"/>
            </w:tcBorders>
          </w:tcPr>
          <w:p w14:paraId="162497B5">
            <w:pPr>
              <w:spacing w:line="288" w:lineRule="auto"/>
              <w:jc w:val="center"/>
              <w:rPr>
                <w:rFonts w:eastAsia="宋体" w:cs="Times New Roman"/>
                <w:sz w:val="21"/>
              </w:rPr>
            </w:pPr>
            <w:r>
              <w:rPr>
                <w:rFonts w:hint="eastAsia" w:eastAsia="宋体" w:cs="Times New Roman"/>
                <w:sz w:val="21"/>
              </w:rPr>
              <w:t>58.93</w:t>
            </w:r>
          </w:p>
        </w:tc>
        <w:tc>
          <w:tcPr>
            <w:tcW w:w="2033" w:type="dxa"/>
            <w:tcBorders>
              <w:top w:val="single" w:color="auto" w:sz="4" w:space="0"/>
            </w:tcBorders>
          </w:tcPr>
          <w:p w14:paraId="14DCA8EA">
            <w:pPr>
              <w:spacing w:line="288" w:lineRule="auto"/>
              <w:jc w:val="center"/>
              <w:rPr>
                <w:rFonts w:eastAsia="宋体" w:cs="Times New Roman"/>
                <w:sz w:val="21"/>
              </w:rPr>
            </w:pPr>
            <w:r>
              <w:rPr>
                <w:rFonts w:hint="eastAsia" w:eastAsia="宋体" w:cs="Times New Roman"/>
                <w:sz w:val="21"/>
              </w:rPr>
              <w:t>52.76</w:t>
            </w:r>
          </w:p>
        </w:tc>
        <w:tc>
          <w:tcPr>
            <w:tcW w:w="1481" w:type="dxa"/>
            <w:tcBorders>
              <w:top w:val="single" w:color="auto" w:sz="4" w:space="0"/>
            </w:tcBorders>
          </w:tcPr>
          <w:p w14:paraId="7048C849">
            <w:pPr>
              <w:spacing w:line="288" w:lineRule="auto"/>
              <w:jc w:val="center"/>
              <w:rPr>
                <w:rFonts w:eastAsia="宋体" w:cs="Times New Roman"/>
                <w:sz w:val="21"/>
              </w:rPr>
            </w:pPr>
            <w:r>
              <w:rPr>
                <w:rFonts w:hint="eastAsia" w:eastAsia="宋体" w:cs="Times New Roman"/>
                <w:sz w:val="21"/>
              </w:rPr>
              <w:t>0.53</w:t>
            </w:r>
          </w:p>
        </w:tc>
      </w:tr>
      <w:tr w14:paraId="4661E9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1B117C82">
            <w:pPr>
              <w:spacing w:line="288" w:lineRule="auto"/>
              <w:jc w:val="center"/>
              <w:rPr>
                <w:rFonts w:eastAsia="宋体" w:cs="Times New Roman"/>
                <w:sz w:val="21"/>
              </w:rPr>
            </w:pPr>
            <w:r>
              <w:rPr>
                <w:rFonts w:hint="eastAsia" w:eastAsia="宋体" w:cs="Times New Roman"/>
                <w:sz w:val="21"/>
              </w:rPr>
              <w:t>GPT-5.2</w:t>
            </w:r>
          </w:p>
        </w:tc>
        <w:tc>
          <w:tcPr>
            <w:tcW w:w="1479" w:type="dxa"/>
          </w:tcPr>
          <w:p w14:paraId="08E24E6A">
            <w:pPr>
              <w:spacing w:line="288" w:lineRule="auto"/>
              <w:jc w:val="center"/>
              <w:rPr>
                <w:rFonts w:eastAsia="宋体" w:cs="Times New Roman"/>
                <w:sz w:val="21"/>
              </w:rPr>
            </w:pPr>
            <w:r>
              <w:rPr>
                <w:rFonts w:hint="eastAsia" w:eastAsia="宋体" w:cs="Times New Roman"/>
                <w:sz w:val="21"/>
              </w:rPr>
              <w:t>-133.72</w:t>
            </w:r>
          </w:p>
        </w:tc>
        <w:tc>
          <w:tcPr>
            <w:tcW w:w="1664" w:type="dxa"/>
          </w:tcPr>
          <w:p w14:paraId="6CE6DB0C">
            <w:pPr>
              <w:spacing w:line="288" w:lineRule="auto"/>
              <w:jc w:val="center"/>
              <w:rPr>
                <w:rFonts w:eastAsia="宋体" w:cs="Times New Roman"/>
                <w:sz w:val="21"/>
              </w:rPr>
            </w:pPr>
            <w:r>
              <w:rPr>
                <w:rFonts w:hint="eastAsia" w:eastAsia="宋体" w:cs="Times New Roman"/>
                <w:sz w:val="21"/>
              </w:rPr>
              <w:t>53.37</w:t>
            </w:r>
          </w:p>
        </w:tc>
        <w:tc>
          <w:tcPr>
            <w:tcW w:w="2033" w:type="dxa"/>
          </w:tcPr>
          <w:p w14:paraId="6F6E5172">
            <w:pPr>
              <w:spacing w:line="288" w:lineRule="auto"/>
              <w:jc w:val="center"/>
              <w:rPr>
                <w:rFonts w:eastAsia="宋体" w:cs="Times New Roman"/>
                <w:b/>
                <w:bCs/>
                <w:sz w:val="21"/>
              </w:rPr>
            </w:pPr>
            <w:r>
              <w:rPr>
                <w:rFonts w:hint="eastAsia" w:eastAsia="宋体" w:cs="Times New Roman"/>
                <w:b/>
                <w:bCs/>
                <w:sz w:val="21"/>
              </w:rPr>
              <w:t>40.15</w:t>
            </w:r>
          </w:p>
        </w:tc>
        <w:tc>
          <w:tcPr>
            <w:tcW w:w="1481" w:type="dxa"/>
          </w:tcPr>
          <w:p w14:paraId="76376671">
            <w:pPr>
              <w:spacing w:line="288" w:lineRule="auto"/>
              <w:jc w:val="center"/>
              <w:rPr>
                <w:rFonts w:eastAsia="宋体" w:cs="Times New Roman"/>
                <w:sz w:val="21"/>
              </w:rPr>
            </w:pPr>
            <w:r>
              <w:rPr>
                <w:rFonts w:hint="eastAsia" w:eastAsia="宋体" w:cs="Times New Roman"/>
                <w:sz w:val="21"/>
              </w:rPr>
              <w:t>0.52</w:t>
            </w:r>
          </w:p>
        </w:tc>
      </w:tr>
      <w:tr w14:paraId="4F41AE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355219FC">
            <w:pPr>
              <w:spacing w:line="288" w:lineRule="auto"/>
              <w:jc w:val="center"/>
              <w:rPr>
                <w:rFonts w:eastAsia="宋体" w:cs="Times New Roman"/>
                <w:b/>
                <w:bCs/>
                <w:sz w:val="21"/>
              </w:rPr>
            </w:pPr>
            <w:r>
              <w:rPr>
                <w:rFonts w:hint="eastAsia" w:eastAsia="宋体" w:cs="Times New Roman"/>
                <w:b/>
                <w:bCs/>
                <w:sz w:val="21"/>
                <w:szCs w:val="21"/>
              </w:rPr>
              <w:t>Gemini-3.1</w:t>
            </w:r>
          </w:p>
        </w:tc>
        <w:tc>
          <w:tcPr>
            <w:tcW w:w="1479" w:type="dxa"/>
          </w:tcPr>
          <w:p w14:paraId="29BBB635">
            <w:pPr>
              <w:spacing w:line="288" w:lineRule="auto"/>
              <w:jc w:val="center"/>
              <w:rPr>
                <w:rFonts w:eastAsia="宋体" w:cs="Times New Roman"/>
                <w:sz w:val="21"/>
              </w:rPr>
            </w:pPr>
            <w:r>
              <w:rPr>
                <w:rFonts w:hint="eastAsia" w:eastAsia="宋体" w:cs="Times New Roman"/>
                <w:b/>
                <w:bCs/>
                <w:sz w:val="21"/>
              </w:rPr>
              <w:t>-125.65</w:t>
            </w:r>
          </w:p>
        </w:tc>
        <w:tc>
          <w:tcPr>
            <w:tcW w:w="1664" w:type="dxa"/>
          </w:tcPr>
          <w:p w14:paraId="2149EB0B">
            <w:pPr>
              <w:spacing w:line="288" w:lineRule="auto"/>
              <w:jc w:val="center"/>
              <w:rPr>
                <w:rFonts w:eastAsia="宋体" w:cs="Times New Roman"/>
                <w:sz w:val="21"/>
              </w:rPr>
            </w:pPr>
            <w:r>
              <w:rPr>
                <w:rFonts w:hint="eastAsia" w:eastAsia="宋体" w:cs="Times New Roman"/>
                <w:b/>
                <w:bCs/>
                <w:sz w:val="21"/>
              </w:rPr>
              <w:t>50.32</w:t>
            </w:r>
          </w:p>
        </w:tc>
        <w:tc>
          <w:tcPr>
            <w:tcW w:w="2033" w:type="dxa"/>
          </w:tcPr>
          <w:p w14:paraId="2BCACC08">
            <w:pPr>
              <w:spacing w:line="288" w:lineRule="auto"/>
              <w:jc w:val="center"/>
              <w:rPr>
                <w:rFonts w:eastAsia="宋体" w:cs="Times New Roman"/>
                <w:sz w:val="21"/>
              </w:rPr>
            </w:pPr>
            <w:r>
              <w:rPr>
                <w:rFonts w:hint="eastAsia" w:eastAsia="宋体" w:cs="Times New Roman"/>
                <w:sz w:val="21"/>
              </w:rPr>
              <w:t>42.87</w:t>
            </w:r>
          </w:p>
        </w:tc>
        <w:tc>
          <w:tcPr>
            <w:tcW w:w="1481" w:type="dxa"/>
          </w:tcPr>
          <w:p w14:paraId="1E0209E1">
            <w:pPr>
              <w:spacing w:line="288" w:lineRule="auto"/>
              <w:jc w:val="center"/>
              <w:rPr>
                <w:rFonts w:eastAsia="宋体" w:cs="Times New Roman"/>
                <w:sz w:val="21"/>
              </w:rPr>
            </w:pPr>
            <w:r>
              <w:rPr>
                <w:rFonts w:hint="eastAsia" w:eastAsia="宋体" w:cs="Times New Roman"/>
                <w:b/>
                <w:bCs/>
                <w:sz w:val="21"/>
              </w:rPr>
              <w:t>0.63</w:t>
            </w:r>
          </w:p>
        </w:tc>
      </w:tr>
    </w:tbl>
    <w:p w14:paraId="14C3BD83">
      <w:pPr>
        <w:spacing w:before="156" w:beforeLines="50"/>
        <w:ind w:firstLine="480" w:firstLineChars="200"/>
      </w:pPr>
      <w:r>
        <w:t>从表4.</w:t>
      </w:r>
      <w:r>
        <w:rPr>
          <w:rFonts w:hint="eastAsia"/>
        </w:rPr>
        <w:t>6</w:t>
      </w:r>
      <w:r>
        <w:t>可以看出，</w:t>
      </w:r>
      <w:r>
        <w:rPr>
          <w:rFonts w:hint="eastAsia"/>
        </w:rPr>
        <w:t>使用</w:t>
      </w:r>
      <w:r>
        <w:t>不同LLM模型会对本文方法的检测效果产生一定影响。整体来看，Gemini-3.1在平均回报、回报标准差和恢复精确率三个指标上均表现最好，</w:t>
      </w:r>
      <w:r>
        <w:rPr>
          <w:rFonts w:hint="eastAsia"/>
        </w:rPr>
        <w:t>表明</w:t>
      </w:r>
      <w:r>
        <w:t>其生成的候选计划及先验偏好更有利于后续前瞻评估与后验选择。GPT-5.2在平均恢复时间指标上表现最优，但整体结果仍略弱于Gemini-3.1；Qwen-3.5在各项指标上整体相对较弱。上述结果</w:t>
      </w:r>
      <w:r>
        <w:rPr>
          <w:rFonts w:hint="eastAsia"/>
        </w:rPr>
        <w:t>证明了</w:t>
      </w:r>
      <w:r>
        <w:t>本文采用Gemini-3.1</w:t>
      </w:r>
      <w:r>
        <w:rPr>
          <w:rFonts w:hint="eastAsia"/>
        </w:rPr>
        <w:t>生成候选计划及先验偏好的有效性</w:t>
      </w:r>
      <w:r>
        <w:t>。</w:t>
      </w:r>
    </w:p>
    <w:p w14:paraId="57A5910D">
      <w:pPr>
        <w:pStyle w:val="4"/>
      </w:pPr>
      <w:bookmarkStart w:id="87" w:name="_Toc230086384"/>
      <w:r>
        <w:rPr>
          <w:rFonts w:hint="eastAsia"/>
        </w:rPr>
        <w:t>4.5.5 提前预警能力验证</w:t>
      </w:r>
      <w:bookmarkEnd w:id="87"/>
    </w:p>
    <w:p w14:paraId="1E1F1EE5">
      <w:pPr>
        <w:ind w:firstLine="482" w:firstLineChars="200"/>
        <w:rPr>
          <w:b/>
          <w:bCs/>
        </w:rPr>
      </w:pPr>
      <w:r>
        <w:rPr>
          <w:rFonts w:hint="eastAsia"/>
          <w:b/>
          <w:bCs/>
        </w:rPr>
        <w:t>（1）与现有文献方法对比</w:t>
      </w:r>
    </w:p>
    <w:p w14:paraId="5B7D33C6">
      <w:pPr>
        <w:ind w:firstLine="480" w:firstLineChars="200"/>
      </w:pPr>
      <w:r>
        <w:t>为验证本文方法在提前预警方面的性能，本文将LWM-RL与三种文献方法在平均提前预警步数指标上进行对比，</w:t>
      </w:r>
      <w:r>
        <w:rPr>
          <w:rFonts w:hint="eastAsia"/>
        </w:rPr>
        <w:t>其</w:t>
      </w:r>
      <w:r>
        <w:t>结果如图4.</w:t>
      </w:r>
      <w:r>
        <w:rPr>
          <w:rFonts w:hint="eastAsia"/>
        </w:rPr>
        <w:t>6</w:t>
      </w:r>
      <w:r>
        <w:t>所示。</w:t>
      </w:r>
    </w:p>
    <w:p w14:paraId="3EDBEE94">
      <w:pPr>
        <w:jc w:val="center"/>
      </w:pPr>
      <w:r>
        <w:drawing>
          <wp:inline distT="0" distB="0" distL="0" distR="0">
            <wp:extent cx="3328670" cy="1891030"/>
            <wp:effectExtent l="0" t="0" r="0" b="0"/>
            <wp:docPr id="209048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81204" name="图片 1"/>
                    <pic:cNvPicPr>
                      <a:picLocks noChangeAspect="1" noChangeArrowheads="1"/>
                    </pic:cNvPicPr>
                  </pic:nvPicPr>
                  <pic:blipFill>
                    <a:blip r:embed="rId510">
                      <a:extLst>
                        <a:ext uri="{28A0092B-C50C-407E-A947-70E740481C1C}">
                          <a14:useLocalDpi xmlns:a14="http://schemas.microsoft.com/office/drawing/2010/main" val="0"/>
                        </a:ext>
                      </a:extLst>
                    </a:blip>
                    <a:srcRect/>
                    <a:stretch>
                      <a:fillRect/>
                    </a:stretch>
                  </pic:blipFill>
                  <pic:spPr>
                    <a:xfrm>
                      <a:off x="0" y="0"/>
                      <a:ext cx="3328670" cy="1891030"/>
                    </a:xfrm>
                    <a:prstGeom prst="rect">
                      <a:avLst/>
                    </a:prstGeom>
                    <a:noFill/>
                    <a:ln>
                      <a:noFill/>
                    </a:ln>
                  </pic:spPr>
                </pic:pic>
              </a:graphicData>
            </a:graphic>
          </wp:inline>
        </w:drawing>
      </w:r>
    </w:p>
    <w:p w14:paraId="47C16A24">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4.6</w:t>
      </w:r>
      <w:r>
        <w:rPr>
          <w:rFonts w:cs="Times New Roman"/>
          <w:sz w:val="21"/>
          <w:szCs w:val="21"/>
        </w:rPr>
        <w:t xml:space="preserve"> </w:t>
      </w:r>
      <w:r>
        <w:rPr>
          <w:rFonts w:hint="eastAsia" w:cs="Times New Roman"/>
          <w:sz w:val="21"/>
          <w:szCs w:val="21"/>
        </w:rPr>
        <w:t>与其他文献方法的对比结果</w:t>
      </w:r>
    </w:p>
    <w:p w14:paraId="3D2ECED4">
      <w:pPr>
        <w:ind w:firstLine="480" w:firstLineChars="200"/>
      </w:pPr>
      <w:r>
        <w:t>从图4.</w:t>
      </w:r>
      <w:r>
        <w:rPr>
          <w:rFonts w:hint="eastAsia"/>
        </w:rPr>
        <w:t>6中</w:t>
      </w:r>
      <w:r>
        <w:t>可以看出，</w:t>
      </w:r>
      <w:r>
        <w:rPr>
          <w:rFonts w:hint="eastAsia"/>
        </w:rPr>
        <w:t>本文方法</w:t>
      </w:r>
      <w:r>
        <w:t>LWM-RL的平均提前预警步数</w:t>
      </w:r>
      <w:r>
        <w:rPr>
          <w:rFonts w:hint="eastAsia"/>
        </w:rPr>
        <w:t>相比现有方法提升了18.15步</w:t>
      </w:r>
      <w:r>
        <w:t>，</w:t>
      </w:r>
      <w:r>
        <w:rPr>
          <w:rFonts w:hint="eastAsia"/>
        </w:rPr>
        <w:t>表明</w:t>
      </w:r>
      <w:r>
        <w:t>本文方法能够在攻击产生实际影响前更早</w:t>
      </w:r>
      <w:r>
        <w:rPr>
          <w:rFonts w:hint="eastAsia"/>
        </w:rPr>
        <w:t>发出</w:t>
      </w:r>
      <w:r>
        <w:t>预警。DCA的平均提前预警步数次之，表明基于模型的攻击关联分析与后续攻击预测对提前发现攻击具有一定作用</w:t>
      </w:r>
      <w:r>
        <w:rPr>
          <w:rFonts w:hint="eastAsia"/>
        </w:rPr>
        <w:t>；</w:t>
      </w:r>
      <w:r>
        <w:t>LLM Priors与Eureka的平均提前预警步数相对较低，</w:t>
      </w:r>
      <w:r>
        <w:rPr>
          <w:rFonts w:hint="eastAsia"/>
        </w:rPr>
        <w:t>这</w:t>
      </w:r>
      <w:r>
        <w:t>说明仅引入LLM先验或主要围绕奖励设计进行优化，在APT攻击持续演化过程的</w:t>
      </w:r>
      <w:r>
        <w:rPr>
          <w:rFonts w:hint="eastAsia"/>
        </w:rPr>
        <w:t>及早检测</w:t>
      </w:r>
      <w:r>
        <w:t>方面仍存在一定不足。</w:t>
      </w:r>
      <w:r>
        <w:rPr>
          <w:rFonts w:hint="eastAsia"/>
        </w:rPr>
        <w:t>因此</w:t>
      </w:r>
      <w:r>
        <w:t>，本文方法在提前预警性能方面表现更优，能够更好地满足新型电力系统APT检测对及时性的</w:t>
      </w:r>
      <w:r>
        <w:rPr>
          <w:rFonts w:hint="eastAsia"/>
        </w:rPr>
        <w:t>需求</w:t>
      </w:r>
      <w:r>
        <w:t>。</w:t>
      </w:r>
    </w:p>
    <w:p w14:paraId="66A3E7E0">
      <w:pPr>
        <w:ind w:firstLine="482" w:firstLineChars="200"/>
        <w:rPr>
          <w:b/>
          <w:bCs/>
        </w:rPr>
      </w:pPr>
      <w:r>
        <w:rPr>
          <w:rFonts w:hint="eastAsia"/>
          <w:b/>
          <w:bCs/>
        </w:rPr>
        <w:t>（2）与基线模型对比</w:t>
      </w:r>
    </w:p>
    <w:p w14:paraId="26EE8516">
      <w:pPr>
        <w:ind w:firstLine="480" w:firstLineChars="200"/>
      </w:pPr>
      <w:r>
        <w:t>为进一步验证本文方法在提前预警方面相较基线模型的优势，本文将LWM-RL与Rule</w:t>
      </w:r>
      <w:r>
        <w:rPr>
          <w:rFonts w:hint="eastAsia"/>
        </w:rPr>
        <w:t>、</w:t>
      </w:r>
      <w:r>
        <w:t>RL-Only及LLM-Only三种基线模型在平均提前预警步数指标上进行对比，</w:t>
      </w:r>
      <w:r>
        <w:rPr>
          <w:rFonts w:hint="eastAsia"/>
        </w:rPr>
        <w:t>其</w:t>
      </w:r>
      <w:r>
        <w:t>结果如图4.</w:t>
      </w:r>
      <w:r>
        <w:rPr>
          <w:rFonts w:hint="eastAsia"/>
        </w:rPr>
        <w:t>7</w:t>
      </w:r>
      <w:r>
        <w:t>所示。</w:t>
      </w:r>
    </w:p>
    <w:p w14:paraId="717A43AA">
      <w:pPr>
        <w:jc w:val="center"/>
      </w:pPr>
      <w:r>
        <w:drawing>
          <wp:inline distT="0" distB="0" distL="0" distR="0">
            <wp:extent cx="3354070" cy="1920240"/>
            <wp:effectExtent l="0" t="0" r="0" b="0"/>
            <wp:docPr id="1462239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9917" name="图片 6"/>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a:xfrm>
                      <a:off x="0" y="0"/>
                      <a:ext cx="3354070" cy="1920240"/>
                    </a:xfrm>
                    <a:prstGeom prst="rect">
                      <a:avLst/>
                    </a:prstGeom>
                    <a:noFill/>
                    <a:ln>
                      <a:noFill/>
                    </a:ln>
                  </pic:spPr>
                </pic:pic>
              </a:graphicData>
            </a:graphic>
          </wp:inline>
        </w:drawing>
      </w:r>
    </w:p>
    <w:p w14:paraId="5F8CE44D">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4.7</w:t>
      </w:r>
      <w:r>
        <w:rPr>
          <w:rFonts w:cs="Times New Roman"/>
          <w:sz w:val="21"/>
          <w:szCs w:val="21"/>
        </w:rPr>
        <w:t xml:space="preserve"> </w:t>
      </w:r>
      <w:r>
        <w:rPr>
          <w:rFonts w:hint="eastAsia" w:cs="Times New Roman"/>
          <w:sz w:val="21"/>
          <w:szCs w:val="21"/>
        </w:rPr>
        <w:t>与基线模型的对比结果</w:t>
      </w:r>
    </w:p>
    <w:p w14:paraId="47117EC0">
      <w:pPr>
        <w:ind w:firstLine="480" w:firstLineChars="200"/>
      </w:pPr>
      <w:r>
        <w:t>从图4.</w:t>
      </w:r>
      <w:r>
        <w:rPr>
          <w:rFonts w:hint="eastAsia"/>
        </w:rPr>
        <w:t>7中</w:t>
      </w:r>
      <w:r>
        <w:t>可以看出，LWM-RL的平均提前预警步数明显</w:t>
      </w:r>
      <w:r>
        <w:rPr>
          <w:rFonts w:hint="eastAsia"/>
        </w:rPr>
        <w:t>优于</w:t>
      </w:r>
      <w:r>
        <w:t>其余基线模型，</w:t>
      </w:r>
      <w:r>
        <w:rPr>
          <w:rFonts w:hint="eastAsia"/>
        </w:rPr>
        <w:t>证明了本文设计的方法在提前预警性能上的有效性</w:t>
      </w:r>
      <w:r>
        <w:t>。相比之下，</w:t>
      </w:r>
      <w:r>
        <w:rPr>
          <w:rFonts w:hint="eastAsia"/>
        </w:rPr>
        <w:t>基于规则的</w:t>
      </w:r>
      <w:r>
        <w:t>Rule方法提前预警能力最弱，</w:t>
      </w:r>
      <w:r>
        <w:rPr>
          <w:rFonts w:hint="eastAsia"/>
        </w:rPr>
        <w:t>表明</w:t>
      </w:r>
      <w:r>
        <w:t>仅依赖固定规则难以适应APT攻击持续演化过程中的动态变化；RL-Only 的结果优于规则方法，表明强化学习的在线决策能力能够一定程度上提升预警及时性；LLM-Only 进一步取得了更高的平均提前预警步数，</w:t>
      </w:r>
      <w:r>
        <w:rPr>
          <w:rFonts w:hint="eastAsia"/>
        </w:rPr>
        <w:t>表明</w:t>
      </w:r>
      <w:r>
        <w:t>大模型生成的候选计划及先验偏好对提前识别攻击具有积极作用。但总体来看，</w:t>
      </w:r>
      <w:r>
        <w:rPr>
          <w:rFonts w:hint="eastAsia"/>
        </w:rPr>
        <w:t>若</w:t>
      </w:r>
      <w:r>
        <w:t>仅依赖规则方法、强化学习方法或LLM先验，仍难以达到本文方法的预警效果。</w:t>
      </w:r>
    </w:p>
    <w:p w14:paraId="0E2DAABC">
      <w:pPr>
        <w:ind w:firstLine="482" w:firstLineChars="200"/>
        <w:rPr>
          <w:b/>
          <w:bCs/>
        </w:rPr>
      </w:pPr>
      <w:r>
        <w:rPr>
          <w:rFonts w:hint="eastAsia"/>
          <w:b/>
          <w:bCs/>
        </w:rPr>
        <w:t>（3）不同LLM模型有效性对比</w:t>
      </w:r>
    </w:p>
    <w:p w14:paraId="23A99266">
      <w:pPr>
        <w:ind w:firstLine="480" w:firstLineChars="200"/>
      </w:pPr>
      <w:r>
        <w:t>在保持其余实验条件一致的情况下，</w:t>
      </w:r>
      <w:r>
        <w:rPr>
          <w:rFonts w:hint="eastAsia"/>
        </w:rPr>
        <w:t>本节</w:t>
      </w:r>
      <w:r>
        <w:t>比较了</w:t>
      </w:r>
      <w:r>
        <w:rPr>
          <w:rFonts w:hint="eastAsia"/>
        </w:rPr>
        <w:t>使用</w:t>
      </w:r>
      <w:r>
        <w:t>不同LLM模型对提前预警性能的影响。使用Qwen-3.5、GPT-5.2和Gemini-3.1时，平均提前预警步数分别为43.07、45.15和49.40。结果表明，不同LLM模型会对本文方法的提前预警能力产生一定影响，其中Gemini-3.1更有利于攻击的提前识别，这</w:t>
      </w:r>
      <w:r>
        <w:rPr>
          <w:rFonts w:hint="eastAsia"/>
        </w:rPr>
        <w:t>证明了</w:t>
      </w:r>
      <w:r>
        <w:t>本文选用Gemini-3.1</w:t>
      </w:r>
      <w:r>
        <w:rPr>
          <w:rFonts w:hint="eastAsia"/>
        </w:rPr>
        <w:t>的有效性</w:t>
      </w:r>
      <w:r>
        <w:t>。</w:t>
      </w:r>
    </w:p>
    <w:p w14:paraId="1046EFFB">
      <w:pPr>
        <w:pStyle w:val="4"/>
        <w:rPr>
          <w:b/>
        </w:rPr>
      </w:pPr>
      <w:bookmarkStart w:id="88" w:name="_Toc230086385"/>
      <w:r>
        <w:rPr>
          <w:rFonts w:hint="eastAsia"/>
        </w:rPr>
        <w:t>4.5.6 消融实验</w:t>
      </w:r>
      <w:bookmarkEnd w:id="88"/>
    </w:p>
    <w:p w14:paraId="0C7119D9">
      <w:pPr>
        <w:widowControl/>
        <w:ind w:firstLine="480" w:firstLineChars="200"/>
        <w:rPr>
          <w:rFonts w:eastAsia="宋体" w:cs="Times New Roman"/>
        </w:rPr>
      </w:pPr>
      <w:r>
        <w:rPr>
          <w:rFonts w:hint="eastAsia" w:eastAsia="宋体" w:cs="Times New Roman"/>
        </w:rPr>
        <w:t>为验证本文所提出各部分方法的有效性，本节设计了消融实验，各方法的含义如下：RL-Only为实验基础方法，其不使用大模型先验及世界模型前瞻评估，直接采用PPO强化学习方法在单区域环境中学习检测策略；LLM-RL在RL-Only的基础上增加了LLM生成候选计划与先验偏好；WM-RL在RL-Only的基础上增加了世界模型对候选计划进行前瞻评估，但候选计划不通过LLM生成，而是由固定动作集合构成，包含</w:t>
      </w:r>
      <w:r>
        <w:t>持续监测、轻量核验、深度核验、处置恢复</w:t>
      </w:r>
      <w:r>
        <w:rPr>
          <w:rFonts w:hint="eastAsia"/>
        </w:rPr>
        <w:t>四类候选动作；LWM-RL为本章针对单区域的最终检测方法，包含LLM先验生成、世界模型前瞻评估与强化学习后验选择。消融实验结果均为四个区域的平均值，具体结果如表4.7所示。</w:t>
      </w:r>
    </w:p>
    <w:p w14:paraId="69F94D01">
      <w:pPr>
        <w:spacing w:line="400" w:lineRule="exact"/>
        <w:jc w:val="center"/>
        <w:rPr>
          <w:rFonts w:eastAsia="宋体" w:cs="Times New Roman"/>
          <w:sz w:val="21"/>
          <w:szCs w:val="21"/>
        </w:rPr>
      </w:pPr>
      <w:r>
        <w:rPr>
          <w:rFonts w:hint="eastAsia" w:eastAsia="宋体" w:cs="Times New Roman"/>
          <w:sz w:val="21"/>
          <w:szCs w:val="21"/>
        </w:rPr>
        <w:t>表4</w:t>
      </w:r>
      <w:r>
        <w:rPr>
          <w:rFonts w:eastAsia="宋体" w:cs="Times New Roman"/>
          <w:sz w:val="21"/>
          <w:szCs w:val="21"/>
        </w:rPr>
        <w:t>.</w:t>
      </w:r>
      <w:r>
        <w:rPr>
          <w:rFonts w:hint="eastAsia" w:eastAsia="宋体" w:cs="Times New Roman"/>
          <w:sz w:val="21"/>
          <w:szCs w:val="21"/>
        </w:rPr>
        <w:t>7</w:t>
      </w:r>
      <w:r>
        <w:rPr>
          <w:rFonts w:eastAsia="宋体" w:cs="Times New Roman"/>
          <w:sz w:val="21"/>
          <w:szCs w:val="21"/>
        </w:rPr>
        <w:t xml:space="preserve"> </w:t>
      </w:r>
      <w:r>
        <w:rPr>
          <w:rFonts w:hint="eastAsia" w:eastAsia="宋体" w:cs="Times New Roman"/>
          <w:sz w:val="21"/>
          <w:szCs w:val="21"/>
        </w:rPr>
        <w:t>LWM-RL方法的消融实验结果</w:t>
      </w:r>
    </w:p>
    <w:tbl>
      <w:tblPr>
        <w:tblStyle w:val="19"/>
        <w:tblW w:w="85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1134"/>
        <w:gridCol w:w="1276"/>
        <w:gridCol w:w="1559"/>
        <w:gridCol w:w="1276"/>
        <w:gridCol w:w="1984"/>
      </w:tblGrid>
      <w:tr w14:paraId="1C803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12" w:space="0"/>
              <w:bottom w:val="single" w:color="auto" w:sz="4" w:space="0"/>
            </w:tcBorders>
          </w:tcPr>
          <w:p w14:paraId="1C0C21E4">
            <w:pPr>
              <w:spacing w:line="288" w:lineRule="auto"/>
              <w:jc w:val="center"/>
              <w:rPr>
                <w:rFonts w:eastAsia="宋体" w:cs="Times New Roman"/>
                <w:sz w:val="21"/>
              </w:rPr>
            </w:pPr>
          </w:p>
        </w:tc>
        <w:tc>
          <w:tcPr>
            <w:tcW w:w="1134" w:type="dxa"/>
            <w:tcBorders>
              <w:top w:val="single" w:color="auto" w:sz="12" w:space="0"/>
              <w:bottom w:val="single" w:color="auto" w:sz="4" w:space="0"/>
            </w:tcBorders>
          </w:tcPr>
          <w:p w14:paraId="187CEB57">
            <w:pPr>
              <w:spacing w:line="288" w:lineRule="auto"/>
              <w:jc w:val="center"/>
              <w:rPr>
                <w:rFonts w:eastAsia="宋体" w:cs="Times New Roman"/>
                <w:sz w:val="21"/>
              </w:rPr>
            </w:pPr>
            <w:r>
              <w:rPr>
                <w:rFonts w:hint="eastAsia" w:eastAsia="宋体" w:cs="Times New Roman"/>
                <w:sz w:val="21"/>
                <w:szCs w:val="21"/>
              </w:rPr>
              <w:t>平均回报</w:t>
            </w:r>
          </w:p>
        </w:tc>
        <w:tc>
          <w:tcPr>
            <w:tcW w:w="1276" w:type="dxa"/>
            <w:tcBorders>
              <w:top w:val="single" w:color="auto" w:sz="12" w:space="0"/>
              <w:bottom w:val="single" w:color="auto" w:sz="4" w:space="0"/>
            </w:tcBorders>
          </w:tcPr>
          <w:p w14:paraId="0B5D3556">
            <w:pPr>
              <w:spacing w:line="288" w:lineRule="auto"/>
              <w:jc w:val="center"/>
              <w:rPr>
                <w:rFonts w:eastAsia="宋体" w:cs="Times New Roman"/>
                <w:sz w:val="21"/>
              </w:rPr>
            </w:pPr>
            <w:r>
              <w:rPr>
                <w:rFonts w:hint="eastAsia" w:eastAsia="宋体" w:cs="Times New Roman"/>
                <w:sz w:val="21"/>
                <w:szCs w:val="21"/>
              </w:rPr>
              <w:t>回报标准差</w:t>
            </w:r>
          </w:p>
        </w:tc>
        <w:tc>
          <w:tcPr>
            <w:tcW w:w="1559" w:type="dxa"/>
            <w:tcBorders>
              <w:top w:val="single" w:color="auto" w:sz="12" w:space="0"/>
              <w:bottom w:val="single" w:color="auto" w:sz="4" w:space="0"/>
            </w:tcBorders>
          </w:tcPr>
          <w:p w14:paraId="11D3D7B9">
            <w:pPr>
              <w:spacing w:line="288" w:lineRule="auto"/>
              <w:jc w:val="center"/>
              <w:rPr>
                <w:rFonts w:eastAsia="宋体" w:cs="Times New Roman"/>
                <w:sz w:val="21"/>
              </w:rPr>
            </w:pPr>
            <w:r>
              <w:rPr>
                <w:rFonts w:hint="eastAsia" w:eastAsia="宋体" w:cs="Times New Roman"/>
                <w:sz w:val="21"/>
                <w:szCs w:val="21"/>
              </w:rPr>
              <w:t>平均恢复时间</w:t>
            </w:r>
          </w:p>
        </w:tc>
        <w:tc>
          <w:tcPr>
            <w:tcW w:w="1276" w:type="dxa"/>
            <w:tcBorders>
              <w:top w:val="single" w:color="auto" w:sz="12" w:space="0"/>
              <w:bottom w:val="single" w:color="auto" w:sz="4" w:space="0"/>
            </w:tcBorders>
          </w:tcPr>
          <w:p w14:paraId="07077F85">
            <w:pPr>
              <w:spacing w:line="288" w:lineRule="auto"/>
              <w:jc w:val="center"/>
              <w:rPr>
                <w:rFonts w:eastAsia="宋体" w:cs="Times New Roman"/>
                <w:sz w:val="21"/>
              </w:rPr>
            </w:pPr>
            <w:r>
              <w:rPr>
                <w:rFonts w:hint="eastAsia" w:eastAsia="宋体" w:cs="Times New Roman"/>
                <w:sz w:val="21"/>
                <w:szCs w:val="21"/>
              </w:rPr>
              <w:t>恢复精确率</w:t>
            </w:r>
          </w:p>
        </w:tc>
        <w:tc>
          <w:tcPr>
            <w:tcW w:w="1984" w:type="dxa"/>
            <w:tcBorders>
              <w:top w:val="single" w:color="auto" w:sz="12" w:space="0"/>
              <w:bottom w:val="single" w:color="auto" w:sz="4" w:space="0"/>
            </w:tcBorders>
          </w:tcPr>
          <w:p w14:paraId="45B3C458">
            <w:pPr>
              <w:spacing w:line="288" w:lineRule="auto"/>
              <w:jc w:val="center"/>
              <w:rPr>
                <w:rFonts w:eastAsia="宋体" w:cs="Times New Roman"/>
                <w:sz w:val="21"/>
              </w:rPr>
            </w:pPr>
            <w:r>
              <w:rPr>
                <w:rFonts w:hint="eastAsia" w:eastAsia="宋体" w:cs="Times New Roman"/>
                <w:sz w:val="21"/>
                <w:szCs w:val="21"/>
              </w:rPr>
              <w:t>平均预警提前步数</w:t>
            </w:r>
          </w:p>
        </w:tc>
      </w:tr>
      <w:tr w14:paraId="6CCC1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4" w:space="0"/>
            </w:tcBorders>
          </w:tcPr>
          <w:p w14:paraId="7D1273EA">
            <w:pPr>
              <w:spacing w:line="288" w:lineRule="auto"/>
              <w:jc w:val="center"/>
              <w:rPr>
                <w:rFonts w:eastAsia="宋体" w:cs="Times New Roman"/>
                <w:sz w:val="21"/>
              </w:rPr>
            </w:pPr>
            <w:r>
              <w:rPr>
                <w:rFonts w:hint="eastAsia" w:eastAsia="宋体" w:cs="宋体"/>
                <w:kern w:val="0"/>
                <w:sz w:val="21"/>
                <w:szCs w:val="21"/>
              </w:rPr>
              <w:t>RL-Only</w:t>
            </w:r>
          </w:p>
        </w:tc>
        <w:tc>
          <w:tcPr>
            <w:tcW w:w="1134" w:type="dxa"/>
            <w:tcBorders>
              <w:top w:val="single" w:color="auto" w:sz="4" w:space="0"/>
            </w:tcBorders>
          </w:tcPr>
          <w:p w14:paraId="47F5CA59">
            <w:pPr>
              <w:spacing w:line="288" w:lineRule="auto"/>
              <w:jc w:val="center"/>
              <w:rPr>
                <w:rFonts w:eastAsia="宋体" w:cs="Times New Roman"/>
                <w:sz w:val="21"/>
              </w:rPr>
            </w:pPr>
            <w:r>
              <w:rPr>
                <w:rFonts w:hint="eastAsia" w:eastAsia="宋体" w:cs="Times New Roman"/>
                <w:sz w:val="21"/>
              </w:rPr>
              <w:t>-196.40</w:t>
            </w:r>
          </w:p>
        </w:tc>
        <w:tc>
          <w:tcPr>
            <w:tcW w:w="1276" w:type="dxa"/>
            <w:tcBorders>
              <w:top w:val="single" w:color="auto" w:sz="4" w:space="0"/>
            </w:tcBorders>
          </w:tcPr>
          <w:p w14:paraId="3B60995D">
            <w:pPr>
              <w:spacing w:line="288" w:lineRule="auto"/>
              <w:jc w:val="center"/>
              <w:rPr>
                <w:rFonts w:eastAsia="宋体" w:cs="Times New Roman"/>
                <w:sz w:val="21"/>
              </w:rPr>
            </w:pPr>
            <w:r>
              <w:rPr>
                <w:rFonts w:hint="eastAsia" w:eastAsia="宋体" w:cs="Times New Roman"/>
                <w:sz w:val="21"/>
              </w:rPr>
              <w:t>64.45</w:t>
            </w:r>
          </w:p>
        </w:tc>
        <w:tc>
          <w:tcPr>
            <w:tcW w:w="1559" w:type="dxa"/>
            <w:tcBorders>
              <w:top w:val="single" w:color="auto" w:sz="4" w:space="0"/>
            </w:tcBorders>
          </w:tcPr>
          <w:p w14:paraId="03E8673F">
            <w:pPr>
              <w:spacing w:line="288" w:lineRule="auto"/>
              <w:jc w:val="center"/>
              <w:rPr>
                <w:rFonts w:eastAsia="宋体" w:cs="Times New Roman"/>
                <w:sz w:val="21"/>
              </w:rPr>
            </w:pPr>
            <w:r>
              <w:rPr>
                <w:rFonts w:hint="eastAsia" w:eastAsia="宋体" w:cs="Times New Roman"/>
                <w:sz w:val="21"/>
              </w:rPr>
              <w:t>56.79</w:t>
            </w:r>
          </w:p>
        </w:tc>
        <w:tc>
          <w:tcPr>
            <w:tcW w:w="1276" w:type="dxa"/>
            <w:tcBorders>
              <w:top w:val="single" w:color="auto" w:sz="4" w:space="0"/>
            </w:tcBorders>
          </w:tcPr>
          <w:p w14:paraId="05CD82EE">
            <w:pPr>
              <w:spacing w:line="288" w:lineRule="auto"/>
              <w:jc w:val="center"/>
              <w:rPr>
                <w:rFonts w:eastAsia="宋体" w:cs="Times New Roman"/>
                <w:sz w:val="21"/>
              </w:rPr>
            </w:pPr>
            <w:r>
              <w:rPr>
                <w:rFonts w:hint="eastAsia" w:eastAsia="宋体" w:cs="Times New Roman"/>
                <w:sz w:val="21"/>
              </w:rPr>
              <w:t>0.53</w:t>
            </w:r>
          </w:p>
        </w:tc>
        <w:tc>
          <w:tcPr>
            <w:tcW w:w="1984" w:type="dxa"/>
            <w:tcBorders>
              <w:top w:val="single" w:color="auto" w:sz="4" w:space="0"/>
            </w:tcBorders>
          </w:tcPr>
          <w:p w14:paraId="382489ED">
            <w:pPr>
              <w:spacing w:line="288" w:lineRule="auto"/>
              <w:jc w:val="center"/>
              <w:rPr>
                <w:rFonts w:eastAsia="宋体" w:cs="Times New Roman"/>
                <w:sz w:val="21"/>
              </w:rPr>
            </w:pPr>
            <w:r>
              <w:rPr>
                <w:rFonts w:hint="eastAsia" w:eastAsia="宋体" w:cs="Times New Roman"/>
                <w:sz w:val="21"/>
              </w:rPr>
              <w:t>25.53</w:t>
            </w:r>
          </w:p>
        </w:tc>
      </w:tr>
      <w:tr w14:paraId="4B4253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6D5CAEC1">
            <w:pPr>
              <w:spacing w:line="288" w:lineRule="auto"/>
              <w:jc w:val="center"/>
              <w:rPr>
                <w:rFonts w:eastAsia="宋体" w:cs="Times New Roman"/>
                <w:sz w:val="21"/>
              </w:rPr>
            </w:pPr>
            <w:r>
              <w:rPr>
                <w:rFonts w:hint="eastAsia" w:eastAsia="宋体" w:cs="Times New Roman"/>
                <w:sz w:val="21"/>
              </w:rPr>
              <w:t>LLM-RL</w:t>
            </w:r>
          </w:p>
        </w:tc>
        <w:tc>
          <w:tcPr>
            <w:tcW w:w="1134" w:type="dxa"/>
          </w:tcPr>
          <w:p w14:paraId="17A91D86">
            <w:pPr>
              <w:spacing w:line="288" w:lineRule="auto"/>
              <w:jc w:val="center"/>
              <w:rPr>
                <w:rFonts w:eastAsia="宋体" w:cs="Times New Roman"/>
                <w:sz w:val="21"/>
              </w:rPr>
            </w:pPr>
            <w:r>
              <w:rPr>
                <w:rFonts w:hint="eastAsia" w:eastAsia="宋体" w:cs="Times New Roman"/>
                <w:sz w:val="21"/>
              </w:rPr>
              <w:t>-157.85</w:t>
            </w:r>
          </w:p>
        </w:tc>
        <w:tc>
          <w:tcPr>
            <w:tcW w:w="1276" w:type="dxa"/>
          </w:tcPr>
          <w:p w14:paraId="4DDE5773">
            <w:pPr>
              <w:spacing w:line="288" w:lineRule="auto"/>
              <w:jc w:val="center"/>
              <w:rPr>
                <w:rFonts w:eastAsia="宋体" w:cs="Times New Roman"/>
                <w:sz w:val="21"/>
              </w:rPr>
            </w:pPr>
            <w:r>
              <w:rPr>
                <w:rFonts w:hint="eastAsia" w:eastAsia="宋体" w:cs="Times New Roman"/>
                <w:sz w:val="21"/>
              </w:rPr>
              <w:t>58.55</w:t>
            </w:r>
          </w:p>
        </w:tc>
        <w:tc>
          <w:tcPr>
            <w:tcW w:w="1559" w:type="dxa"/>
          </w:tcPr>
          <w:p w14:paraId="65CDB256">
            <w:pPr>
              <w:spacing w:line="288" w:lineRule="auto"/>
              <w:jc w:val="center"/>
              <w:rPr>
                <w:rFonts w:eastAsia="宋体" w:cs="Times New Roman"/>
                <w:sz w:val="21"/>
              </w:rPr>
            </w:pPr>
            <w:r>
              <w:rPr>
                <w:rFonts w:hint="eastAsia" w:eastAsia="宋体" w:cs="Times New Roman"/>
                <w:sz w:val="21"/>
              </w:rPr>
              <w:t>47.32</w:t>
            </w:r>
          </w:p>
        </w:tc>
        <w:tc>
          <w:tcPr>
            <w:tcW w:w="1276" w:type="dxa"/>
          </w:tcPr>
          <w:p w14:paraId="1F3F8C19">
            <w:pPr>
              <w:spacing w:line="288" w:lineRule="auto"/>
              <w:jc w:val="center"/>
              <w:rPr>
                <w:rFonts w:eastAsia="宋体" w:cs="Times New Roman"/>
                <w:sz w:val="21"/>
              </w:rPr>
            </w:pPr>
            <w:r>
              <w:rPr>
                <w:rFonts w:hint="eastAsia" w:eastAsia="宋体" w:cs="Times New Roman"/>
                <w:sz w:val="21"/>
              </w:rPr>
              <w:t>0.60</w:t>
            </w:r>
          </w:p>
        </w:tc>
        <w:tc>
          <w:tcPr>
            <w:tcW w:w="1984" w:type="dxa"/>
          </w:tcPr>
          <w:p w14:paraId="63EE6269">
            <w:pPr>
              <w:spacing w:line="288" w:lineRule="auto"/>
              <w:jc w:val="center"/>
              <w:rPr>
                <w:rFonts w:eastAsia="宋体" w:cs="Times New Roman"/>
                <w:sz w:val="21"/>
              </w:rPr>
            </w:pPr>
            <w:r>
              <w:rPr>
                <w:rFonts w:hint="eastAsia" w:eastAsia="宋体" w:cs="Times New Roman"/>
                <w:sz w:val="21"/>
              </w:rPr>
              <w:t>36.76</w:t>
            </w:r>
          </w:p>
        </w:tc>
      </w:tr>
      <w:tr w14:paraId="205A1E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4A846B2D">
            <w:pPr>
              <w:spacing w:line="288" w:lineRule="auto"/>
              <w:jc w:val="center"/>
              <w:rPr>
                <w:rFonts w:eastAsia="宋体" w:cs="Times New Roman"/>
                <w:sz w:val="21"/>
              </w:rPr>
            </w:pPr>
            <w:r>
              <w:rPr>
                <w:rFonts w:hint="eastAsia" w:eastAsia="宋体" w:cs="Times New Roman"/>
                <w:sz w:val="21"/>
                <w:szCs w:val="21"/>
              </w:rPr>
              <w:t>WM-RL</w:t>
            </w:r>
          </w:p>
        </w:tc>
        <w:tc>
          <w:tcPr>
            <w:tcW w:w="1134" w:type="dxa"/>
          </w:tcPr>
          <w:p w14:paraId="55108220">
            <w:pPr>
              <w:spacing w:line="288" w:lineRule="auto"/>
              <w:jc w:val="center"/>
              <w:rPr>
                <w:rFonts w:eastAsia="宋体" w:cs="Times New Roman"/>
                <w:sz w:val="21"/>
              </w:rPr>
            </w:pPr>
            <w:r>
              <w:rPr>
                <w:rFonts w:hint="eastAsia" w:eastAsia="宋体" w:cs="Times New Roman"/>
                <w:sz w:val="21"/>
              </w:rPr>
              <w:t>-152.62</w:t>
            </w:r>
          </w:p>
        </w:tc>
        <w:tc>
          <w:tcPr>
            <w:tcW w:w="1276" w:type="dxa"/>
          </w:tcPr>
          <w:p w14:paraId="755CEB3A">
            <w:pPr>
              <w:spacing w:line="288" w:lineRule="auto"/>
              <w:jc w:val="center"/>
              <w:rPr>
                <w:rFonts w:eastAsia="宋体" w:cs="Times New Roman"/>
                <w:sz w:val="21"/>
              </w:rPr>
            </w:pPr>
            <w:r>
              <w:rPr>
                <w:rFonts w:hint="eastAsia" w:eastAsia="宋体" w:cs="Times New Roman"/>
                <w:sz w:val="21"/>
              </w:rPr>
              <w:t>56.24</w:t>
            </w:r>
          </w:p>
        </w:tc>
        <w:tc>
          <w:tcPr>
            <w:tcW w:w="1559" w:type="dxa"/>
          </w:tcPr>
          <w:p w14:paraId="08B8F59A">
            <w:pPr>
              <w:spacing w:line="288" w:lineRule="auto"/>
              <w:jc w:val="center"/>
              <w:rPr>
                <w:rFonts w:eastAsia="宋体" w:cs="Times New Roman"/>
                <w:sz w:val="21"/>
              </w:rPr>
            </w:pPr>
            <w:r>
              <w:rPr>
                <w:rFonts w:hint="eastAsia" w:eastAsia="宋体" w:cs="Times New Roman"/>
                <w:sz w:val="21"/>
              </w:rPr>
              <w:t>47.05</w:t>
            </w:r>
          </w:p>
        </w:tc>
        <w:tc>
          <w:tcPr>
            <w:tcW w:w="1276" w:type="dxa"/>
          </w:tcPr>
          <w:p w14:paraId="3AB2CD38">
            <w:pPr>
              <w:spacing w:line="288" w:lineRule="auto"/>
              <w:jc w:val="center"/>
              <w:rPr>
                <w:rFonts w:eastAsia="宋体" w:cs="Times New Roman"/>
                <w:sz w:val="21"/>
              </w:rPr>
            </w:pPr>
            <w:r>
              <w:rPr>
                <w:rFonts w:hint="eastAsia" w:eastAsia="宋体" w:cs="Times New Roman"/>
                <w:sz w:val="21"/>
              </w:rPr>
              <w:t>0.58</w:t>
            </w:r>
          </w:p>
        </w:tc>
        <w:tc>
          <w:tcPr>
            <w:tcW w:w="1984" w:type="dxa"/>
          </w:tcPr>
          <w:p w14:paraId="7877A0A0">
            <w:pPr>
              <w:spacing w:line="288" w:lineRule="auto"/>
              <w:jc w:val="center"/>
              <w:rPr>
                <w:rFonts w:eastAsia="宋体" w:cs="Times New Roman"/>
                <w:sz w:val="21"/>
              </w:rPr>
            </w:pPr>
            <w:r>
              <w:rPr>
                <w:rFonts w:hint="eastAsia" w:eastAsia="宋体" w:cs="Times New Roman"/>
                <w:sz w:val="21"/>
              </w:rPr>
              <w:t>40.28</w:t>
            </w:r>
          </w:p>
        </w:tc>
      </w:tr>
      <w:tr w14:paraId="6A162F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3C5792C3">
            <w:pPr>
              <w:spacing w:line="288" w:lineRule="auto"/>
              <w:jc w:val="center"/>
              <w:rPr>
                <w:rFonts w:eastAsia="宋体" w:cs="Times New Roman"/>
                <w:b/>
                <w:bCs/>
                <w:sz w:val="21"/>
              </w:rPr>
            </w:pPr>
            <w:r>
              <w:rPr>
                <w:rFonts w:hint="eastAsia" w:eastAsia="宋体" w:cs="Times New Roman"/>
                <w:b/>
                <w:bCs/>
                <w:sz w:val="21"/>
                <w:szCs w:val="21"/>
              </w:rPr>
              <w:t>LWM-RL</w:t>
            </w:r>
          </w:p>
        </w:tc>
        <w:tc>
          <w:tcPr>
            <w:tcW w:w="1134" w:type="dxa"/>
          </w:tcPr>
          <w:p w14:paraId="06A61A5C">
            <w:pPr>
              <w:spacing w:line="288" w:lineRule="auto"/>
              <w:jc w:val="center"/>
              <w:rPr>
                <w:rFonts w:eastAsia="宋体" w:cs="Times New Roman"/>
                <w:b/>
                <w:bCs/>
                <w:sz w:val="21"/>
              </w:rPr>
            </w:pPr>
            <w:r>
              <w:rPr>
                <w:rFonts w:hint="eastAsia" w:eastAsia="宋体" w:cs="Times New Roman"/>
                <w:b/>
                <w:bCs/>
                <w:sz w:val="21"/>
              </w:rPr>
              <w:t>-125.65</w:t>
            </w:r>
          </w:p>
        </w:tc>
        <w:tc>
          <w:tcPr>
            <w:tcW w:w="1276" w:type="dxa"/>
          </w:tcPr>
          <w:p w14:paraId="2D4DF4E5">
            <w:pPr>
              <w:spacing w:line="288" w:lineRule="auto"/>
              <w:jc w:val="center"/>
              <w:rPr>
                <w:rFonts w:eastAsia="宋体" w:cs="Times New Roman"/>
                <w:b/>
                <w:bCs/>
                <w:sz w:val="21"/>
              </w:rPr>
            </w:pPr>
            <w:r>
              <w:rPr>
                <w:rFonts w:hint="eastAsia" w:eastAsia="宋体" w:cs="Times New Roman"/>
                <w:b/>
                <w:bCs/>
                <w:sz w:val="21"/>
              </w:rPr>
              <w:t>50.32</w:t>
            </w:r>
          </w:p>
        </w:tc>
        <w:tc>
          <w:tcPr>
            <w:tcW w:w="1559" w:type="dxa"/>
          </w:tcPr>
          <w:p w14:paraId="22B8B4E2">
            <w:pPr>
              <w:spacing w:line="288" w:lineRule="auto"/>
              <w:jc w:val="center"/>
              <w:rPr>
                <w:rFonts w:eastAsia="宋体" w:cs="Times New Roman"/>
                <w:b/>
                <w:bCs/>
                <w:sz w:val="21"/>
              </w:rPr>
            </w:pPr>
            <w:r>
              <w:rPr>
                <w:rFonts w:hint="eastAsia" w:eastAsia="宋体" w:cs="Times New Roman"/>
                <w:b/>
                <w:bCs/>
                <w:sz w:val="21"/>
              </w:rPr>
              <w:t>42.87</w:t>
            </w:r>
          </w:p>
        </w:tc>
        <w:tc>
          <w:tcPr>
            <w:tcW w:w="1276" w:type="dxa"/>
          </w:tcPr>
          <w:p w14:paraId="230004B7">
            <w:pPr>
              <w:spacing w:line="288" w:lineRule="auto"/>
              <w:jc w:val="center"/>
              <w:rPr>
                <w:rFonts w:eastAsia="宋体" w:cs="Times New Roman"/>
                <w:b/>
                <w:bCs/>
                <w:sz w:val="21"/>
              </w:rPr>
            </w:pPr>
            <w:r>
              <w:rPr>
                <w:rFonts w:hint="eastAsia" w:eastAsia="宋体" w:cs="Times New Roman"/>
                <w:b/>
                <w:bCs/>
                <w:sz w:val="21"/>
              </w:rPr>
              <w:t>0.63</w:t>
            </w:r>
          </w:p>
        </w:tc>
        <w:tc>
          <w:tcPr>
            <w:tcW w:w="1984" w:type="dxa"/>
          </w:tcPr>
          <w:p w14:paraId="52C1A650">
            <w:pPr>
              <w:spacing w:line="288" w:lineRule="auto"/>
              <w:jc w:val="center"/>
              <w:rPr>
                <w:rFonts w:eastAsia="宋体" w:cs="Times New Roman"/>
                <w:b/>
                <w:bCs/>
                <w:sz w:val="21"/>
              </w:rPr>
            </w:pPr>
            <w:r>
              <w:rPr>
                <w:rFonts w:hint="eastAsia" w:eastAsia="宋体" w:cs="Times New Roman"/>
                <w:b/>
                <w:bCs/>
                <w:sz w:val="21"/>
              </w:rPr>
              <w:t>49.40</w:t>
            </w:r>
          </w:p>
        </w:tc>
      </w:tr>
    </w:tbl>
    <w:p w14:paraId="703BF072">
      <w:pPr>
        <w:spacing w:before="156" w:beforeLines="50"/>
        <w:ind w:firstLine="480" w:firstLineChars="200"/>
      </w:pPr>
      <w:r>
        <w:rPr>
          <w:rFonts w:hint="eastAsia"/>
        </w:rPr>
        <w:t>从表4.7中可以看出，随着LLM先验生成及世界模型前瞻评估的加入，方法整体检测性能逐步提升，具体分析如下：</w:t>
      </w:r>
    </w:p>
    <w:p w14:paraId="46844910">
      <w:pPr>
        <w:ind w:firstLine="480" w:firstLineChars="200"/>
      </w:pPr>
      <w:r>
        <w:rPr>
          <w:rFonts w:hint="eastAsia"/>
        </w:rPr>
        <w:t>1）相较于</w:t>
      </w:r>
      <w:r>
        <w:rPr>
          <w:rFonts w:hint="eastAsia" w:eastAsia="宋体" w:cs="Times New Roman"/>
        </w:rPr>
        <w:t>RL-O</w:t>
      </w:r>
      <w:r>
        <w:rPr>
          <w:rFonts w:hint="eastAsia"/>
        </w:rPr>
        <w:t>nly方法，LLM-RL</w:t>
      </w:r>
      <w:r>
        <w:rPr>
          <w:rFonts w:hint="eastAsia" w:eastAsia="宋体" w:cs="Times New Roman"/>
        </w:rPr>
        <w:t>在各项指标上均有提升。该实验结果表明，在单区域APT检测过程中，引入大模型生成候选计划及先验偏好后，能够为策略学习提供合理的初始参考，减少强化学习在动作空间中的盲目搜索，从而提升检测效果与恢复准确性。同时，平均预警步数的提前说明LLM先验对异常行为的及早识别有积极作用。这些都证明了引入LLM先验生成的有效性与必要性。</w:t>
      </w:r>
    </w:p>
    <w:p w14:paraId="5BF3CA32">
      <w:pPr>
        <w:ind w:firstLine="480" w:firstLineChars="200"/>
      </w:pPr>
      <w:r>
        <w:rPr>
          <w:rFonts w:hint="eastAsia"/>
        </w:rPr>
        <w:t>2）相较于</w:t>
      </w:r>
      <w:r>
        <w:rPr>
          <w:rFonts w:hint="eastAsia" w:eastAsia="宋体" w:cs="Times New Roman"/>
        </w:rPr>
        <w:t>RL-Only方法，WM-RL在各项指标上也均有提升。该实验结果表明，在强化学习的基础上，引入世界模型进行前瞻评估后，有效地发挥了“预测型强化学习”的作用，在攻击真正产生影响之前，能够更早地发现潜在风险并预警，对平均回报及平均预警提前步数均有较大提升。</w:t>
      </w:r>
    </w:p>
    <w:p w14:paraId="32A0C2C5">
      <w:pPr>
        <w:ind w:firstLine="480" w:firstLineChars="200"/>
      </w:pPr>
      <w:r>
        <w:rPr>
          <w:rFonts w:hint="eastAsia"/>
        </w:rPr>
        <w:t>3）WM-RL与LLM-RL相比，WM-RL在平均回报、回报标准差及平均预警提前步数略优于LLM-RL，而LLM-RL在恢复精确率方面略优于WM-RL，在平均恢复时间方面二者几乎持平。这说明大模型与世界模型的优势不完全相同，世界模型侧重于依靠前瞻评估提升方法及早检测能力与整体收益，而大模型在恢复精确率、语义合理性及候选计划质量方面可能更有优势。因此，若将它们结合使用，则会达到更优的整体检测效果。</w:t>
      </w:r>
    </w:p>
    <w:p w14:paraId="5C5CDAE7">
      <w:pPr>
        <w:ind w:firstLine="480" w:firstLineChars="200"/>
      </w:pPr>
      <w:r>
        <w:rPr>
          <w:rFonts w:hint="eastAsia"/>
        </w:rPr>
        <w:t>4）相较于LLM-RL及WM-RL方法，LWM-RL方法在各项指标上均取得最优结果，且相较于LLM-RL及WM-RL方法均有所提升。该实验结果表明，若将大模型、世界模型、强化学习结合使用，可使得单区域APT检测性能达到最优，这证明了本文方法的有效性。</w:t>
      </w:r>
    </w:p>
    <w:p w14:paraId="6A2CA4FD">
      <w:pPr>
        <w:ind w:firstLine="480" w:firstLineChars="200"/>
      </w:pPr>
      <w:r>
        <w:rPr>
          <w:rFonts w:hint="eastAsia"/>
        </w:rPr>
        <w:t>综上所述，消融实验表明，本文所提出方法的各个部分均能够有效提升针对单区域APT隐匿行为的检测性能。其中，大模型侧重于提升语义合理性、候选计划质量及恢复精确率，世界模型侧重于提升及早检测能力、策略稳定性与整体收益，而强化学习后验选择则进一步综合利用了先验信息与前瞻评估的优势并完成最终选择。LWM-RL在各项指标上的提升证明了本文方法设计的有效性与合理性。</w:t>
      </w:r>
    </w:p>
    <w:p w14:paraId="597DF74D">
      <w:pPr>
        <w:pStyle w:val="3"/>
      </w:pPr>
      <w:bookmarkStart w:id="89" w:name="_Toc230086386"/>
      <w:r>
        <w:rPr>
          <w:rFonts w:hint="eastAsia"/>
        </w:rPr>
        <w:t xml:space="preserve">4.6 </w:t>
      </w:r>
      <w:r>
        <w:t>本章小结</w:t>
      </w:r>
      <w:bookmarkEnd w:id="89"/>
    </w:p>
    <w:p w14:paraId="3FCA08D6">
      <w:pPr>
        <w:ind w:firstLine="480" w:firstLineChars="200"/>
      </w:pPr>
      <w:r>
        <w:t>本章提出了一种基于大模型先验和预测型强化学习的APT检测方法。首先，给出了本章方法概述。然后，提出基于LLM的先验生成方法，通过生成包含先验偏好的候选计划，为APT检测提供可解释的先验信息。接着，提出基于集成动力概率学世界模型的前瞻评估方法，通过对候选计划进行多步前瞻推演，为后续检测决策提供前瞻依据；进一步，提出基于PPO的强化学习后验选择方法，实现候选计划的后验选择与策略优化。最后，通过APT检测有效性验证、提前预警性能验证和消融实验，证明了本章方法能够有效提升APT检测性能及提前预警能力。其中，</w:t>
      </w:r>
      <w:r>
        <w:rPr>
          <w:rFonts w:hint="eastAsia"/>
        </w:rPr>
        <w:t>所提方法相比现有方法平均回报提升了78.85，平均提前预警步数提升了18.15步。</w:t>
      </w:r>
      <w:r>
        <w:br w:type="page"/>
      </w:r>
    </w:p>
    <w:p w14:paraId="3C55B895">
      <w:pPr>
        <w:pStyle w:val="2"/>
      </w:pPr>
      <w:bookmarkStart w:id="90" w:name="_Toc230086387"/>
      <w:r>
        <w:rPr>
          <w:rFonts w:hint="eastAsia"/>
        </w:rPr>
        <w:t>第五章 基于大模型先验和多智能体协作的跨域协同检测方法</w:t>
      </w:r>
      <w:bookmarkEnd w:id="90"/>
    </w:p>
    <w:p w14:paraId="2C186CF3">
      <w:pPr>
        <w:ind w:firstLine="480" w:firstLineChars="200"/>
      </w:pPr>
      <w:r>
        <w:rPr>
          <w:rFonts w:hint="eastAsia"/>
        </w:rPr>
        <w:t>针对现有多区域检测和多智能体协作方法全局关联分析不足，难以利用分散的局部检测结果对整体攻击过程进行准确判断，且缺乏统一证据表示及明确协作方式的问题，本章提出一种基于大模型先验和多智能体协作的跨域协同检测方法。首先，对本章方法进行概述；然后，阐述基于LLM的跨域协作先验计划生成方法，为跨区域协同检测提供统一证据表示与协作先验；接着，给出先验计划约束的多智能体协作决策方法，实现跨区域场景下的联合检测与协同优化；最后，通过实验与分析验证本章方法在APT跨域协同检测及提前预警能力方面的有效性。</w:t>
      </w:r>
    </w:p>
    <w:p w14:paraId="4FA9C477">
      <w:pPr>
        <w:pStyle w:val="3"/>
      </w:pPr>
      <w:bookmarkStart w:id="91" w:name="_Toc224238214"/>
      <w:bookmarkStart w:id="92" w:name="_Toc230086388"/>
      <w:r>
        <w:rPr>
          <w:rFonts w:hint="eastAsia"/>
        </w:rPr>
        <w:t>5.1 方法概述</w:t>
      </w:r>
      <w:bookmarkEnd w:id="91"/>
      <w:bookmarkEnd w:id="92"/>
    </w:p>
    <w:p w14:paraId="2165F3B8">
      <w:pPr>
        <w:spacing w:line="400" w:lineRule="exact"/>
        <w:ind w:firstLine="480" w:firstLineChars="200"/>
        <w:rPr>
          <w:rFonts w:eastAsia="宋体" w:cs="Times New Roman"/>
        </w:rPr>
      </w:pPr>
      <w:r>
        <w:rPr>
          <w:rFonts w:hint="eastAsia" w:eastAsia="宋体" w:cs="Times New Roman"/>
        </w:rPr>
        <w:t>如2.1</w:t>
      </w:r>
      <w:r>
        <w:rPr>
          <w:rFonts w:eastAsia="宋体" w:cs="Times New Roman"/>
        </w:rPr>
        <w:t>节所述，新型</w:t>
      </w:r>
      <w:r>
        <w:rPr>
          <w:rFonts w:hint="eastAsia" w:eastAsia="宋体" w:cs="Times New Roman"/>
        </w:rPr>
        <w:t>电</w:t>
      </w:r>
      <w:r>
        <w:rPr>
          <w:rFonts w:eastAsia="宋体" w:cs="Times New Roman"/>
        </w:rPr>
        <w:t>力系统</w:t>
      </w:r>
      <w:r>
        <w:rPr>
          <w:rFonts w:hint="eastAsia" w:eastAsia="宋体" w:cs="Times New Roman"/>
        </w:rPr>
        <w:t>中的APT攻击通常具有跨区域渗透、阶段持续演进及隐蔽性强等特点。单一区域内的局部检测结果虽然能够在一定程度上反映本域当前的异常状态，但是难以充分体现不同区域间的攻击关联及阶段演进过程。</w:t>
      </w:r>
      <w:r>
        <w:rPr>
          <w:rFonts w:eastAsia="宋体" w:cs="Times New Roman"/>
        </w:rPr>
        <w:t>现有方法多侧重于针对单区域</w:t>
      </w:r>
      <w:r>
        <w:rPr>
          <w:rFonts w:hint="eastAsia" w:eastAsia="宋体" w:cs="Times New Roman"/>
        </w:rPr>
        <w:t>检测或静态协同分析，缺乏对跨区域检测证据的</w:t>
      </w:r>
      <w:r>
        <w:rPr>
          <w:rFonts w:eastAsia="宋体" w:cs="Times New Roman"/>
        </w:rPr>
        <w:t>统一表示与阶段推理</w:t>
      </w:r>
      <w:r>
        <w:rPr>
          <w:rFonts w:hint="eastAsia" w:eastAsia="宋体" w:cs="Times New Roman"/>
        </w:rPr>
        <w:t>，也未在协作过程中统一考虑</w:t>
      </w:r>
      <w:r>
        <w:rPr>
          <w:rFonts w:eastAsia="宋体" w:cs="Times New Roman"/>
        </w:rPr>
        <w:t>协作依据</w:t>
      </w:r>
      <w:r>
        <w:rPr>
          <w:rFonts w:hint="eastAsia" w:eastAsia="宋体" w:cs="Times New Roman"/>
        </w:rPr>
        <w:t>、动作约束及整体协同收益。因此，仅依赖各区域的独立检测，难以有效实现针对新型电力系统APT的跨域协同检测。针对上述问题，本章提出一种</w:t>
      </w:r>
      <w:r>
        <w:rPr>
          <w:rFonts w:eastAsia="宋体" w:cs="Times New Roman"/>
        </w:rPr>
        <w:t>基于</w:t>
      </w:r>
      <w:r>
        <w:rPr>
          <w:rFonts w:hint="eastAsia" w:eastAsia="宋体" w:cs="Times New Roman"/>
        </w:rPr>
        <w:t>大模型先验与多智能体协作的跨区域协同检测方法</w:t>
      </w:r>
      <w:r>
        <w:rPr>
          <w:rFonts w:hint="eastAsia"/>
        </w:rPr>
        <w:t>（LLM-guided Multi-agent Collaborative APT Detection, LMC-APT）</w:t>
      </w:r>
      <w:r>
        <w:rPr>
          <w:rFonts w:hint="eastAsia" w:eastAsia="宋体" w:cs="Times New Roman"/>
        </w:rPr>
        <w:t>。该方法整体框架如图5.1</w:t>
      </w:r>
      <w:r>
        <w:rPr>
          <w:rFonts w:eastAsia="宋体" w:cs="Times New Roman"/>
        </w:rPr>
        <w:t>所示，主要包括</w:t>
      </w:r>
      <w:r>
        <w:rPr>
          <w:rFonts w:hint="eastAsia" w:eastAsia="宋体" w:cs="Times New Roman"/>
        </w:rPr>
        <w:t>基于LLM的跨域协作先验计划生成，以及先验计划约束下的多智能体协作决策方法两个部分。</w:t>
      </w:r>
    </w:p>
    <w:p w14:paraId="5F43A0CD">
      <w:pPr>
        <w:spacing w:line="400" w:lineRule="exact"/>
        <w:ind w:firstLine="480" w:firstLineChars="200"/>
        <w:rPr>
          <w:rFonts w:eastAsia="宋体" w:cs="Times New Roman"/>
        </w:rPr>
      </w:pPr>
      <w:r>
        <w:rPr>
          <w:rFonts w:hint="eastAsia" w:eastAsia="宋体" w:cs="Times New Roman"/>
        </w:rPr>
        <w:t>1</w:t>
      </w:r>
      <w:r>
        <w:rPr>
          <w:rFonts w:eastAsia="宋体" w:cs="Times New Roman"/>
        </w:rPr>
        <w:t>）</w:t>
      </w:r>
      <w:r>
        <w:rPr>
          <w:rFonts w:hint="eastAsia" w:eastAsia="宋体" w:cs="Times New Roman"/>
        </w:rPr>
        <w:t>基于LLM的跨域协作先验计划生成：首先，将各区域检测结果结构化表示，并在此基础上构建多区域检测证据库，以实现跨区域关键信息的统一汇总与更新；然后，使用LLM基于多区域检测证据库对APT当前所处阶段进行推理，并使用置信校准提高阶段推断的可靠性；最后，由LLM在上述基础上生成先验协作计划，并通过规则校验进一步约束与修正，为后续多智能体协作决策提供先验信息。</w:t>
      </w:r>
    </w:p>
    <w:p w14:paraId="1640E586">
      <w:pPr>
        <w:spacing w:line="400" w:lineRule="exact"/>
        <w:ind w:firstLine="480" w:firstLineChars="200"/>
        <w:rPr>
          <w:rFonts w:eastAsia="宋体" w:cs="Times New Roman"/>
        </w:rPr>
      </w:pPr>
      <w:r>
        <w:rPr>
          <w:rFonts w:hint="eastAsia" w:eastAsia="宋体" w:cs="Times New Roman"/>
        </w:rPr>
        <w:t>2</w:t>
      </w:r>
      <w:r>
        <w:rPr>
          <w:rFonts w:eastAsia="宋体" w:cs="Times New Roman"/>
        </w:rPr>
        <w:t>）</w:t>
      </w:r>
      <w:r>
        <w:rPr>
          <w:rFonts w:hint="eastAsia" w:eastAsia="宋体" w:cs="Times New Roman"/>
        </w:rPr>
        <w:t>先验计划约束下的多智能体协作决策：在协作先验计划的基础上，本章进一步将跨区域协同检测建模为先验计划约束的多智能体协作决策问题。首先，在局部观测摘要与先验协作计划的共同作用下，建立多智能体协作策略表示；然后，基于MAPPO方法对各区域协作策略进行学习与联合优化；最后，对区域模型进行增量更新，以提升区域检测与跨区域协作之间的一致性。</w:t>
      </w:r>
    </w:p>
    <w:p w14:paraId="33969319">
      <w:pPr>
        <w:spacing w:line="240" w:lineRule="auto"/>
        <w:ind w:firstLine="480" w:firstLineChars="200"/>
        <w:jc w:val="center"/>
        <w:rPr>
          <w:rFonts w:eastAsia="宋体" w:cs="Times New Roman"/>
        </w:rPr>
      </w:pPr>
      <w:r>
        <w:rPr>
          <w:rFonts w:eastAsia="宋体" w:cs="Times New Roman"/>
        </w:rPr>
        <w:object>
          <v:shape id="_x0000_i1283" o:spt="75" type="#_x0000_t75" style="height:206.8pt;width:312.2pt;" o:ole="t" filled="f" o:preferrelative="t" stroked="f" coordsize="21600,21600">
            <v:path/>
            <v:fill on="f" focussize="0,0"/>
            <v:stroke on="f" joinstyle="miter"/>
            <v:imagedata r:id="rId513" cropleft="657f" croptop="1396f" cropright="770f" cropbottom="1487f" o:title=""/>
            <o:lock v:ext="edit" aspectratio="t"/>
            <w10:wrap type="none"/>
            <w10:anchorlock/>
          </v:shape>
          <o:OLEObject Type="Embed" ProgID="Visio.Drawing.15" ShapeID="_x0000_i1283" DrawAspect="Content" ObjectID="_1468075983" r:id="rId512">
            <o:LockedField>false</o:LockedField>
          </o:OLEObject>
        </w:object>
      </w:r>
    </w:p>
    <w:p w14:paraId="1BED8D43">
      <w:pPr>
        <w:widowControl/>
        <w:spacing w:line="400" w:lineRule="exact"/>
        <w:jc w:val="center"/>
        <w:rPr>
          <w:rFonts w:eastAsia="宋体" w:cs="Times New Roman"/>
          <w:sz w:val="21"/>
          <w:szCs w:val="21"/>
        </w:rPr>
      </w:pPr>
      <w:r>
        <w:rPr>
          <w:rFonts w:hint="eastAsia" w:eastAsia="宋体" w:cs="Times New Roman"/>
          <w:sz w:val="21"/>
          <w:szCs w:val="21"/>
        </w:rPr>
        <w:t>图</w:t>
      </w:r>
      <w:r>
        <w:rPr>
          <w:rFonts w:eastAsia="宋体" w:cs="Times New Roman"/>
          <w:sz w:val="21"/>
          <w:szCs w:val="21"/>
        </w:rPr>
        <w:t>5.</w:t>
      </w:r>
      <w:r>
        <w:rPr>
          <w:rFonts w:hint="eastAsia" w:eastAsia="宋体" w:cs="Times New Roman"/>
          <w:sz w:val="21"/>
          <w:szCs w:val="21"/>
        </w:rPr>
        <w:t>1 基于大模型先验和多智能体协作的跨域协同检测方法框架</w:t>
      </w:r>
    </w:p>
    <w:p w14:paraId="5F295E90">
      <w:pPr>
        <w:ind w:firstLine="480" w:firstLineChars="200"/>
      </w:pPr>
      <w:r>
        <w:t>与现有多智能体协作方法相比，本章方法的区别主要体现在协作依据和决策形成方式上。现有集中训练、分散执行及价值分解类方法多依赖共享回报、价值函数分解或参数耦合形成隐式协作，难以明确区域间协作依据及协作重点的调整方式；通信机制和层级任务分解类方法通常依赖在线</w:t>
      </w:r>
      <w:r>
        <w:rPr>
          <w:rFonts w:hint="eastAsia"/>
        </w:rPr>
        <w:t>通信</w:t>
      </w:r>
      <w:r>
        <w:t>或预设子任务划分，难以适应 APT攻击阶段持续变化和跨区域线索分散演进的特点；现有LLM辅助多智能体方法则多侧重任务分解与任务分配，适用于目标明确的任务执行场景</w:t>
      </w:r>
      <w:r>
        <w:rPr>
          <w:rFonts w:hint="eastAsia"/>
        </w:rPr>
        <w:t>，</w:t>
      </w:r>
      <w:r>
        <w:t>难以直接满足多区域APT检测中持续判断与动态协作的需求。针对上述不足，本章并</w:t>
      </w:r>
      <w:r>
        <w:rPr>
          <w:rFonts w:hint="eastAsia"/>
        </w:rPr>
        <w:t>不</w:t>
      </w:r>
      <w:r>
        <w:t>将LLM生成的协作计划直接作为最终动作，而是将其作为多区域检测的协作先验，并在先验约束下通过MAPPO进行协作策略学习，使跨域协同检测同时具备明确的证据来源、可解释的协作依据和在线优化能力，从而区别于仅依赖隐式回报驱动、通信结构学习或任务分解的现有协作方式。</w:t>
      </w:r>
    </w:p>
    <w:p w14:paraId="21B23544">
      <w:pPr>
        <w:pStyle w:val="3"/>
      </w:pPr>
      <w:bookmarkStart w:id="93" w:name="_Toc224238216"/>
      <w:bookmarkStart w:id="94" w:name="_Toc230086389"/>
      <w:r>
        <w:rPr>
          <w:rFonts w:hint="eastAsia"/>
        </w:rPr>
        <w:t>5.2 基于LLM的跨域协作</w:t>
      </w:r>
      <w:bookmarkEnd w:id="93"/>
      <w:r>
        <w:rPr>
          <w:rFonts w:hint="eastAsia"/>
        </w:rPr>
        <w:t>先验计划生成</w:t>
      </w:r>
      <w:bookmarkEnd w:id="94"/>
    </w:p>
    <w:p w14:paraId="3814E6FC">
      <w:pPr>
        <w:ind w:firstLine="480" w:firstLineChars="200"/>
      </w:pPr>
      <w:r>
        <w:rPr>
          <w:rFonts w:hint="eastAsia"/>
        </w:rPr>
        <w:t>为实现针对新型电力系统APT的跨域协同检测，需要汇总各区域的检测结果，将其转化为协作层可统一处理的输入，以便从全局的角度能够分析不同区域的关联及攻击的阶段演进。基于此，本章在第四章针对单区域APT检测方法的基础上，面向跨区域协作场景，首先对区域检测结果结构化表示，并据此基于大模型完成攻击阶段推理与协作计划生成，从而为后续多智能体强化协同决策与优化提供先验信息。</w:t>
      </w:r>
    </w:p>
    <w:p w14:paraId="719EFB20">
      <w:pPr>
        <w:pStyle w:val="4"/>
      </w:pPr>
      <w:bookmarkStart w:id="95" w:name="_Toc224238215"/>
      <w:bookmarkStart w:id="96" w:name="_Toc230086390"/>
      <w:r>
        <w:rPr>
          <w:rFonts w:hint="eastAsia"/>
        </w:rPr>
        <w:t>5.2.1 多区域检测</w:t>
      </w:r>
      <w:bookmarkEnd w:id="95"/>
      <w:r>
        <w:rPr>
          <w:rFonts w:hint="eastAsia"/>
        </w:rPr>
        <w:t>证据库</w:t>
      </w:r>
      <w:bookmarkEnd w:id="96"/>
    </w:p>
    <w:p w14:paraId="3FADAF56">
      <w:pPr>
        <w:spacing w:line="400" w:lineRule="exact"/>
        <w:ind w:firstLine="480" w:firstLineChars="200"/>
        <w:rPr>
          <w:rFonts w:eastAsia="宋体" w:cs="Times New Roman"/>
        </w:rPr>
      </w:pPr>
      <w:r>
        <w:rPr>
          <w:rFonts w:hint="eastAsia" w:eastAsia="宋体" w:cs="Times New Roman"/>
        </w:rPr>
        <w:t>多区域证据库用于汇总各区域检测结果，为后续攻击阶段推理与协作计划生成提供基础。在本节中，首先对区域检测结果结构化表示，并在此基础上构建多区域证据库，实现跨区域关键信息的汇总与更新。</w:t>
      </w:r>
    </w:p>
    <w:p w14:paraId="052C58A0">
      <w:pPr>
        <w:spacing w:line="400" w:lineRule="exact"/>
        <w:ind w:firstLine="482" w:firstLineChars="200"/>
        <w:rPr>
          <w:rFonts w:eastAsia="宋体" w:cs="Times New Roman"/>
          <w:b/>
          <w:bCs/>
        </w:rPr>
      </w:pPr>
      <w:r>
        <w:rPr>
          <w:rFonts w:hint="eastAsia" w:eastAsia="宋体" w:cs="Times New Roman"/>
          <w:b/>
          <w:bCs/>
        </w:rPr>
        <w:t>（1）区域检测结果结构化表示</w:t>
      </w:r>
    </w:p>
    <w:p w14:paraId="1150B890">
      <w:pPr>
        <w:tabs>
          <w:tab w:val="center" w:pos="4160"/>
          <w:tab w:val="right" w:pos="8300"/>
        </w:tabs>
        <w:spacing w:line="400" w:lineRule="exact"/>
        <w:ind w:firstLine="480" w:firstLineChars="200"/>
        <w:rPr>
          <w:rFonts w:eastAsia="宋体" w:cs="Times New Roman"/>
        </w:rPr>
      </w:pPr>
      <w:r>
        <w:rPr>
          <w:rFonts w:eastAsia="宋体" w:cs="Times New Roman"/>
        </w:rPr>
        <w:t>各区域在使用第四章APT检测方法完成区域检测后，输出各自的检测结果</w:t>
      </w:r>
      <w:r>
        <w:rPr>
          <w:rFonts w:hint="eastAsia" w:eastAsia="宋体" w:cs="Times New Roman"/>
        </w:rPr>
        <w:t>。对于跨域协作而言，协作层需要重点关注的是能够反映各区域检测结果及其证据的关键信息，而无需使用各区域的原始观测日志。因此，本节对区域检测结果进行结构化表示，在保留该区域当前最优决策的同时，进一步考虑对应的关键证据、前瞻评估结果及不确定性信息，从而为后续检测证据库的构建提供了统一的结构化输入形式。区域i在时刻t的结构化检测结果表示如式(5.1)。</w:t>
      </w:r>
    </w:p>
    <w:p w14:paraId="60C515E5">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284" o:spt="75" type="#_x0000_t75" style="height:21.9pt;width:142.55pt;" o:ole="t" filled="f" o:preferrelative="t" stroked="f" coordsize="21600,21600">
            <v:path/>
            <v:fill on="f" focussize="0,0"/>
            <v:stroke on="f" joinstyle="miter"/>
            <v:imagedata r:id="rId515" o:title=""/>
            <o:lock v:ext="edit" aspectratio="t"/>
            <w10:wrap type="none"/>
            <w10:anchorlock/>
          </v:shape>
          <o:OLEObject Type="Embed" ProgID="Equation.DSMT4" ShapeID="_x0000_i1284" DrawAspect="Content" ObjectID="_1468075984" r:id="rId514">
            <o:LockedField>false</o:LockedField>
          </o:OLEObject>
        </w:object>
      </w:r>
      <w:r>
        <w:rPr>
          <w:rFonts w:eastAsia="宋体" w:cs="Times New Roman"/>
        </w:rPr>
        <w:tab/>
      </w:r>
      <w:r>
        <w:rPr>
          <w:rFonts w:hint="eastAsia" w:eastAsia="宋体" w:cs="Times New Roman"/>
        </w:rPr>
        <w:t>(5.1)</w:t>
      </w:r>
    </w:p>
    <w:p w14:paraId="03E5EB21">
      <w:pPr>
        <w:spacing w:line="400" w:lineRule="exact"/>
        <w:ind w:firstLine="480" w:firstLineChars="200"/>
        <w:rPr>
          <w:rFonts w:eastAsia="宋体" w:cs="Times New Roman"/>
        </w:rPr>
      </w:pPr>
      <w:r>
        <w:rPr>
          <w:rFonts w:hint="eastAsia" w:eastAsia="宋体" w:cs="Times New Roman"/>
        </w:rPr>
        <w:t>式中，</w:t>
      </w:r>
      <w:r>
        <w:rPr>
          <w:rFonts w:eastAsia="宋体" w:cs="Times New Roman"/>
          <w:position w:val="-12"/>
        </w:rPr>
        <w:object>
          <v:shape id="_x0000_i1285" o:spt="75" type="#_x0000_t75" style="height:19pt;width:13.8pt;" o:ole="t" filled="f" o:preferrelative="t" stroked="f" coordsize="21600,21600">
            <v:path/>
            <v:fill on="f" focussize="0,0"/>
            <v:stroke on="f" joinstyle="miter"/>
            <v:imagedata r:id="rId517" o:title=""/>
            <o:lock v:ext="edit" aspectratio="t"/>
            <w10:wrap type="none"/>
            <w10:anchorlock/>
          </v:shape>
          <o:OLEObject Type="Embed" ProgID="Equation.DSMT4" ShapeID="_x0000_i1285" DrawAspect="Content" ObjectID="_1468075985" r:id="rId516">
            <o:LockedField>false</o:LockedField>
          </o:OLEObject>
        </w:object>
      </w:r>
      <w:r>
        <w:rPr>
          <w:rFonts w:hint="eastAsia" w:eastAsia="宋体" w:cs="Times New Roman"/>
        </w:rPr>
        <w:t>表示区域i在时刻t的结构化检测结果；</w:t>
      </w:r>
      <w:r>
        <w:rPr>
          <w:rFonts w:eastAsia="宋体" w:cs="Times New Roman"/>
          <w:position w:val="-12"/>
        </w:rPr>
        <w:object>
          <v:shape id="_x0000_i1286" o:spt="75" type="#_x0000_t75" style="height:19pt;width:13.25pt;" o:ole="t" filled="f" o:preferrelative="t" stroked="f" coordsize="21600,21600">
            <v:path/>
            <v:fill on="f" focussize="0,0"/>
            <v:stroke on="f" joinstyle="miter"/>
            <v:imagedata r:id="rId519" o:title=""/>
            <o:lock v:ext="edit" aspectratio="t"/>
            <w10:wrap type="none"/>
            <w10:anchorlock/>
          </v:shape>
          <o:OLEObject Type="Embed" ProgID="Equation.DSMT4" ShapeID="_x0000_i1286" DrawAspect="Content" ObjectID="_1468075986" r:id="rId518">
            <o:LockedField>false</o:LockedField>
          </o:OLEObject>
        </w:object>
      </w:r>
      <w:r>
        <w:rPr>
          <w:rFonts w:hint="eastAsia" w:eastAsia="宋体" w:cs="Times New Roman"/>
        </w:rPr>
        <w:t>表示区域i在时刻t的最优决策；</w:t>
      </w:r>
      <w:r>
        <w:rPr>
          <w:rFonts w:eastAsia="宋体" w:cs="Times New Roman"/>
          <w:position w:val="-14"/>
        </w:rPr>
        <w:object>
          <v:shape id="_x0000_i1287" o:spt="75" type="#_x0000_t75" style="height:21.9pt;width:40.05pt;" o:ole="t" filled="f" o:preferrelative="t" stroked="f" coordsize="21600,21600">
            <v:path/>
            <v:fill on="f" focussize="0,0"/>
            <v:stroke on="f" joinstyle="miter"/>
            <v:imagedata r:id="rId521" o:title=""/>
            <o:lock v:ext="edit" aspectratio="t"/>
            <w10:wrap type="none"/>
            <w10:anchorlock/>
          </v:shape>
          <o:OLEObject Type="Embed" ProgID="Equation.DSMT4" ShapeID="_x0000_i1287" DrawAspect="Content" ObjectID="_1468075987" r:id="rId520">
            <o:LockedField>false</o:LockedField>
          </o:OLEObject>
        </w:object>
      </w:r>
      <w:r>
        <w:rPr>
          <w:rFonts w:hint="eastAsia" w:eastAsia="宋体" w:cs="Times New Roman"/>
        </w:rPr>
        <w:t>表示区域i在时刻t提取的关键证据集合，其中</w:t>
      </w:r>
      <w:r>
        <w:rPr>
          <w:rFonts w:eastAsia="宋体" w:cs="Times New Roman"/>
          <w:position w:val="-14"/>
        </w:rPr>
        <w:object>
          <v:shape id="_x0000_i1288" o:spt="75" type="#_x0000_t75" style="height:19.6pt;width:18.15pt;" o:ole="t" filled="f" o:preferrelative="t" stroked="f" coordsize="21600,21600">
            <v:path/>
            <v:fill on="f" focussize="0,0"/>
            <v:stroke on="f" joinstyle="miter"/>
            <v:imagedata r:id="rId523" o:title=""/>
            <o:lock v:ext="edit" aspectratio="t"/>
            <w10:wrap type="none"/>
            <w10:anchorlock/>
          </v:shape>
          <o:OLEObject Type="Embed" ProgID="Equation.DSMT4" ShapeID="_x0000_i1288" DrawAspect="Content" ObjectID="_1468075988" r:id="rId522">
            <o:LockedField>false</o:LockedField>
          </o:OLEObject>
        </w:object>
      </w:r>
      <w:r>
        <w:rPr>
          <w:rFonts w:hint="eastAsia" w:eastAsia="宋体" w:cs="Times New Roman"/>
        </w:rPr>
        <w:t>为第m条关键证据，</w:t>
      </w:r>
      <w:r>
        <w:rPr>
          <w:rFonts w:eastAsia="宋体" w:cs="Times New Roman"/>
          <w:position w:val="-12"/>
        </w:rPr>
        <w:object>
          <v:shape id="_x0000_i1289" o:spt="75" type="#_x0000_t75" style="height:19pt;width:19pt;" o:ole="t" filled="f" o:preferrelative="t" stroked="f" coordsize="21600,21600">
            <v:path/>
            <v:fill on="f" focussize="0,0"/>
            <v:stroke on="f" joinstyle="miter"/>
            <v:imagedata r:id="rId525" o:title=""/>
            <o:lock v:ext="edit" aspectratio="t"/>
            <w10:wrap type="none"/>
            <w10:anchorlock/>
          </v:shape>
          <o:OLEObject Type="Embed" ProgID="Equation.DSMT4" ShapeID="_x0000_i1289" DrawAspect="Content" ObjectID="_1468075989" r:id="rId524">
            <o:LockedField>false</o:LockedField>
          </o:OLEObject>
        </w:object>
      </w:r>
      <w:r>
        <w:rPr>
          <w:rFonts w:hint="eastAsia" w:eastAsia="宋体" w:cs="Times New Roman"/>
        </w:rPr>
        <w:t>为对应的证据条数；</w:t>
      </w:r>
      <w:r>
        <w:rPr>
          <w:rFonts w:eastAsia="宋体" w:cs="Times New Roman"/>
          <w:position w:val="-14"/>
        </w:rPr>
        <w:object>
          <v:shape id="_x0000_i1290" o:spt="75" type="#_x0000_t75" style="height:21.9pt;width:38.6pt;" o:ole="t" filled="f" o:preferrelative="t" stroked="f" coordsize="21600,21600">
            <v:path/>
            <v:fill on="f" focussize="0,0"/>
            <v:stroke on="f" joinstyle="miter"/>
            <v:imagedata r:id="rId527" o:title=""/>
            <o:lock v:ext="edit" aspectratio="t"/>
            <w10:wrap type="none"/>
            <w10:anchorlock/>
          </v:shape>
          <o:OLEObject Type="Embed" ProgID="Equation.DSMT4" ShapeID="_x0000_i1290" DrawAspect="Content" ObjectID="_1468075990" r:id="rId526">
            <o:LockedField>false</o:LockedField>
          </o:OLEObject>
        </w:object>
      </w:r>
      <w:r>
        <w:rPr>
          <w:rFonts w:hint="eastAsia" w:eastAsia="宋体" w:cs="Times New Roman"/>
        </w:rPr>
        <w:t>表示候选计划对应的前瞻评估集合，其中</w:t>
      </w:r>
      <w:r>
        <w:rPr>
          <w:rFonts w:eastAsia="宋体" w:cs="Times New Roman"/>
          <w:position w:val="-14"/>
        </w:rPr>
        <w:object>
          <v:shape id="_x0000_i1291" o:spt="75" type="#_x0000_t75" style="height:19.6pt;width:18.15pt;" o:ole="t" filled="f" o:preferrelative="t" stroked="f" coordsize="21600,21600">
            <v:path/>
            <v:fill on="f" focussize="0,0"/>
            <v:stroke on="f" joinstyle="miter"/>
            <v:imagedata r:id="rId529" o:title=""/>
            <o:lock v:ext="edit" aspectratio="t"/>
            <w10:wrap type="none"/>
            <w10:anchorlock/>
          </v:shape>
          <o:OLEObject Type="Embed" ProgID="Equation.DSMT4" ShapeID="_x0000_i1291" DrawAspect="Content" ObjectID="_1468075991" r:id="rId528">
            <o:LockedField>false</o:LockedField>
          </o:OLEObject>
        </w:object>
      </w:r>
      <w:r>
        <w:rPr>
          <w:rFonts w:hint="eastAsia" w:eastAsia="宋体" w:cs="Times New Roman"/>
        </w:rPr>
        <w:t>为第k个候选计划的结构化前瞻评估结果，</w:t>
      </w:r>
      <w:r>
        <w:rPr>
          <w:rFonts w:eastAsia="宋体" w:cs="Times New Roman"/>
          <w:position w:val="-12"/>
        </w:rPr>
        <w:object>
          <v:shape id="_x0000_i1292" o:spt="75" type="#_x0000_t75" style="height:19pt;width:16.4pt;" o:ole="t" filled="f" o:preferrelative="t" stroked="f" coordsize="21600,21600">
            <v:path/>
            <v:fill on="f" focussize="0,0"/>
            <v:stroke on="f" joinstyle="miter"/>
            <v:imagedata r:id="rId531" o:title=""/>
            <o:lock v:ext="edit" aspectratio="t"/>
            <w10:wrap type="none"/>
            <w10:anchorlock/>
          </v:shape>
          <o:OLEObject Type="Embed" ProgID="Equation.DSMT4" ShapeID="_x0000_i1292" DrawAspect="Content" ObjectID="_1468075992" r:id="rId530">
            <o:LockedField>false</o:LockedField>
          </o:OLEObject>
        </w:object>
      </w:r>
      <w:r>
        <w:rPr>
          <w:rFonts w:hint="eastAsia" w:eastAsia="宋体" w:cs="Times New Roman"/>
        </w:rPr>
        <w:t>为候选计划数；</w:t>
      </w:r>
      <w:r>
        <w:rPr>
          <w:rFonts w:eastAsia="宋体" w:cs="Times New Roman"/>
          <w:position w:val="-12"/>
        </w:rPr>
        <w:object>
          <v:shape id="_x0000_i1293" o:spt="75" type="#_x0000_t75" style="height:19pt;width:13.25pt;" o:ole="t" filled="f" o:preferrelative="t" stroked="f" coordsize="21600,21600">
            <v:path/>
            <v:fill on="f" focussize="0,0"/>
            <v:stroke on="f" joinstyle="miter"/>
            <v:imagedata r:id="rId533" o:title=""/>
            <o:lock v:ext="edit" aspectratio="t"/>
            <w10:wrap type="none"/>
            <w10:anchorlock/>
          </v:shape>
          <o:OLEObject Type="Embed" ProgID="Equation.DSMT4" ShapeID="_x0000_i1293" DrawAspect="Content" ObjectID="_1468075993" r:id="rId532">
            <o:LockedField>false</o:LockedField>
          </o:OLEObject>
        </w:object>
      </w:r>
      <w:r>
        <w:rPr>
          <w:rFonts w:hint="eastAsia" w:eastAsia="宋体" w:cs="Times New Roman"/>
        </w:rPr>
        <w:t>表示区域i在时刻t的不确定性标记，用于表示当前检测判断的不确定程度。</w:t>
      </w:r>
    </w:p>
    <w:p w14:paraId="267A0AE9">
      <w:pPr>
        <w:spacing w:line="400" w:lineRule="exact"/>
        <w:ind w:firstLine="480" w:firstLineChars="200"/>
        <w:rPr>
          <w:rFonts w:eastAsia="宋体" w:cs="Times New Roman"/>
        </w:rPr>
      </w:pPr>
      <w:r>
        <w:rPr>
          <w:rFonts w:hint="eastAsia" w:eastAsia="宋体" w:cs="Times New Roman"/>
        </w:rPr>
        <w:t>上述公式将区域检测结果及其相关证据表示为统一的结构化形式，将各区域的检测结果转化为跨域协作信息。其中，最优决策反映区域的当前检测判断，关键证据及前瞻评估结果保留了该检测判断的主要依据，不确定性信息则为后续跨区域综合分析提供参考。基于这一表示形式，协作层能够在不直接访问各区域原始观测信息的情况下，获取各区域的检测信息，为下节检测证据库的构建提供了基础。</w:t>
      </w:r>
    </w:p>
    <w:p w14:paraId="33014FC8">
      <w:pPr>
        <w:spacing w:line="400" w:lineRule="exact"/>
        <w:ind w:firstLine="482" w:firstLineChars="200"/>
        <w:rPr>
          <w:rFonts w:eastAsia="宋体" w:cs="Times New Roman"/>
          <w:b/>
          <w:bCs/>
        </w:rPr>
      </w:pPr>
      <w:r>
        <w:rPr>
          <w:rFonts w:hint="eastAsia" w:eastAsia="宋体" w:cs="Times New Roman"/>
          <w:b/>
          <w:bCs/>
        </w:rPr>
        <w:t>（2）多区域检测证据库构建</w:t>
      </w:r>
    </w:p>
    <w:p w14:paraId="545E7BE7">
      <w:pPr>
        <w:spacing w:line="400" w:lineRule="exact"/>
        <w:ind w:firstLine="480" w:firstLineChars="200"/>
        <w:rPr>
          <w:rFonts w:eastAsia="宋体" w:cs="Times New Roman"/>
        </w:rPr>
      </w:pPr>
      <w:r>
        <w:rPr>
          <w:rFonts w:hint="eastAsia" w:eastAsia="宋体" w:cs="Times New Roman"/>
        </w:rPr>
        <w:t>考虑到APT攻击具有持续演进特性，仅依赖单个区域及单个时刻的检测结果，难以体现其在不同区域之间的阶段变化与攻击过程。因此，在得到各区域结构化检测结果后，本节需进一步构建多区域检测证据库。与式(5.1)对应的单区域检测结果表示不同，多区域证据库目的是为跨区域协作层提供统一的输入，其不再是表现某一区域当前时刻的检测状态，而是从跨区域的角度将各域检测结果及其关联信息汇总，为后续攻击阶段推理与协作计划生成提供基础。本节对多区域检测证据库的构建方式如式(5.2)。</w:t>
      </w:r>
    </w:p>
    <w:p w14:paraId="47C43B5D">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294" o:spt="75" type="#_x0000_t75" style="height:34pt;width:247.95pt;" o:ole="t" filled="f" o:preferrelative="t" stroked="f" coordsize="21600,21600">
            <v:path/>
            <v:fill on="f" focussize="0,0"/>
            <v:stroke on="f" joinstyle="miter"/>
            <v:imagedata r:id="rId535" o:title=""/>
            <o:lock v:ext="edit" aspectratio="t"/>
            <w10:wrap type="none"/>
            <w10:anchorlock/>
          </v:shape>
          <o:OLEObject Type="Embed" ProgID="Equation.DSMT4" ShapeID="_x0000_i1294" DrawAspect="Content" ObjectID="_1468075994" r:id="rId534">
            <o:LockedField>false</o:LockedField>
          </o:OLEObject>
        </w:object>
      </w:r>
      <w:r>
        <w:rPr>
          <w:rFonts w:eastAsia="宋体" w:cs="Times New Roman"/>
        </w:rPr>
        <w:tab/>
      </w:r>
      <w:r>
        <w:rPr>
          <w:rFonts w:hint="eastAsia" w:eastAsia="宋体" w:cs="Times New Roman"/>
        </w:rPr>
        <w:t>(5.2)</w:t>
      </w:r>
    </w:p>
    <w:p w14:paraId="4E262E95">
      <w:pPr>
        <w:spacing w:line="400" w:lineRule="exact"/>
        <w:rPr>
          <w:rFonts w:eastAsia="宋体" w:cs="Times New Roman"/>
        </w:rPr>
      </w:pPr>
      <w:r>
        <w:rPr>
          <w:rFonts w:hint="eastAsia" w:eastAsia="宋体" w:cs="Times New Roman"/>
        </w:rPr>
        <w:t>式</w:t>
      </w:r>
      <w:r>
        <w:rPr>
          <w:rFonts w:eastAsia="宋体" w:cs="Times New Roman"/>
        </w:rPr>
        <w:t>中，</w:t>
      </w:r>
      <w:r>
        <w:rPr>
          <w:rFonts w:hint="eastAsia" w:eastAsia="宋体" w:cs="Times New Roman"/>
          <w:position w:val="-12"/>
        </w:rPr>
        <w:object>
          <v:shape id="_x0000_i1295" o:spt="75" type="#_x0000_t75" style="height:18.15pt;width:18.15pt;" o:ole="t" filled="f" o:preferrelative="t" stroked="f" coordsize="21600,21600">
            <v:path/>
            <v:fill on="f" focussize="0,0"/>
            <v:stroke on="f" joinstyle="miter"/>
            <v:imagedata r:id="rId537" o:title=""/>
            <o:lock v:ext="edit" aspectratio="t"/>
            <w10:wrap type="none"/>
            <w10:anchorlock/>
          </v:shape>
          <o:OLEObject Type="Embed" ProgID="Equation.DSMT4" ShapeID="_x0000_i1295" DrawAspect="Content" ObjectID="_1468075995" r:id="rId536">
            <o:LockedField>false</o:LockedField>
          </o:OLEObject>
        </w:object>
      </w:r>
      <w:r>
        <w:rPr>
          <w:rFonts w:hint="eastAsia" w:eastAsia="宋体" w:cs="Times New Roman"/>
        </w:rPr>
        <w:t>表示时刻t的多区域检测证据库；</w:t>
      </w:r>
      <w:r>
        <w:rPr>
          <w:rFonts w:hint="eastAsia" w:eastAsia="宋体" w:cs="Times New Roman"/>
          <w:position w:val="-12"/>
        </w:rPr>
        <w:object>
          <v:shape id="_x0000_i1296" o:spt="75" type="#_x0000_t75" style="height:18.15pt;width:13.8pt;" o:ole="t" filled="f" o:preferrelative="t" stroked="f" coordsize="21600,21600">
            <v:path/>
            <v:fill on="f" focussize="0,0"/>
            <v:stroke on="f" joinstyle="miter"/>
            <v:imagedata r:id="rId539" o:title=""/>
            <o:lock v:ext="edit" aspectratio="t"/>
            <w10:wrap type="none"/>
            <w10:anchorlock/>
          </v:shape>
          <o:OLEObject Type="Embed" ProgID="Equation.DSMT4" ShapeID="_x0000_i1296" DrawAspect="Content" ObjectID="_1468075996" r:id="rId538">
            <o:LockedField>false</o:LockedField>
          </o:OLEObject>
        </w:object>
      </w:r>
      <w:r>
        <w:rPr>
          <w:rFonts w:eastAsia="宋体" w:cs="Times New Roman"/>
        </w:rPr>
        <w:t>表示跨区域关键证据集合；</w:t>
      </w:r>
      <w:r>
        <w:rPr>
          <w:rFonts w:hint="eastAsia" w:eastAsia="宋体" w:cs="Times New Roman"/>
          <w:position w:val="-12"/>
        </w:rPr>
        <w:object>
          <v:shape id="_x0000_i1297" o:spt="75" type="#_x0000_t75" style="height:18.15pt;width:13.25pt;" o:ole="t" filled="f" o:preferrelative="t" stroked="f" coordsize="21600,21600">
            <v:path/>
            <v:fill on="f" focussize="0,0"/>
            <v:stroke on="f" joinstyle="miter"/>
            <v:imagedata r:id="rId541" o:title=""/>
            <o:lock v:ext="edit" aspectratio="t"/>
            <w10:wrap type="none"/>
            <w10:anchorlock/>
          </v:shape>
          <o:OLEObject Type="Embed" ProgID="Equation.DSMT4" ShapeID="_x0000_i1297" DrawAspect="Content" ObjectID="_1468075997" r:id="rId540">
            <o:LockedField>false</o:LockedField>
          </o:OLEObject>
        </w:object>
      </w:r>
      <w:r>
        <w:rPr>
          <w:rFonts w:eastAsia="宋体" w:cs="Times New Roman"/>
        </w:rPr>
        <w:t>表示跨区域前瞻评估证据集合；</w:t>
      </w:r>
      <w:r>
        <w:rPr>
          <w:rFonts w:hint="eastAsia" w:eastAsia="宋体" w:cs="Times New Roman"/>
          <w:position w:val="-12"/>
        </w:rPr>
        <w:object>
          <v:shape id="_x0000_i1298" o:spt="75" type="#_x0000_t75" style="height:18.15pt;width:16.4pt;" o:ole="t" filled="f" o:preferrelative="t" stroked="f" coordsize="21600,21600">
            <v:path/>
            <v:fill on="f" focussize="0,0"/>
            <v:stroke on="f" joinstyle="miter"/>
            <v:imagedata r:id="rId543" o:title=""/>
            <o:lock v:ext="edit" aspectratio="t"/>
            <w10:wrap type="none"/>
            <w10:anchorlock/>
          </v:shape>
          <o:OLEObject Type="Embed" ProgID="Equation.DSMT4" ShapeID="_x0000_i1298" DrawAspect="Content" ObjectID="_1468075998" r:id="rId542">
            <o:LockedField>false</o:LockedField>
          </o:OLEObject>
        </w:object>
      </w:r>
      <w:r>
        <w:rPr>
          <w:rFonts w:eastAsia="宋体" w:cs="Times New Roman"/>
        </w:rPr>
        <w:t>表示协作日志集合；</w:t>
      </w:r>
      <m:oMath>
        <m:r>
          <m:rPr/>
          <w:rPr>
            <w:rFonts w:ascii="Cambria Math" w:hAnsi="Cambria Math" w:eastAsia="宋体" w:cs="Times New Roman"/>
          </w:rPr>
          <m:t>N</m:t>
        </m:r>
      </m:oMath>
      <w:r>
        <w:rPr>
          <w:rFonts w:eastAsia="宋体" w:cs="Times New Roman"/>
        </w:rPr>
        <w:t>表示区域总数；</w:t>
      </w:r>
      <m:oMath>
        <m:r>
          <m:rPr/>
          <w:rPr>
            <w:rFonts w:ascii="Cambria Math" w:hAnsi="Cambria Math" w:eastAsia="宋体" w:cs="Times New Roman"/>
          </w:rPr>
          <m:t>⋃</m:t>
        </m:r>
      </m:oMath>
      <w:r>
        <w:rPr>
          <w:rFonts w:eastAsia="宋体" w:cs="Times New Roman"/>
        </w:rPr>
        <w:t>表示对各区域检测结果统一聚合</w:t>
      </w:r>
      <w:r>
        <w:rPr>
          <w:rFonts w:hint="eastAsia" w:eastAsia="宋体" w:cs="Times New Roman"/>
        </w:rPr>
        <w:t>。通过多区域检测证据库，协作层能够在统一输入基础上对多区域检测结果进行综合分析，而无需处理各区域分散的检测结果。</w:t>
      </w:r>
    </w:p>
    <w:p w14:paraId="29D5F521">
      <w:pPr>
        <w:spacing w:line="400" w:lineRule="exact"/>
        <w:ind w:firstLine="480" w:firstLineChars="200"/>
        <w:rPr>
          <w:rFonts w:eastAsia="宋体" w:cs="Times New Roman"/>
        </w:rPr>
      </w:pPr>
      <w:r>
        <w:rPr>
          <w:rFonts w:eastAsia="宋体" w:cs="Times New Roman"/>
        </w:rPr>
        <w:t>考虑到APT攻击具有持续性，多区域</w:t>
      </w:r>
      <w:r>
        <w:rPr>
          <w:rFonts w:hint="eastAsia" w:eastAsia="宋体" w:cs="Times New Roman"/>
        </w:rPr>
        <w:t>检测</w:t>
      </w:r>
      <w:r>
        <w:rPr>
          <w:rFonts w:eastAsia="宋体" w:cs="Times New Roman"/>
        </w:rPr>
        <w:t>证据库</w:t>
      </w:r>
      <w:r>
        <w:rPr>
          <w:rFonts w:hint="eastAsia" w:eastAsia="宋体" w:cs="Times New Roman"/>
        </w:rPr>
        <w:t>需在检测过程中不断更新</w:t>
      </w:r>
      <w:r>
        <w:rPr>
          <w:rFonts w:eastAsia="宋体" w:cs="Times New Roman"/>
        </w:rPr>
        <w:t>。</w:t>
      </w:r>
      <w:r>
        <w:rPr>
          <w:rFonts w:hint="eastAsia" w:eastAsia="宋体" w:cs="Times New Roman"/>
        </w:rPr>
        <w:t>因此，本节设计了多区域检测证据库的更新方式，基于当前时刻各区域的结构化检测结果，通过证据对齐、重复消息去除、证据融合及滑动窗口截断的方式完成更新，其过程如式(5.3)。</w:t>
      </w:r>
    </w:p>
    <w:p w14:paraId="1029B527">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299" o:spt="75" type="#_x0000_t75" style="height:19pt;width:139.95pt;" o:ole="t" filled="f" o:preferrelative="t" stroked="f" coordsize="21600,21600">
            <v:path/>
            <v:fill on="f" focussize="0,0"/>
            <v:stroke on="f" joinstyle="miter"/>
            <v:imagedata r:id="rId545" o:title=""/>
            <o:lock v:ext="edit" aspectratio="t"/>
            <w10:wrap type="none"/>
            <w10:anchorlock/>
          </v:shape>
          <o:OLEObject Type="Embed" ProgID="Equation.DSMT4" ShapeID="_x0000_i1299" DrawAspect="Content" ObjectID="_1468075999" r:id="rId544">
            <o:LockedField>false</o:LockedField>
          </o:OLEObject>
        </w:object>
      </w:r>
      <w:r>
        <w:rPr>
          <w:rFonts w:eastAsia="宋体" w:cs="Times New Roman"/>
        </w:rPr>
        <w:tab/>
      </w:r>
      <w:r>
        <w:rPr>
          <w:rFonts w:hint="eastAsia" w:eastAsia="宋体" w:cs="Times New Roman"/>
        </w:rPr>
        <w:t>(5.3)</w:t>
      </w:r>
    </w:p>
    <w:p w14:paraId="4D7013AD">
      <w:pPr>
        <w:spacing w:line="400" w:lineRule="exact"/>
        <w:rPr>
          <w:rFonts w:eastAsia="宋体" w:cs="Times New Roman"/>
        </w:rPr>
      </w:pPr>
      <w:r>
        <w:rPr>
          <w:rFonts w:hint="eastAsia" w:eastAsia="宋体" w:cs="Times New Roman"/>
        </w:rPr>
        <w:t>式</w:t>
      </w:r>
      <w:r>
        <w:rPr>
          <w:rFonts w:eastAsia="宋体" w:cs="Times New Roman"/>
        </w:rPr>
        <w:t>中</w:t>
      </w:r>
      <w:r>
        <w:rPr>
          <w:rFonts w:hint="eastAsia" w:eastAsia="宋体" w:cs="Times New Roman"/>
        </w:rPr>
        <w:t>，</w:t>
      </w:r>
      <w:r>
        <w:rPr>
          <w:rFonts w:hint="eastAsia" w:eastAsia="宋体" w:cs="Times New Roman"/>
          <w:position w:val="-12"/>
        </w:rPr>
        <w:object>
          <v:shape id="_x0000_i1300" o:spt="75" type="#_x0000_t75" style="height:18.15pt;width:23.6pt;" o:ole="t" filled="f" o:preferrelative="t" stroked="f" coordsize="21600,21600">
            <v:path/>
            <v:fill on="f" focussize="0,0"/>
            <v:stroke on="f" joinstyle="miter"/>
            <v:imagedata r:id="rId547" o:title=""/>
            <o:lock v:ext="edit" aspectratio="t"/>
            <w10:wrap type="none"/>
            <w10:anchorlock/>
          </v:shape>
          <o:OLEObject Type="Embed" ProgID="Equation.DSMT4" ShapeID="_x0000_i1300" DrawAspect="Content" ObjectID="_1468076000" r:id="rId546">
            <o:LockedField>false</o:LockedField>
          </o:OLEObject>
        </w:object>
      </w:r>
      <w:r>
        <w:rPr>
          <w:rFonts w:hint="eastAsia" w:eastAsia="宋体" w:cs="Times New Roman"/>
        </w:rPr>
        <w:t>表示时刻t-1</w:t>
      </w:r>
      <w:r>
        <w:rPr>
          <w:rFonts w:eastAsia="宋体" w:cs="Times New Roman"/>
        </w:rPr>
        <w:t>的证据库；</w:t>
      </w:r>
      <w:r>
        <w:rPr>
          <w:rFonts w:hint="eastAsia" w:eastAsia="宋体" w:cs="Times New Roman"/>
          <w:position w:val="-12"/>
        </w:rPr>
        <w:object>
          <v:shape id="_x0000_i1301" o:spt="75" type="#_x0000_t75" style="height:19pt;width:33.4pt;" o:ole="t" filled="f" o:preferrelative="t" stroked="f" coordsize="21600,21600">
            <v:path/>
            <v:fill on="f" focussize="0,0"/>
            <v:stroke on="f" joinstyle="miter"/>
            <v:imagedata r:id="rId549" o:title=""/>
            <o:lock v:ext="edit" aspectratio="t"/>
            <w10:wrap type="none"/>
            <w10:anchorlock/>
          </v:shape>
          <o:OLEObject Type="Embed" ProgID="Equation.DSMT4" ShapeID="_x0000_i1301" DrawAspect="Content" ObjectID="_1468076001" r:id="rId548">
            <o:LockedField>false</o:LockedField>
          </o:OLEObject>
        </w:object>
      </w:r>
      <w:r>
        <w:rPr>
          <w:rFonts w:hint="eastAsia" w:eastAsia="宋体" w:cs="Times New Roman"/>
        </w:rPr>
        <w:t>表示时刻t各区域上报的结构化检测结果；</w:t>
      </w:r>
      <w:r>
        <w:rPr>
          <w:rFonts w:hint="eastAsia" w:eastAsia="宋体" w:cs="Times New Roman"/>
          <w:position w:val="-10"/>
        </w:rPr>
        <w:object>
          <v:shape id="_x0000_i1302" o:spt="75" type="#_x0000_t75" style="height:16.4pt;width:21.9pt;" o:ole="t" filled="f" o:preferrelative="t" stroked="f" coordsize="21600,21600">
            <v:path/>
            <v:fill on="f" focussize="0,0"/>
            <v:stroke on="f" joinstyle="miter"/>
            <v:imagedata r:id="rId551" o:title=""/>
            <o:lock v:ext="edit" aspectratio="t"/>
            <w10:wrap type="none"/>
            <w10:anchorlock/>
          </v:shape>
          <o:OLEObject Type="Embed" ProgID="Equation.DSMT4" ShapeID="_x0000_i1302" DrawAspect="Content" ObjectID="_1468076002" r:id="rId550">
            <o:LockedField>false</o:LockedField>
          </o:OLEObject>
        </w:object>
      </w:r>
      <w:r>
        <w:rPr>
          <w:rFonts w:hint="eastAsia" w:eastAsia="宋体" w:cs="Times New Roman"/>
        </w:rPr>
        <w:t>表示证据对齐与去重过程，用于完成时间戳对齐、统一来源、重复消息去除；</w:t>
      </w:r>
      <w:r>
        <w:rPr>
          <w:rFonts w:hint="eastAsia" w:eastAsia="宋体" w:cs="Times New Roman"/>
          <w:position w:val="-10"/>
        </w:rPr>
        <w:object>
          <v:shape id="_x0000_i1303" o:spt="75" type="#_x0000_t75" style="height:16.4pt;width:23.6pt;" o:ole="t" filled="f" o:preferrelative="t" stroked="f" coordsize="21600,21600">
            <v:path/>
            <v:fill on="f" focussize="0,0"/>
            <v:stroke on="f" joinstyle="miter"/>
            <v:imagedata r:id="rId553" o:title=""/>
            <o:lock v:ext="edit" aspectratio="t"/>
            <w10:wrap type="none"/>
            <w10:anchorlock/>
          </v:shape>
          <o:OLEObject Type="Embed" ProgID="Equation.DSMT4" ShapeID="_x0000_i1303" DrawAspect="Content" ObjectID="_1468076003" r:id="rId552">
            <o:LockedField>false</o:LockedField>
          </o:OLEObject>
        </w:object>
      </w:r>
      <w:r>
        <w:rPr>
          <w:rFonts w:hint="eastAsia" w:eastAsia="宋体" w:cs="Times New Roman"/>
        </w:rPr>
        <w:t>表示证据融合过程，用于对相关证据进行融合并完成置信信息修正；</w:t>
      </w:r>
      <w:r>
        <w:rPr>
          <w:rFonts w:hint="eastAsia" w:eastAsia="宋体" w:cs="Times New Roman"/>
          <w:position w:val="-12"/>
        </w:rPr>
        <w:object>
          <v:shape id="_x0000_i1304" o:spt="75" type="#_x0000_t75" style="height:18.15pt;width:25.05pt;" o:ole="t" filled="f" o:preferrelative="t" stroked="f" coordsize="21600,21600">
            <v:path/>
            <v:fill on="f" focussize="0,0"/>
            <v:stroke on="f" joinstyle="miter"/>
            <v:imagedata r:id="rId555" o:title=""/>
            <o:lock v:ext="edit" aspectratio="t"/>
            <w10:wrap type="none"/>
            <w10:anchorlock/>
          </v:shape>
          <o:OLEObject Type="Embed" ProgID="Equation.DSMT4" ShapeID="_x0000_i1304" DrawAspect="Content" ObjectID="_1468076004" r:id="rId554">
            <o:LockedField>false</o:LockedField>
          </o:OLEObject>
        </w:object>
      </w:r>
      <w:r>
        <w:rPr>
          <w:rFonts w:hint="eastAsia" w:eastAsia="宋体" w:cs="Times New Roman"/>
        </w:rPr>
        <w:t>表示进行窗口长度为w的截断操作，用于控制证据库规模以及保留近期有效信息。</w:t>
      </w:r>
    </w:p>
    <w:p w14:paraId="59D538D3">
      <w:pPr>
        <w:spacing w:line="400" w:lineRule="exact"/>
        <w:ind w:firstLine="480" w:firstLineChars="200"/>
        <w:rPr>
          <w:rFonts w:eastAsia="宋体" w:cs="Times New Roman"/>
        </w:rPr>
      </w:pPr>
      <w:r>
        <w:rPr>
          <w:rFonts w:eastAsia="宋体" w:cs="Times New Roman"/>
        </w:rPr>
        <w:t>上述更新过程表明，多区域检测证据库并不是对各区域原始日志或检测结果的简单堆叠，而是对跨区域检测证据进行统一</w:t>
      </w:r>
      <w:r>
        <w:rPr>
          <w:rFonts w:hint="eastAsia" w:eastAsia="宋体" w:cs="Times New Roman"/>
        </w:rPr>
        <w:t>汇总</w:t>
      </w:r>
      <w:r>
        <w:rPr>
          <w:rFonts w:eastAsia="宋体" w:cs="Times New Roman"/>
        </w:rPr>
        <w:t>与动态</w:t>
      </w:r>
      <w:r>
        <w:rPr>
          <w:rFonts w:hint="eastAsia" w:eastAsia="宋体" w:cs="Times New Roman"/>
        </w:rPr>
        <w:t>更新。</w:t>
      </w:r>
      <w:r>
        <w:rPr>
          <w:rFonts w:eastAsia="宋体" w:cs="Times New Roman"/>
        </w:rPr>
        <w:t>通过证据对齐、融合与窗口更新，协作层能够在不直接访问各区域原始观测数据的情况下，获得可用于攻击阶段推理和协作计划生成的结构化输入。</w:t>
      </w:r>
    </w:p>
    <w:p w14:paraId="698E2447">
      <w:pPr>
        <w:pStyle w:val="4"/>
      </w:pPr>
      <w:bookmarkStart w:id="97" w:name="_Toc224238218"/>
      <w:bookmarkStart w:id="98" w:name="_Toc230086391"/>
      <w:r>
        <w:rPr>
          <w:rFonts w:hint="eastAsia"/>
        </w:rPr>
        <w:t>5.2.2 攻击阶段推理</w:t>
      </w:r>
      <w:bookmarkEnd w:id="97"/>
      <w:bookmarkEnd w:id="98"/>
    </w:p>
    <w:p w14:paraId="6B362FC0">
      <w:pPr>
        <w:spacing w:line="400" w:lineRule="exact"/>
        <w:ind w:firstLine="480" w:firstLineChars="200"/>
        <w:rPr>
          <w:rFonts w:eastAsia="宋体" w:cs="Times New Roman"/>
        </w:rPr>
      </w:pPr>
      <w:r>
        <w:rPr>
          <w:rFonts w:eastAsia="宋体" w:cs="Times New Roman"/>
        </w:rPr>
        <w:t>在</w:t>
      </w:r>
      <w:r>
        <w:rPr>
          <w:rFonts w:hint="eastAsia" w:eastAsia="宋体" w:cs="Times New Roman"/>
        </w:rPr>
        <w:t>完成多区域检测证据库构建与更新后，协作层可获得跨区域协同分析所需的统一输入。在此基础上，考虑到APT不同阶段对应的协作方式及重点可能不同，阶段判断结果将会直接影响协作计划的生成。因此，在协作计划生成之前，本节首先结合多区域检测证据，使用LLM对APT所处的阶段进行推断，并在此基础上对推断结果进行置信校准，以提升后续协作先验的可靠性。</w:t>
      </w:r>
    </w:p>
    <w:p w14:paraId="6C443586">
      <w:pPr>
        <w:spacing w:line="400" w:lineRule="exact"/>
        <w:ind w:firstLine="480" w:firstLineChars="200"/>
        <w:rPr>
          <w:rFonts w:eastAsia="宋体" w:cs="Times New Roman"/>
          <w:b/>
          <w:bCs/>
        </w:rPr>
      </w:pPr>
      <w:r>
        <w:rPr>
          <w:rFonts w:hint="eastAsia" w:eastAsia="宋体" w:cs="Times New Roman"/>
        </w:rPr>
        <w:t>APT攻击通常具有持续演化及不同阶段攻击特性可能不同的特点，因此不同APT阶段的预警形态、证据关联关系及跨区域联动检测方式可能不同。基于此，</w:t>
      </w:r>
      <w:r>
        <w:rPr>
          <w:rFonts w:eastAsia="宋体" w:cs="Times New Roman"/>
        </w:rPr>
        <w:t>为生成与</w:t>
      </w:r>
      <w:r>
        <w:rPr>
          <w:rFonts w:hint="eastAsia" w:eastAsia="宋体" w:cs="Times New Roman"/>
        </w:rPr>
        <w:t>APT各</w:t>
      </w:r>
      <w:r>
        <w:rPr>
          <w:rFonts w:eastAsia="宋体" w:cs="Times New Roman"/>
        </w:rPr>
        <w:t>攻击</w:t>
      </w:r>
      <w:r>
        <w:rPr>
          <w:rFonts w:hint="eastAsia" w:eastAsia="宋体" w:cs="Times New Roman"/>
        </w:rPr>
        <w:t>阶段</w:t>
      </w:r>
      <w:r>
        <w:rPr>
          <w:rFonts w:eastAsia="宋体" w:cs="Times New Roman"/>
        </w:rPr>
        <w:t>相匹配的跨域协作计划，</w:t>
      </w:r>
      <w:r>
        <w:rPr>
          <w:rFonts w:hint="eastAsia" w:eastAsia="宋体" w:cs="Times New Roman"/>
        </w:rPr>
        <w:t>本文首先使用大模型对多区域检测证据库</w:t>
      </w:r>
      <w:r>
        <w:rPr>
          <w:rFonts w:hint="eastAsia" w:eastAsia="宋体" w:cs="Times New Roman"/>
          <w:position w:val="-12"/>
        </w:rPr>
        <w:object>
          <v:shape id="_x0000_i1305" o:spt="75" type="#_x0000_t75" style="height:18.15pt;width:18.15pt;" o:ole="t" filled="f" o:preferrelative="t" stroked="f" coordsize="21600,21600">
            <v:path/>
            <v:fill on="f" focussize="0,0"/>
            <v:stroke on="f" joinstyle="miter"/>
            <v:imagedata r:id="rId557" o:title=""/>
            <o:lock v:ext="edit" aspectratio="t"/>
            <w10:wrap type="none"/>
            <w10:anchorlock/>
          </v:shape>
          <o:OLEObject Type="Embed" ProgID="Equation.DSMT4" ShapeID="_x0000_i1305" DrawAspect="Content" ObjectID="_1468076005" r:id="rId556">
            <o:LockedField>false</o:LockedField>
          </o:OLEObject>
        </w:object>
      </w:r>
      <w:r>
        <w:rPr>
          <w:rFonts w:hint="eastAsia" w:eastAsia="宋体" w:cs="Times New Roman"/>
        </w:rPr>
        <w:t>进行综合分析，从而形成对APT当前所处阶段的推理结果，并将其表示为阶段后验分布的形式如式(5.4)。</w:t>
      </w:r>
    </w:p>
    <w:p w14:paraId="0FC65669">
      <w:pPr>
        <w:tabs>
          <w:tab w:val="center" w:pos="4160"/>
          <w:tab w:val="right" w:pos="8300"/>
        </w:tabs>
        <w:spacing w:line="240" w:lineRule="auto"/>
        <w:rPr>
          <w:rFonts w:eastAsia="宋体" w:cs="Times New Roman"/>
        </w:rPr>
      </w:pPr>
      <w:r>
        <w:rPr>
          <w:rFonts w:eastAsia="宋体" w:cs="Times New Roman"/>
        </w:rPr>
        <w:tab/>
      </w:r>
      <w:r>
        <w:rPr>
          <w:rFonts w:eastAsia="宋体" w:cs="Times New Roman"/>
          <w:position w:val="-34"/>
        </w:rPr>
        <w:object>
          <v:shape id="_x0000_i1306" o:spt="75" type="#_x0000_t75" style="height:36pt;width:220.05pt;" o:ole="t" filled="f" o:preferrelative="t" stroked="f" coordsize="21600,21600">
            <v:path/>
            <v:fill on="f" focussize="0,0"/>
            <v:stroke on="f" joinstyle="miter"/>
            <v:imagedata r:id="rId559" o:title=""/>
            <o:lock v:ext="edit" aspectratio="t"/>
            <w10:wrap type="none"/>
            <w10:anchorlock/>
          </v:shape>
          <o:OLEObject Type="Embed" ProgID="Equation.DSMT4" ShapeID="_x0000_i1306" DrawAspect="Content" ObjectID="_1468076006" r:id="rId558">
            <o:LockedField>false</o:LockedField>
          </o:OLEObject>
        </w:object>
      </w:r>
      <w:r>
        <w:rPr>
          <w:rFonts w:eastAsia="宋体" w:cs="Times New Roman"/>
        </w:rPr>
        <w:tab/>
      </w:r>
      <w:r>
        <w:rPr>
          <w:rFonts w:hint="eastAsia" w:eastAsia="宋体" w:cs="Times New Roman"/>
        </w:rPr>
        <w:t>(5.4)</w:t>
      </w:r>
    </w:p>
    <w:p w14:paraId="46EDB005">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307" o:spt="75" type="#_x0000_t75" style="height:18.15pt;width:25.9pt;" o:ole="t" filled="f" o:preferrelative="t" stroked="f" coordsize="21600,21600">
            <v:path/>
            <v:fill on="f" focussize="0,0"/>
            <v:stroke on="f" joinstyle="miter"/>
            <v:imagedata r:id="rId561" o:title=""/>
            <o:lock v:ext="edit" aspectratio="t"/>
            <w10:wrap type="none"/>
            <w10:anchorlock/>
          </v:shape>
          <o:OLEObject Type="Embed" ProgID="Equation.DSMT4" ShapeID="_x0000_i1307" DrawAspect="Content" ObjectID="_1468076007" r:id="rId560">
            <o:LockedField>false</o:LockedField>
          </o:OLEObject>
        </w:object>
      </w:r>
      <w:r>
        <w:rPr>
          <w:rFonts w:hint="eastAsia" w:eastAsia="宋体" w:cs="Times New Roman"/>
        </w:rPr>
        <w:t>表示基于多区域检测证据库</w:t>
      </w:r>
      <w:r>
        <w:rPr>
          <w:rFonts w:hint="eastAsia" w:eastAsia="宋体" w:cs="Times New Roman"/>
          <w:position w:val="-12"/>
        </w:rPr>
        <w:object>
          <v:shape id="_x0000_i1308" o:spt="75" type="#_x0000_t75" style="height:18.15pt;width:18.15pt;" o:ole="t" filled="f" o:preferrelative="t" stroked="f" coordsize="21600,21600">
            <v:path/>
            <v:fill on="f" focussize="0,0"/>
            <v:stroke on="f" joinstyle="miter"/>
            <v:imagedata r:id="rId563" o:title=""/>
            <o:lock v:ext="edit" aspectratio="t"/>
            <w10:wrap type="none"/>
            <w10:anchorlock/>
          </v:shape>
          <o:OLEObject Type="Embed" ProgID="Equation.DSMT4" ShapeID="_x0000_i1308" DrawAspect="Content" ObjectID="_1468076008" r:id="rId562">
            <o:LockedField>false</o:LockedField>
          </o:OLEObject>
        </w:object>
      </w:r>
      <w:r>
        <w:rPr>
          <w:rFonts w:hint="eastAsia" w:eastAsia="宋体" w:cs="Times New Roman"/>
        </w:rPr>
        <w:t>，LLM对APT所处的阶段</w:t>
      </w:r>
      <w:r>
        <w:rPr>
          <w:rFonts w:hint="eastAsia" w:eastAsia="宋体" w:cs="Times New Roman"/>
          <w:position w:val="-6"/>
        </w:rPr>
        <w:object>
          <v:shape id="_x0000_i1309" o:spt="75" type="#_x0000_t75" style="height:10.95pt;width:9.2pt;" o:ole="t" filled="f" o:preferrelative="t" stroked="f" coordsize="21600,21600">
            <v:path/>
            <v:fill on="f" focussize="0,0"/>
            <v:stroke on="f" joinstyle="miter"/>
            <v:imagedata r:id="rId565" o:title=""/>
            <o:lock v:ext="edit" aspectratio="t"/>
            <w10:wrap type="none"/>
            <w10:anchorlock/>
          </v:shape>
          <o:OLEObject Type="Embed" ProgID="Equation.DSMT4" ShapeID="_x0000_i1309" DrawAspect="Content" ObjectID="_1468076009" r:id="rId564">
            <o:LockedField>false</o:LockedField>
          </o:OLEObject>
        </w:object>
      </w:r>
      <w:r>
        <w:rPr>
          <w:rFonts w:hint="eastAsia" w:eastAsia="宋体" w:cs="Times New Roman"/>
        </w:rPr>
        <w:t>输出的未归一化评分；</w:t>
      </w:r>
      <w:r>
        <w:rPr>
          <w:rFonts w:hint="eastAsia" w:eastAsia="宋体" w:cs="Times New Roman"/>
          <w:position w:val="-12"/>
        </w:rPr>
        <w:object>
          <v:shape id="_x0000_i1310" o:spt="75" type="#_x0000_t75" style="height:18.15pt;width:37.15pt;" o:ole="t" filled="f" o:preferrelative="t" stroked="f" coordsize="21600,21600">
            <v:path/>
            <v:fill on="f" focussize="0,0"/>
            <v:stroke on="f" joinstyle="miter"/>
            <v:imagedata r:id="rId567" o:title=""/>
            <o:lock v:ext="edit" aspectratio="t"/>
            <w10:wrap type="none"/>
            <w10:anchorlock/>
          </v:shape>
          <o:OLEObject Type="Embed" ProgID="Equation.DSMT4" ShapeID="_x0000_i1310" DrawAspect="Content" ObjectID="_1468076010" r:id="rId566">
            <o:LockedField>false</o:LockedField>
          </o:OLEObject>
        </w:object>
      </w:r>
      <w:r>
        <w:rPr>
          <w:rFonts w:hint="eastAsia" w:eastAsia="宋体" w:cs="Times New Roman"/>
        </w:rPr>
        <w:t>表示LLM攻击阶段推理映射；</w:t>
      </w:r>
      <w:r>
        <w:rPr>
          <w:rFonts w:hint="eastAsia" w:eastAsia="宋体" w:cs="Times New Roman"/>
          <w:position w:val="-12"/>
        </w:rPr>
        <w:object>
          <v:shape id="_x0000_i1311" o:spt="75" type="#_x0000_t75" style="height:18.15pt;width:28.2pt;" o:ole="t" filled="f" o:preferrelative="t" stroked="f" coordsize="21600,21600">
            <v:path/>
            <v:fill on="f" focussize="0,0"/>
            <v:stroke on="f" joinstyle="miter"/>
            <v:imagedata r:id="rId569" o:title=""/>
            <o:lock v:ext="edit" aspectratio="t"/>
            <w10:wrap type="none"/>
            <w10:anchorlock/>
          </v:shape>
          <o:OLEObject Type="Embed" ProgID="Equation.DSMT4" ShapeID="_x0000_i1311" DrawAspect="Content" ObjectID="_1468076011" r:id="rId568">
            <o:LockedField>false</o:LockedField>
          </o:OLEObject>
        </w:object>
      </w:r>
      <w:r>
        <w:rPr>
          <w:rFonts w:hint="eastAsia" w:eastAsia="宋体" w:cs="Times New Roman"/>
        </w:rPr>
        <w:t>表示时刻</w:t>
      </w:r>
      <w:r>
        <w:rPr>
          <w:rFonts w:hint="eastAsia" w:eastAsia="宋体" w:cs="Times New Roman"/>
          <w:position w:val="-6"/>
        </w:rPr>
        <w:object>
          <v:shape id="_x0000_i1312" o:spt="75" type="#_x0000_t75" style="height:12.4pt;width:6.35pt;" o:ole="t" filled="f" o:preferrelative="t" stroked="f" coordsize="21600,21600">
            <v:path/>
            <v:fill on="f" focussize="0,0"/>
            <v:stroke on="f" joinstyle="miter"/>
            <v:imagedata r:id="rId571" o:title=""/>
            <o:lock v:ext="edit" aspectratio="t"/>
            <w10:wrap type="none"/>
            <w10:anchorlock/>
          </v:shape>
          <o:OLEObject Type="Embed" ProgID="Equation.DSMT4" ShapeID="_x0000_i1312" DrawAspect="Content" ObjectID="_1468076012" r:id="rId570">
            <o:LockedField>false</o:LockedField>
          </o:OLEObject>
        </w:object>
      </w:r>
      <w:r>
        <w:rPr>
          <w:rFonts w:hint="eastAsia" w:eastAsia="宋体" w:cs="Times New Roman"/>
        </w:rPr>
        <w:t>下APT处于阶段</w:t>
      </w:r>
      <w:r>
        <w:rPr>
          <w:rFonts w:hint="eastAsia" w:eastAsia="宋体" w:cs="Times New Roman"/>
          <w:position w:val="-6"/>
        </w:rPr>
        <w:object>
          <v:shape id="_x0000_i1313" o:spt="75" type="#_x0000_t75" style="height:10.95pt;width:9.2pt;" o:ole="t" filled="f" o:preferrelative="t" stroked="f" coordsize="21600,21600">
            <v:path/>
            <v:fill on="f" focussize="0,0"/>
            <v:stroke on="f" joinstyle="miter"/>
            <v:imagedata r:id="rId565" o:title=""/>
            <o:lock v:ext="edit" aspectratio="t"/>
            <w10:wrap type="none"/>
            <w10:anchorlock/>
          </v:shape>
          <o:OLEObject Type="Embed" ProgID="Equation.DSMT4" ShapeID="_x0000_i1313" DrawAspect="Content" ObjectID="_1468076013" r:id="rId572">
            <o:LockedField>false</o:LockedField>
          </o:OLEObject>
        </w:object>
      </w:r>
      <w:r>
        <w:rPr>
          <w:rFonts w:hint="eastAsia" w:eastAsia="宋体" w:cs="Times New Roman"/>
        </w:rPr>
        <w:t>的原始后验概率；</w:t>
      </w:r>
      <w:r>
        <w:rPr>
          <w:rFonts w:hint="eastAsia" w:eastAsia="宋体" w:cs="Times New Roman"/>
          <w:position w:val="-6"/>
        </w:rPr>
        <w:object>
          <v:shape id="_x0000_i1314" o:spt="75" type="#_x0000_t75" style="height:13.8pt;width:10.95pt;" o:ole="t" filled="f" o:preferrelative="t" stroked="f" coordsize="21600,21600">
            <v:path/>
            <v:fill on="f" focussize="0,0"/>
            <v:stroke on="f" joinstyle="miter"/>
            <v:imagedata r:id="rId574" o:title=""/>
            <o:lock v:ext="edit" aspectratio="t"/>
            <w10:wrap type="none"/>
            <w10:anchorlock/>
          </v:shape>
          <o:OLEObject Type="Embed" ProgID="Equation.DSMT4" ShapeID="_x0000_i1314" DrawAspect="Content" ObjectID="_1468076014" r:id="rId573">
            <o:LockedField>false</o:LockedField>
          </o:OLEObject>
        </w:object>
      </w:r>
      <w:r>
        <w:rPr>
          <w:rFonts w:hint="eastAsia" w:eastAsia="宋体" w:cs="Times New Roman"/>
        </w:rPr>
        <w:t>表示APT攻击阶段集合；</w:t>
      </w:r>
      <w:r>
        <w:rPr>
          <w:rFonts w:hint="eastAsia" w:eastAsia="宋体" w:cs="Times New Roman"/>
          <w:position w:val="-6"/>
        </w:rPr>
        <w:object>
          <v:shape id="_x0000_i1315" o:spt="75" type="#_x0000_t75" style="height:13.8pt;width:12.4pt;" o:ole="t" filled="f" o:preferrelative="t" stroked="f" coordsize="21600,21600">
            <v:path/>
            <v:fill on="f" focussize="0,0"/>
            <v:stroke on="f" joinstyle="miter"/>
            <v:imagedata r:id="rId576" o:title=""/>
            <o:lock v:ext="edit" aspectratio="t"/>
            <w10:wrap type="none"/>
            <w10:anchorlock/>
          </v:shape>
          <o:OLEObject Type="Embed" ProgID="Equation.DSMT4" ShapeID="_x0000_i1315" DrawAspect="Content" ObjectID="_1468076015" r:id="rId575">
            <o:LockedField>false</o:LockedField>
          </o:OLEObject>
        </w:object>
      </w:r>
      <w:r>
        <w:rPr>
          <w:rFonts w:hint="eastAsia" w:eastAsia="宋体" w:cs="Times New Roman"/>
        </w:rPr>
        <w:t>表示集合</w:t>
      </w:r>
      <w:r>
        <w:rPr>
          <w:rFonts w:hint="eastAsia" w:eastAsia="宋体" w:cs="Times New Roman"/>
          <w:position w:val="-6"/>
        </w:rPr>
        <w:object>
          <v:shape id="_x0000_i1316" o:spt="75" type="#_x0000_t75" style="height:13.8pt;width:10.95pt;" o:ole="t" filled="f" o:preferrelative="t" stroked="f" coordsize="21600,21600">
            <v:path/>
            <v:fill on="f" focussize="0,0"/>
            <v:stroke on="f" joinstyle="miter"/>
            <v:imagedata r:id="rId574" o:title=""/>
            <o:lock v:ext="edit" aspectratio="t"/>
            <w10:wrap type="none"/>
            <w10:anchorlock/>
          </v:shape>
          <o:OLEObject Type="Embed" ProgID="Equation.DSMT4" ShapeID="_x0000_i1316" DrawAspect="Content" ObjectID="_1468076016" r:id="rId577">
            <o:LockedField>false</o:LockedField>
          </o:OLEObject>
        </w:object>
      </w:r>
      <w:r>
        <w:rPr>
          <w:rFonts w:hint="eastAsia" w:eastAsia="宋体" w:cs="Times New Roman"/>
        </w:rPr>
        <w:t>中的任一候选阶段。</w:t>
      </w:r>
    </w:p>
    <w:p w14:paraId="0952CA25">
      <w:pPr>
        <w:spacing w:line="400" w:lineRule="exact"/>
        <w:ind w:firstLine="480" w:firstLineChars="200"/>
        <w:rPr>
          <w:rFonts w:eastAsia="宋体" w:cs="Times New Roman"/>
        </w:rPr>
      </w:pPr>
      <w:r>
        <w:rPr>
          <w:rFonts w:hint="eastAsia" w:eastAsia="宋体" w:cs="Times New Roman"/>
        </w:rPr>
        <w:t>考虑到APT攻击在实际演化过程中通常不存在绝对清晰的阶段边界，尤其在证据不充分或处于阶段过渡时，若输出唯一阶段判定，则易对后续步骤产生负面作用。因此，本文以阶段后验的概率分布形式</w:t>
      </w:r>
      <w:r>
        <w:rPr>
          <w:rFonts w:hint="eastAsia" w:eastAsia="宋体" w:cs="Times New Roman"/>
          <w:position w:val="-12"/>
        </w:rPr>
        <w:object>
          <v:shape id="_x0000_i1317" o:spt="75" type="#_x0000_t75" style="height:18.15pt;width:28.2pt;" o:ole="t" filled="f" o:preferrelative="t" stroked="f" coordsize="21600,21600">
            <v:path/>
            <v:fill on="f" focussize="0,0"/>
            <v:stroke on="f" joinstyle="miter"/>
            <v:imagedata r:id="rId579" o:title=""/>
            <o:lock v:ext="edit" aspectratio="t"/>
            <w10:wrap type="none"/>
            <w10:anchorlock/>
          </v:shape>
          <o:OLEObject Type="Embed" ProgID="Equation.DSMT4" ShapeID="_x0000_i1317" DrawAspect="Content" ObjectID="_1468076017" r:id="rId578">
            <o:LockedField>false</o:LockedField>
          </o:OLEObject>
        </w:object>
      </w:r>
      <w:r>
        <w:rPr>
          <w:rFonts w:hint="eastAsia" w:eastAsia="宋体" w:cs="Times New Roman"/>
        </w:rPr>
        <w:t>表示LLM对APT攻击阶段的推断，而不是仅输出单一的阶段标签，这能够让后续模型根据APT阶段的可能性制定协作计划，以避免在证据不足或过渡阶段仅输出单一阶段标签对协作计划产生误导。</w:t>
      </w:r>
    </w:p>
    <w:p w14:paraId="74366DC3">
      <w:pPr>
        <w:spacing w:line="400" w:lineRule="exact"/>
        <w:ind w:firstLine="480" w:firstLineChars="200"/>
        <w:rPr>
          <w:rFonts w:eastAsia="宋体" w:cs="Times New Roman"/>
        </w:rPr>
      </w:pPr>
      <w:r>
        <w:rPr>
          <w:rFonts w:eastAsia="宋体" w:cs="Times New Roman"/>
        </w:rPr>
        <w:t>进一步地，考虑到</w:t>
      </w:r>
      <w:r>
        <w:rPr>
          <w:rFonts w:hint="eastAsia" w:eastAsia="宋体" w:cs="Times New Roman"/>
        </w:rPr>
        <w:t>APT攻击存在局部证据稀疏且线索有限的难题</w:t>
      </w:r>
      <w:r>
        <w:rPr>
          <w:rFonts w:eastAsia="宋体" w:cs="Times New Roman"/>
        </w:rPr>
        <w:t>，若直接依据原始阶段后验分布生成协作计划，</w:t>
      </w:r>
      <w:r>
        <w:rPr>
          <w:rFonts w:hint="eastAsia" w:eastAsia="宋体" w:cs="Times New Roman"/>
        </w:rPr>
        <w:t>易因证据不足而产生过度确定的阶段推断，从而影响协作计划的效果与稳定性</w:t>
      </w:r>
      <w:r>
        <w:rPr>
          <w:rFonts w:eastAsia="宋体" w:cs="Times New Roman"/>
        </w:rPr>
        <w:t>。为此，本</w:t>
      </w:r>
      <w:r>
        <w:rPr>
          <w:rFonts w:hint="eastAsia" w:eastAsia="宋体" w:cs="Times New Roman"/>
        </w:rPr>
        <w:t>节</w:t>
      </w:r>
      <w:r>
        <w:rPr>
          <w:rFonts w:eastAsia="宋体" w:cs="Times New Roman"/>
        </w:rPr>
        <w:t>在阶段推理之后引入</w:t>
      </w:r>
      <w:r>
        <w:rPr>
          <w:rFonts w:hint="eastAsia" w:eastAsia="宋体" w:cs="Times New Roman"/>
        </w:rPr>
        <w:t>置信</w:t>
      </w:r>
      <w:r>
        <w:rPr>
          <w:rFonts w:eastAsia="宋体" w:cs="Times New Roman"/>
        </w:rPr>
        <w:t>校准方法，将跨域不确定性与多区域前瞻评估结果的一致性共同映射为温度系数，</w:t>
      </w:r>
      <w:r>
        <w:rPr>
          <w:rFonts w:hint="eastAsia" w:eastAsia="宋体" w:cs="Times New Roman"/>
        </w:rPr>
        <w:t>并</w:t>
      </w:r>
      <w:r>
        <w:rPr>
          <w:rFonts w:eastAsia="宋体" w:cs="Times New Roman"/>
        </w:rPr>
        <w:t>对阶段后验分布进行置信校准，</w:t>
      </w:r>
      <w:r>
        <w:rPr>
          <w:rFonts w:hint="eastAsia" w:eastAsia="宋体" w:cs="Times New Roman"/>
        </w:rPr>
        <w:t>当</w:t>
      </w:r>
      <w:r>
        <w:rPr>
          <w:rFonts w:eastAsia="宋体" w:cs="Times New Roman"/>
        </w:rPr>
        <w:t>证据不足时阶段判断更为保守、</w:t>
      </w:r>
      <w:r>
        <w:rPr>
          <w:rFonts w:hint="eastAsia" w:eastAsia="宋体" w:cs="Times New Roman"/>
        </w:rPr>
        <w:t>当</w:t>
      </w:r>
      <w:r>
        <w:rPr>
          <w:rFonts w:eastAsia="宋体" w:cs="Times New Roman"/>
        </w:rPr>
        <w:t>证据充分且一致时阶段判断更为明确，从而提升</w:t>
      </w:r>
      <w:r>
        <w:rPr>
          <w:rFonts w:hint="eastAsia" w:eastAsia="宋体" w:cs="Times New Roman"/>
        </w:rPr>
        <w:t>了</w:t>
      </w:r>
      <w:r>
        <w:rPr>
          <w:rFonts w:eastAsia="宋体" w:cs="Times New Roman"/>
        </w:rPr>
        <w:t>协作规划的</w:t>
      </w:r>
      <w:r>
        <w:rPr>
          <w:rFonts w:hint="eastAsia" w:eastAsia="宋体" w:cs="Times New Roman"/>
        </w:rPr>
        <w:t>准确性和稳定性。</w:t>
      </w:r>
      <w:r>
        <w:rPr>
          <w:rFonts w:eastAsia="宋体" w:cs="Times New Roman"/>
        </w:rPr>
        <w:t>其中，温度系数的计算方式如式</w:t>
      </w:r>
      <w:r>
        <w:rPr>
          <w:rFonts w:hint="eastAsia" w:eastAsia="宋体" w:cs="Times New Roman"/>
        </w:rPr>
        <w:t>(5.5)。</w:t>
      </w:r>
    </w:p>
    <w:p w14:paraId="76DC8157">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318" o:spt="75" type="#_x0000_t75" style="height:18.15pt;width:112.9pt;" o:ole="t" filled="f" o:preferrelative="t" stroked="f" coordsize="21600,21600">
            <v:path/>
            <v:fill on="f" focussize="0,0"/>
            <v:stroke on="f" joinstyle="miter"/>
            <v:imagedata r:id="rId581" o:title=""/>
            <o:lock v:ext="edit" aspectratio="t"/>
            <w10:wrap type="none"/>
            <w10:anchorlock/>
          </v:shape>
          <o:OLEObject Type="Embed" ProgID="Equation.DSMT4" ShapeID="_x0000_i1318" DrawAspect="Content" ObjectID="_1468076018" r:id="rId580">
            <o:LockedField>false</o:LockedField>
          </o:OLEObject>
        </w:object>
      </w:r>
      <w:r>
        <w:rPr>
          <w:rFonts w:eastAsia="宋体" w:cs="Times New Roman"/>
        </w:rPr>
        <w:tab/>
      </w:r>
      <w:r>
        <w:rPr>
          <w:rFonts w:hint="eastAsia" w:eastAsia="宋体" w:cs="Times New Roman"/>
        </w:rPr>
        <w:t>(5.5)</w:t>
      </w:r>
    </w:p>
    <w:p w14:paraId="045ADE1F">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319" o:spt="75" type="#_x0000_t75" style="height:18.15pt;width:10.95pt;" o:ole="t" filled="f" o:preferrelative="t" stroked="f" coordsize="21600,21600">
            <v:path/>
            <v:fill on="f" focussize="0,0"/>
            <v:stroke on="f" joinstyle="miter"/>
            <v:imagedata r:id="rId583" o:title=""/>
            <o:lock v:ext="edit" aspectratio="t"/>
            <w10:wrap type="none"/>
            <w10:anchorlock/>
          </v:shape>
          <o:OLEObject Type="Embed" ProgID="Equation.DSMT4" ShapeID="_x0000_i1319" DrawAspect="Content" ObjectID="_1468076019" r:id="rId582">
            <o:LockedField>false</o:LockedField>
          </o:OLEObject>
        </w:object>
      </w:r>
      <w:r>
        <w:rPr>
          <w:rFonts w:hint="eastAsia" w:eastAsia="宋体" w:cs="Times New Roman"/>
        </w:rPr>
        <w:t>表示</w:t>
      </w:r>
      <w:r>
        <w:rPr>
          <w:rFonts w:eastAsia="宋体" w:cs="Times New Roman"/>
        </w:rPr>
        <w:t>时刻</w:t>
      </w:r>
      <w:r>
        <w:rPr>
          <w:rFonts w:eastAsia="宋体" w:cs="Times New Roman"/>
          <w:position w:val="-6"/>
        </w:rPr>
        <w:object>
          <v:shape id="_x0000_i1320" o:spt="75" type="#_x0000_t75" style="height:12.4pt;width:6.35pt;" o:ole="t" filled="f" o:preferrelative="t" stroked="f" coordsize="21600,21600">
            <v:path/>
            <v:fill on="f" focussize="0,0"/>
            <v:stroke on="f" joinstyle="miter"/>
            <v:imagedata r:id="rId585" o:title=""/>
            <o:lock v:ext="edit" aspectratio="t"/>
            <w10:wrap type="none"/>
            <w10:anchorlock/>
          </v:shape>
          <o:OLEObject Type="Embed" ProgID="Equation.DSMT4" ShapeID="_x0000_i1320" DrawAspect="Content" ObjectID="_1468076020" r:id="rId584">
            <o:LockedField>false</o:LockedField>
          </o:OLEObject>
        </w:object>
      </w:r>
      <w:r>
        <w:rPr>
          <w:rFonts w:eastAsia="宋体" w:cs="Times New Roman"/>
        </w:rPr>
        <w:t>的温度系数；</w:t>
      </w:r>
      <w:r>
        <w:rPr>
          <w:rFonts w:hint="eastAsia" w:eastAsia="宋体" w:cs="Times New Roman"/>
          <w:position w:val="-12"/>
        </w:rPr>
        <w:object>
          <v:shape id="_x0000_i1321" o:spt="75" type="#_x0000_t75" style="height:18.15pt;width:13.25pt;" o:ole="t" filled="f" o:preferrelative="t" stroked="f" coordsize="21600,21600">
            <v:path/>
            <v:fill on="f" focussize="0,0"/>
            <v:stroke on="f" joinstyle="miter"/>
            <v:imagedata r:id="rId587" o:title=""/>
            <o:lock v:ext="edit" aspectratio="t"/>
            <w10:wrap type="none"/>
            <w10:anchorlock/>
          </v:shape>
          <o:OLEObject Type="Embed" ProgID="Equation.DSMT4" ShapeID="_x0000_i1321" DrawAspect="Content" ObjectID="_1468076021" r:id="rId586">
            <o:LockedField>false</o:LockedField>
          </o:OLEObject>
        </w:object>
      </w:r>
      <w:r>
        <w:rPr>
          <w:rFonts w:eastAsia="宋体" w:cs="Times New Roman"/>
        </w:rPr>
        <w:t>表示基础温度；</w:t>
      </w:r>
      <w:r>
        <w:rPr>
          <w:rFonts w:hint="eastAsia" w:eastAsia="宋体" w:cs="Times New Roman"/>
          <w:position w:val="-12"/>
        </w:rPr>
        <w:object>
          <v:shape id="_x0000_i1322" o:spt="75" type="#_x0000_t75" style="height:18.15pt;width:12.4pt;" o:ole="t" filled="f" o:preferrelative="t" stroked="f" coordsize="21600,21600">
            <v:path/>
            <v:fill on="f" focussize="0,0"/>
            <v:stroke on="f" joinstyle="miter"/>
            <v:imagedata r:id="rId589" o:title=""/>
            <o:lock v:ext="edit" aspectratio="t"/>
            <w10:wrap type="none"/>
            <w10:anchorlock/>
          </v:shape>
          <o:OLEObject Type="Embed" ProgID="Equation.DSMT4" ShapeID="_x0000_i1322" DrawAspect="Content" ObjectID="_1468076022" r:id="rId588">
            <o:LockedField>false</o:LockedField>
          </o:OLEObject>
        </w:object>
      </w:r>
      <w:r>
        <w:rPr>
          <w:rFonts w:eastAsia="宋体" w:cs="Times New Roman"/>
        </w:rPr>
        <w:t>表示当前时刻高不确定性区域所占比例；</w:t>
      </w:r>
      <w:r>
        <w:rPr>
          <w:rFonts w:hint="eastAsia" w:eastAsia="宋体" w:cs="Times New Roman"/>
          <w:position w:val="-12"/>
        </w:rPr>
        <w:object>
          <v:shape id="_x0000_i1323" o:spt="75" type="#_x0000_t75" style="height:18.15pt;width:10.95pt;" o:ole="t" filled="f" o:preferrelative="t" stroked="f" coordsize="21600,21600">
            <v:path/>
            <v:fill on="f" focussize="0,0"/>
            <v:stroke on="f" joinstyle="miter"/>
            <v:imagedata r:id="rId591" o:title=""/>
            <o:lock v:ext="edit" aspectratio="t"/>
            <w10:wrap type="none"/>
            <w10:anchorlock/>
          </v:shape>
          <o:OLEObject Type="Embed" ProgID="Equation.DSMT4" ShapeID="_x0000_i1323" DrawAspect="Content" ObjectID="_1468076023" r:id="rId590">
            <o:LockedField>false</o:LockedField>
          </o:OLEObject>
        </w:object>
      </w:r>
      <w:r>
        <w:rPr>
          <w:rFonts w:eastAsia="宋体" w:cs="Times New Roman"/>
        </w:rPr>
        <w:t>表示多区域前瞻评估结果的一致性水平；</w:t>
      </w:r>
      <w:r>
        <w:rPr>
          <w:rFonts w:hint="eastAsia" w:eastAsia="宋体" w:cs="Times New Roman"/>
          <w:position w:val="-6"/>
        </w:rPr>
        <w:object>
          <v:shape id="_x0000_i1324" o:spt="75" type="#_x0000_t75" style="height:10.95pt;width:12.4pt;" o:ole="t" filled="f" o:preferrelative="t" stroked="f" coordsize="21600,21600">
            <v:path/>
            <v:fill on="f" focussize="0,0"/>
            <v:stroke on="f" joinstyle="miter"/>
            <v:imagedata r:id="rId593" o:title=""/>
            <o:lock v:ext="edit" aspectratio="t"/>
            <w10:wrap type="none"/>
            <w10:anchorlock/>
          </v:shape>
          <o:OLEObject Type="Embed" ProgID="Equation.DSMT4" ShapeID="_x0000_i1324" DrawAspect="Content" ObjectID="_1468076024" r:id="rId592">
            <o:LockedField>false</o:LockedField>
          </o:OLEObject>
        </w:object>
      </w:r>
      <w:r>
        <w:rPr>
          <w:rFonts w:eastAsia="宋体" w:cs="Times New Roman"/>
        </w:rPr>
        <w:t>与</w:t>
      </w:r>
      <w:r>
        <w:rPr>
          <w:rFonts w:hint="eastAsia" w:eastAsia="宋体" w:cs="Times New Roman"/>
          <w:position w:val="-10"/>
        </w:rPr>
        <w:object>
          <v:shape id="_x0000_i1325" o:spt="75" type="#_x0000_t75" style="height:16.4pt;width:12.4pt;" o:ole="t" filled="f" o:preferrelative="t" stroked="f" coordsize="21600,21600">
            <v:path/>
            <v:fill on="f" focussize="0,0"/>
            <v:stroke on="f" joinstyle="miter"/>
            <v:imagedata r:id="rId595" o:title=""/>
            <o:lock v:ext="edit" aspectratio="t"/>
            <w10:wrap type="none"/>
            <w10:anchorlock/>
          </v:shape>
          <o:OLEObject Type="Embed" ProgID="Equation.DSMT4" ShapeID="_x0000_i1325" DrawAspect="Content" ObjectID="_1468076025" r:id="rId594">
            <o:LockedField>false</o:LockedField>
          </o:OLEObject>
        </w:object>
      </w:r>
      <w:r>
        <w:rPr>
          <w:rFonts w:eastAsia="宋体" w:cs="Times New Roman"/>
        </w:rPr>
        <w:t>为调节系数，分别用于控制跨域不确定性和整体一致性对温度系数的影响程度。</w:t>
      </w:r>
    </w:p>
    <w:p w14:paraId="2D07F3F3">
      <w:pPr>
        <w:spacing w:line="400" w:lineRule="exact"/>
        <w:ind w:firstLine="480" w:firstLineChars="200"/>
        <w:rPr>
          <w:rFonts w:eastAsia="宋体" w:cs="Times New Roman"/>
        </w:rPr>
      </w:pPr>
      <w:r>
        <w:rPr>
          <w:rFonts w:eastAsia="宋体" w:cs="Times New Roman"/>
        </w:rPr>
        <w:t>在此基础上，本节使用温度系数对原始阶段后验分布进行修正，得出校准后的阶段后验分布如式</w:t>
      </w:r>
      <w:r>
        <w:rPr>
          <w:rFonts w:hint="eastAsia" w:eastAsia="宋体" w:cs="Times New Roman"/>
        </w:rPr>
        <w:t>(5.6)。</w:t>
      </w:r>
    </w:p>
    <w:p w14:paraId="48C5C205">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34"/>
        </w:rPr>
        <w:object>
          <v:shape id="_x0000_i1326" o:spt="75" type="#_x0000_t75" style="height:36pt;width:157.8pt;" o:ole="t" filled="f" o:preferrelative="t" stroked="f" coordsize="21600,21600">
            <v:path/>
            <v:fill on="f" focussize="0,0"/>
            <v:stroke on="f" joinstyle="miter"/>
            <v:imagedata r:id="rId597" o:title=""/>
            <o:lock v:ext="edit" aspectratio="t"/>
            <w10:wrap type="none"/>
            <w10:anchorlock/>
          </v:shape>
          <o:OLEObject Type="Embed" ProgID="Equation.DSMT4" ShapeID="_x0000_i1326" DrawAspect="Content" ObjectID="_1468076026" r:id="rId596">
            <o:LockedField>false</o:LockedField>
          </o:OLEObject>
        </w:object>
      </w:r>
      <w:r>
        <w:rPr>
          <w:rFonts w:eastAsia="宋体" w:cs="Times New Roman"/>
        </w:rPr>
        <w:tab/>
      </w:r>
      <w:r>
        <w:rPr>
          <w:rFonts w:hint="eastAsia" w:eastAsia="宋体" w:cs="Times New Roman"/>
        </w:rPr>
        <w:t>(5.6)</w:t>
      </w:r>
    </w:p>
    <w:p w14:paraId="4FD16D72">
      <w:pPr>
        <w:spacing w:line="400" w:lineRule="exact"/>
        <w:rPr>
          <w:rFonts w:eastAsia="宋体" w:cs="Times New Roman"/>
        </w:rPr>
      </w:pPr>
      <w:r>
        <w:rPr>
          <w:rFonts w:hint="eastAsia" w:eastAsia="宋体" w:cs="Times New Roman"/>
        </w:rPr>
        <w:t>式中，</w:t>
      </w:r>
      <w:r>
        <w:rPr>
          <w:rFonts w:eastAsia="宋体" w:cs="Times New Roman"/>
          <w:position w:val="-12"/>
        </w:rPr>
        <w:object>
          <v:shape id="_x0000_i1327" o:spt="75" type="#_x0000_t75" style="height:18.15pt;width:28.2pt;" o:ole="t" filled="f" o:preferrelative="t" stroked="f" coordsize="21600,21600">
            <v:path/>
            <v:fill on="f" focussize="0,0"/>
            <v:stroke on="f" joinstyle="miter"/>
            <v:imagedata r:id="rId599" o:title=""/>
            <o:lock v:ext="edit" aspectratio="t"/>
            <w10:wrap type="none"/>
            <w10:anchorlock/>
          </v:shape>
          <o:OLEObject Type="Embed" ProgID="Equation.DSMT4" ShapeID="_x0000_i1327" DrawAspect="Content" ObjectID="_1468076027" r:id="rId598">
            <o:LockedField>false</o:LockedField>
          </o:OLEObject>
        </w:object>
      </w:r>
      <w:r>
        <w:rPr>
          <w:rFonts w:hint="eastAsia" w:eastAsia="宋体" w:cs="Times New Roman"/>
        </w:rPr>
        <w:t>表示温度校准后的阶段后验分布；</w:t>
      </w:r>
      <w:r>
        <w:rPr>
          <w:rFonts w:eastAsia="宋体" w:cs="Times New Roman"/>
          <w:position w:val="-12"/>
        </w:rPr>
        <w:object>
          <v:shape id="_x0000_i1328" o:spt="75" type="#_x0000_t75" style="height:18.15pt;width:28.2pt;" o:ole="t" filled="f" o:preferrelative="t" stroked="f" coordsize="21600,21600">
            <v:path/>
            <v:fill on="f" focussize="0,0"/>
            <v:stroke on="f" joinstyle="miter"/>
            <v:imagedata r:id="rId601" o:title=""/>
            <o:lock v:ext="edit" aspectratio="t"/>
            <w10:wrap type="none"/>
            <w10:anchorlock/>
          </v:shape>
          <o:OLEObject Type="Embed" ProgID="Equation.DSMT4" ShapeID="_x0000_i1328" DrawAspect="Content" ObjectID="_1468076028" r:id="rId600">
            <o:LockedField>false</o:LockedField>
          </o:OLEObject>
        </w:object>
      </w:r>
      <w:r>
        <w:rPr>
          <w:rFonts w:hint="eastAsia" w:eastAsia="宋体" w:cs="Times New Roman"/>
        </w:rPr>
        <w:t>表示校准前的原始阶段后验分布；</w:t>
      </w:r>
      <w:r>
        <w:rPr>
          <w:rFonts w:eastAsia="宋体" w:cs="Times New Roman"/>
          <w:position w:val="-12"/>
        </w:rPr>
        <w:object>
          <v:shape id="_x0000_i1329" o:spt="75" type="#_x0000_t75" style="height:18.15pt;width:10.95pt;" o:ole="t" filled="f" o:preferrelative="t" stroked="f" coordsize="21600,21600">
            <v:path/>
            <v:fill on="f" focussize="0,0"/>
            <v:stroke on="f" joinstyle="miter"/>
            <v:imagedata r:id="rId603" o:title=""/>
            <o:lock v:ext="edit" aspectratio="t"/>
            <w10:wrap type="none"/>
            <w10:anchorlock/>
          </v:shape>
          <o:OLEObject Type="Embed" ProgID="Equation.DSMT4" ShapeID="_x0000_i1329" DrawAspect="Content" ObjectID="_1468076029" r:id="rId602">
            <o:LockedField>false</o:LockedField>
          </o:OLEObject>
        </w:object>
      </w:r>
      <w:r>
        <w:rPr>
          <w:rFonts w:hint="eastAsia" w:eastAsia="宋体" w:cs="Times New Roman"/>
        </w:rPr>
        <w:t>表示时刻</w:t>
      </w:r>
      <w:r>
        <w:rPr>
          <w:rFonts w:eastAsia="宋体" w:cs="Times New Roman"/>
          <w:position w:val="-6"/>
        </w:rPr>
        <w:object>
          <v:shape id="_x0000_i1330" o:spt="75" type="#_x0000_t75" style="height:11.5pt;width:6.35pt;" o:ole="t" filled="f" o:preferrelative="t" stroked="f" coordsize="21600,21600">
            <v:path/>
            <v:fill on="f" focussize="0,0"/>
            <v:stroke on="f" joinstyle="miter"/>
            <v:imagedata r:id="rId605" o:title=""/>
            <o:lock v:ext="edit" aspectratio="t"/>
            <w10:wrap type="none"/>
            <w10:anchorlock/>
          </v:shape>
          <o:OLEObject Type="Embed" ProgID="Equation.DSMT4" ShapeID="_x0000_i1330" DrawAspect="Content" ObjectID="_1468076030" r:id="rId604">
            <o:LockedField>false</o:LockedField>
          </o:OLEObject>
        </w:object>
      </w:r>
      <w:r>
        <w:rPr>
          <w:rFonts w:hint="eastAsia" w:eastAsia="宋体" w:cs="Times New Roman"/>
        </w:rPr>
        <w:t>的温度系数；</w:t>
      </w:r>
      <w:r>
        <w:rPr>
          <w:rFonts w:eastAsia="宋体" w:cs="Times New Roman"/>
          <w:position w:val="-6"/>
        </w:rPr>
        <w:object>
          <v:shape id="_x0000_i1331" o:spt="75" type="#_x0000_t75" style="height:13.8pt;width:12.4pt;" o:ole="t" filled="f" o:preferrelative="t" stroked="f" coordsize="21600,21600">
            <v:path/>
            <v:fill on="f" focussize="0,0"/>
            <v:stroke on="f" joinstyle="miter"/>
            <v:imagedata r:id="rId576" o:title=""/>
            <o:lock v:ext="edit" aspectratio="t"/>
            <w10:wrap type="none"/>
            <w10:anchorlock/>
          </v:shape>
          <o:OLEObject Type="Embed" ProgID="Equation.DSMT4" ShapeID="_x0000_i1331" DrawAspect="Content" ObjectID="_1468076031" r:id="rId606">
            <o:LockedField>false</o:LockedField>
          </o:OLEObject>
        </w:object>
      </w:r>
      <w:r>
        <w:rPr>
          <w:rFonts w:hint="eastAsia" w:eastAsia="宋体" w:cs="Times New Roman"/>
        </w:rPr>
        <w:t>表示集合</w:t>
      </w:r>
      <w:r>
        <w:rPr>
          <w:rFonts w:eastAsia="宋体" w:cs="Times New Roman"/>
          <w:position w:val="-6"/>
        </w:rPr>
        <w:object>
          <v:shape id="_x0000_i1332" o:spt="75" type="#_x0000_t75" style="height:13.8pt;width:10.95pt;" o:ole="t" filled="f" o:preferrelative="t" stroked="f" coordsize="21600,21600">
            <v:path/>
            <v:fill on="f" focussize="0,0"/>
            <v:stroke on="f" joinstyle="miter"/>
            <v:imagedata r:id="rId574" o:title=""/>
            <o:lock v:ext="edit" aspectratio="t"/>
            <w10:wrap type="none"/>
            <w10:anchorlock/>
          </v:shape>
          <o:OLEObject Type="Embed" ProgID="Equation.DSMT4" ShapeID="_x0000_i1332" DrawAspect="Content" ObjectID="_1468076032" r:id="rId607">
            <o:LockedField>false</o:LockedField>
          </o:OLEObject>
        </w:object>
      </w:r>
      <w:r>
        <w:rPr>
          <w:rFonts w:hint="eastAsia" w:eastAsia="宋体" w:cs="Times New Roman"/>
        </w:rPr>
        <w:t>中的任一候选阶段。</w:t>
      </w:r>
    </w:p>
    <w:p w14:paraId="1EC56A5E">
      <w:pPr>
        <w:pStyle w:val="4"/>
      </w:pPr>
      <w:bookmarkStart w:id="99" w:name="_Toc224238219"/>
      <w:bookmarkStart w:id="100" w:name="_Toc230086392"/>
      <w:r>
        <w:rPr>
          <w:rFonts w:hint="eastAsia"/>
        </w:rPr>
        <w:t>5.2.3 协作计划生成</w:t>
      </w:r>
      <w:bookmarkEnd w:id="99"/>
      <w:bookmarkStart w:id="101" w:name="_Toc224238220"/>
      <w:r>
        <w:rPr>
          <w:rFonts w:hint="eastAsia"/>
        </w:rPr>
        <w:t>与规则校验</w:t>
      </w:r>
      <w:bookmarkEnd w:id="100"/>
      <w:bookmarkEnd w:id="101"/>
    </w:p>
    <w:p w14:paraId="75C2BEAD">
      <w:pPr>
        <w:spacing w:line="400" w:lineRule="exact"/>
        <w:ind w:firstLine="480" w:firstLineChars="200"/>
        <w:rPr>
          <w:rFonts w:eastAsia="宋体" w:cs="Times New Roman"/>
        </w:rPr>
      </w:pPr>
      <w:r>
        <w:rPr>
          <w:rFonts w:hint="eastAsia" w:eastAsia="宋体" w:cs="Times New Roman"/>
        </w:rPr>
        <w:t>在校准后的阶段后验分布基础上，本节进一步生成结构化协作计划，并结合在线规则对其进行校验与修正，为后续多智能体协作决策提供先验计划约束。</w:t>
      </w:r>
    </w:p>
    <w:p w14:paraId="4B19DCF2">
      <w:pPr>
        <w:spacing w:line="400" w:lineRule="exact"/>
        <w:ind w:firstLine="482" w:firstLineChars="200"/>
        <w:rPr>
          <w:rFonts w:eastAsia="宋体" w:cs="Times New Roman"/>
          <w:b/>
          <w:bCs/>
        </w:rPr>
      </w:pPr>
      <w:r>
        <w:rPr>
          <w:rFonts w:hint="eastAsia" w:eastAsia="宋体" w:cs="Times New Roman"/>
          <w:b/>
          <w:bCs/>
        </w:rPr>
        <w:t>（1）协作计划生成</w:t>
      </w:r>
    </w:p>
    <w:p w14:paraId="7A6DD1C0">
      <w:pPr>
        <w:spacing w:line="400" w:lineRule="exact"/>
        <w:ind w:firstLine="480" w:firstLineChars="200"/>
        <w:rPr>
          <w:rFonts w:eastAsia="宋体" w:cs="Times New Roman"/>
        </w:rPr>
      </w:pPr>
      <w:r>
        <w:rPr>
          <w:rFonts w:hint="eastAsia" w:eastAsia="宋体" w:cs="Times New Roman"/>
        </w:rPr>
        <w:t>在得到APT所处阶段的推断后，本节需基于对该阶段的分析、多区域检测证据库与校准后的阶段分布，生成协作目标、动作约束及证据路由等协作检测中的重要内容</w:t>
      </w:r>
      <w:r>
        <w:rPr>
          <w:rFonts w:eastAsia="宋体" w:cs="Times New Roman"/>
        </w:rPr>
        <w:t>，</w:t>
      </w:r>
      <w:r>
        <w:rPr>
          <w:rFonts w:hint="eastAsia" w:eastAsia="宋体" w:cs="Times New Roman"/>
        </w:rPr>
        <w:t>并将其结构化统一表示。协作计划生成过程及结构化表示如式(5.7)。</w:t>
      </w:r>
    </w:p>
    <w:p w14:paraId="6214B559">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333" o:spt="75" type="#_x0000_t75" style="height:19pt;width:177.1pt;" o:ole="t" filled="f" o:preferrelative="t" stroked="f" coordsize="21600,21600">
            <v:path/>
            <v:fill on="f" focussize="0,0"/>
            <v:stroke on="f" joinstyle="miter"/>
            <v:imagedata r:id="rId609" o:title=""/>
            <o:lock v:ext="edit" aspectratio="t"/>
            <w10:wrap type="none"/>
            <w10:anchorlock/>
          </v:shape>
          <o:OLEObject Type="Embed" ProgID="Equation.DSMT4" ShapeID="_x0000_i1333" DrawAspect="Content" ObjectID="_1468076033" r:id="rId608">
            <o:LockedField>false</o:LockedField>
          </o:OLEObject>
        </w:object>
      </w:r>
      <w:r>
        <w:rPr>
          <w:rFonts w:eastAsia="宋体" w:cs="Times New Roman"/>
        </w:rPr>
        <w:tab/>
      </w:r>
      <w:r>
        <w:rPr>
          <w:rFonts w:hint="eastAsia" w:eastAsia="宋体" w:cs="Times New Roman"/>
        </w:rPr>
        <w:t>(5.7)</w:t>
      </w:r>
    </w:p>
    <w:p w14:paraId="4F7E0840">
      <w:pPr>
        <w:spacing w:line="400" w:lineRule="exact"/>
        <w:rPr>
          <w:rFonts w:eastAsia="宋体" w:cs="Times New Roman"/>
        </w:rPr>
      </w:pPr>
      <w:r>
        <w:rPr>
          <w:rFonts w:hint="eastAsia" w:eastAsia="宋体" w:cs="Times New Roman"/>
        </w:rPr>
        <w:t>式中，</w:t>
      </w:r>
      <w:r>
        <w:rPr>
          <w:rFonts w:eastAsia="宋体" w:cs="Times New Roman"/>
          <w:position w:val="-12"/>
        </w:rPr>
        <w:object>
          <v:shape id="_x0000_i1334" o:spt="75" type="#_x0000_t75" style="height:19pt;width:23.6pt;" o:ole="t" filled="f" o:preferrelative="t" stroked="f" coordsize="21600,21600">
            <v:path/>
            <v:fill on="f" focussize="0,0"/>
            <v:stroke on="f" joinstyle="miter"/>
            <v:imagedata r:id="rId611" o:title=""/>
            <o:lock v:ext="edit" aspectratio="t"/>
            <w10:wrap type="none"/>
            <w10:anchorlock/>
          </v:shape>
          <o:OLEObject Type="Embed" ProgID="Equation.DSMT4" ShapeID="_x0000_i1334" DrawAspect="Content" ObjectID="_1468076034" r:id="rId610">
            <o:LockedField>false</o:LockedField>
          </o:OLEObject>
        </w:object>
      </w:r>
      <w:r>
        <w:rPr>
          <w:rFonts w:hint="eastAsia" w:eastAsia="宋体" w:cs="Times New Roman"/>
        </w:rPr>
        <w:t>表示时刻</w:t>
      </w:r>
      <w:r>
        <w:rPr>
          <w:rFonts w:hint="eastAsia" w:eastAsia="宋体" w:cs="Times New Roman"/>
          <w:position w:val="-6"/>
        </w:rPr>
        <w:object>
          <v:shape id="_x0000_i1335" o:spt="75" type="#_x0000_t75" style="height:12.4pt;width:7.2pt;" o:ole="t" filled="f" o:preferrelative="t" stroked="f" coordsize="21600,21600">
            <v:path/>
            <v:fill on="f" focussize="0,0"/>
            <v:stroke on="f" joinstyle="miter"/>
            <v:imagedata r:id="rId613" o:title=""/>
            <o:lock v:ext="edit" aspectratio="t"/>
            <w10:wrap type="none"/>
            <w10:anchorlock/>
          </v:shape>
          <o:OLEObject Type="Embed" ProgID="Equation.DSMT4" ShapeID="_x0000_i1335" DrawAspect="Content" ObjectID="_1468076035" r:id="rId612">
            <o:LockedField>false</o:LockedField>
          </o:OLEObject>
        </w:object>
      </w:r>
      <w:r>
        <w:rPr>
          <w:rFonts w:hint="eastAsia" w:eastAsia="宋体" w:cs="Times New Roman"/>
        </w:rPr>
        <w:t>由LLM生成的初始协作计划；</w:t>
      </w:r>
      <w:r>
        <w:rPr>
          <w:rFonts w:eastAsia="宋体" w:cs="Times New Roman"/>
          <w:position w:val="-12"/>
        </w:rPr>
        <w:object>
          <v:shape id="_x0000_i1336" o:spt="75" type="#_x0000_t75" style="height:18.15pt;width:13.8pt;" o:ole="t" filled="f" o:preferrelative="t" stroked="f" coordsize="21600,21600">
            <v:path/>
            <v:fill on="f" focussize="0,0"/>
            <v:stroke on="f" joinstyle="miter"/>
            <v:imagedata r:id="rId615" o:title=""/>
            <o:lock v:ext="edit" aspectratio="t"/>
            <w10:wrap type="none"/>
            <w10:anchorlock/>
          </v:shape>
          <o:OLEObject Type="Embed" ProgID="Equation.DSMT4" ShapeID="_x0000_i1336" DrawAspect="Content" ObjectID="_1468076036" r:id="rId614">
            <o:LockedField>false</o:LockedField>
          </o:OLEObject>
        </w:object>
      </w:r>
      <w:r>
        <w:rPr>
          <w:rFonts w:hint="eastAsia" w:eastAsia="宋体" w:cs="Times New Roman"/>
        </w:rPr>
        <w:t>表示协作目标及其优先级；</w:t>
      </w:r>
      <w:r>
        <w:rPr>
          <w:rFonts w:eastAsia="宋体" w:cs="Times New Roman"/>
          <w:position w:val="-12"/>
        </w:rPr>
        <w:object>
          <v:shape id="_x0000_i1337" o:spt="75" type="#_x0000_t75" style="height:18.15pt;width:15pt;" o:ole="t" filled="f" o:preferrelative="t" stroked="f" coordsize="21600,21600">
            <v:path/>
            <v:fill on="f" focussize="0,0"/>
            <v:stroke on="f" joinstyle="miter"/>
            <v:imagedata r:id="rId617" o:title=""/>
            <o:lock v:ext="edit" aspectratio="t"/>
            <w10:wrap type="none"/>
            <w10:anchorlock/>
          </v:shape>
          <o:OLEObject Type="Embed" ProgID="Equation.DSMT4" ShapeID="_x0000_i1337" DrawAspect="Content" ObjectID="_1468076037" r:id="rId616">
            <o:LockedField>false</o:LockedField>
          </o:OLEObject>
        </w:object>
      </w:r>
      <w:r>
        <w:rPr>
          <w:rFonts w:hint="eastAsia" w:eastAsia="宋体" w:cs="Times New Roman"/>
        </w:rPr>
        <w:t>表示协作指向；</w:t>
      </w:r>
      <w:r>
        <w:rPr>
          <w:rFonts w:eastAsia="宋体" w:cs="Times New Roman"/>
          <w:position w:val="-12"/>
        </w:rPr>
        <w:object>
          <v:shape id="_x0000_i1338" o:spt="75" type="#_x0000_t75" style="height:18.15pt;width:13.25pt;" o:ole="t" filled="f" o:preferrelative="t" stroked="f" coordsize="21600,21600">
            <v:path/>
            <v:fill on="f" focussize="0,0"/>
            <v:stroke on="f" joinstyle="miter"/>
            <v:imagedata r:id="rId619" o:title=""/>
            <o:lock v:ext="edit" aspectratio="t"/>
            <w10:wrap type="none"/>
            <w10:anchorlock/>
          </v:shape>
          <o:OLEObject Type="Embed" ProgID="Equation.DSMT4" ShapeID="_x0000_i1338" DrawAspect="Content" ObjectID="_1468076038" r:id="rId618">
            <o:LockedField>false</o:LockedField>
          </o:OLEObject>
        </w:object>
      </w:r>
      <w:r>
        <w:rPr>
          <w:rFonts w:eastAsia="宋体" w:cs="Times New Roman"/>
        </w:rPr>
        <w:t>表示动作约束与预算</w:t>
      </w:r>
      <w:r>
        <w:rPr>
          <w:rFonts w:hint="eastAsia" w:eastAsia="宋体" w:cs="Times New Roman"/>
        </w:rPr>
        <w:t>，包含协作</w:t>
      </w:r>
      <w:r>
        <w:rPr>
          <w:rFonts w:eastAsia="宋体" w:cs="Times New Roman"/>
        </w:rPr>
        <w:t>动作集合、预算上限</w:t>
      </w:r>
      <w:r>
        <w:rPr>
          <w:rFonts w:hint="eastAsia" w:eastAsia="宋体" w:cs="Times New Roman"/>
        </w:rPr>
        <w:t>等前置条件；</w:t>
      </w:r>
      <w:r>
        <w:rPr>
          <w:rFonts w:eastAsia="宋体" w:cs="Times New Roman"/>
          <w:position w:val="-12"/>
        </w:rPr>
        <w:object>
          <v:shape id="_x0000_i1339" o:spt="75" type="#_x0000_t75" style="height:18.15pt;width:15pt;" o:ole="t" filled="f" o:preferrelative="t" stroked="f" coordsize="21600,21600">
            <v:path/>
            <v:fill on="f" focussize="0,0"/>
            <v:stroke on="f" joinstyle="miter"/>
            <v:imagedata r:id="rId621" o:title=""/>
            <o:lock v:ext="edit" aspectratio="t"/>
            <w10:wrap type="none"/>
            <w10:anchorlock/>
          </v:shape>
          <o:OLEObject Type="Embed" ProgID="Equation.DSMT4" ShapeID="_x0000_i1339" DrawAspect="Content" ObjectID="_1468076039" r:id="rId620">
            <o:LockedField>false</o:LockedField>
          </o:OLEObject>
        </w:object>
      </w:r>
      <w:r>
        <w:rPr>
          <w:rFonts w:eastAsia="宋体" w:cs="Times New Roman"/>
        </w:rPr>
        <w:t>表示证据路由策略</w:t>
      </w:r>
      <w:r>
        <w:rPr>
          <w:rFonts w:hint="eastAsia" w:eastAsia="宋体" w:cs="Times New Roman"/>
        </w:rPr>
        <w:t>；</w:t>
      </w:r>
      <w:r>
        <w:rPr>
          <w:rFonts w:hint="eastAsia" w:eastAsia="宋体" w:cs="Times New Roman"/>
          <w:position w:val="-12"/>
        </w:rPr>
        <w:object>
          <v:shape id="_x0000_i1340" o:spt="75" type="#_x0000_t75" style="height:18.15pt;width:37.15pt;" o:ole="t" filled="f" o:preferrelative="t" stroked="f" coordsize="21600,21600">
            <v:path/>
            <v:fill on="f" focussize="0,0"/>
            <v:stroke on="f" joinstyle="miter"/>
            <v:imagedata r:id="rId623" o:title=""/>
            <o:lock v:ext="edit" aspectratio="t"/>
            <w10:wrap type="none"/>
            <w10:anchorlock/>
          </v:shape>
          <o:OLEObject Type="Embed" ProgID="Equation.DSMT4" ShapeID="_x0000_i1340" DrawAspect="Content" ObjectID="_1468076040" r:id="rId622">
            <o:LockedField>false</o:LockedField>
          </o:OLEObject>
        </w:object>
      </w:r>
      <w:r>
        <w:rPr>
          <w:rFonts w:hint="eastAsia" w:eastAsia="宋体" w:cs="Times New Roman"/>
        </w:rPr>
        <w:t>表示</w:t>
      </w:r>
      <w:r>
        <w:rPr>
          <w:rFonts w:eastAsia="宋体" w:cs="Times New Roman"/>
        </w:rPr>
        <w:t>大模型</w:t>
      </w:r>
      <w:r>
        <w:rPr>
          <w:rFonts w:hint="eastAsia" w:eastAsia="宋体" w:cs="Times New Roman"/>
        </w:rPr>
        <w:t>基于多区域检测证据库</w:t>
      </w:r>
      <w:r>
        <w:rPr>
          <w:rFonts w:hint="eastAsia" w:eastAsia="宋体" w:cs="Times New Roman"/>
          <w:position w:val="-12"/>
        </w:rPr>
        <w:object>
          <v:shape id="_x0000_i1341" o:spt="75" type="#_x0000_t75" style="height:18.15pt;width:18.15pt;" o:ole="t" filled="f" o:preferrelative="t" stroked="f" coordsize="21600,21600">
            <v:path/>
            <v:fill on="f" focussize="0,0"/>
            <v:stroke on="f" joinstyle="miter"/>
            <v:imagedata r:id="rId625" o:title=""/>
            <o:lock v:ext="edit" aspectratio="t"/>
            <w10:wrap type="none"/>
            <w10:anchorlock/>
          </v:shape>
          <o:OLEObject Type="Embed" ProgID="Equation.DSMT4" ShapeID="_x0000_i1341" DrawAspect="Content" ObjectID="_1468076041" r:id="rId624">
            <o:LockedField>false</o:LockedField>
          </o:OLEObject>
        </w:object>
      </w:r>
      <w:r>
        <w:rPr>
          <w:rFonts w:hint="eastAsia" w:eastAsia="宋体" w:cs="Times New Roman"/>
        </w:rPr>
        <w:t>与校准后的阶段后验分布</w:t>
      </w:r>
      <w:r>
        <w:rPr>
          <w:rFonts w:hint="eastAsia" w:eastAsia="宋体" w:cs="Times New Roman"/>
          <w:position w:val="-12"/>
        </w:rPr>
        <w:object>
          <v:shape id="_x0000_i1342" o:spt="75" type="#_x0000_t75" style="height:18.15pt;width:13.8pt;" o:ole="t" filled="f" o:preferrelative="t" stroked="f" coordsize="21600,21600">
            <v:path/>
            <v:fill on="f" focussize="0,0"/>
            <v:stroke on="f" joinstyle="miter"/>
            <v:imagedata r:id="rId627" o:title=""/>
            <o:lock v:ext="edit" aspectratio="t"/>
            <w10:wrap type="none"/>
            <w10:anchorlock/>
          </v:shape>
          <o:OLEObject Type="Embed" ProgID="Equation.DSMT4" ShapeID="_x0000_i1342" DrawAspect="Content" ObjectID="_1468076042" r:id="rId626">
            <o:LockedField>false</o:LockedField>
          </o:OLEObject>
        </w:object>
      </w:r>
      <w:r>
        <w:rPr>
          <w:rFonts w:hint="eastAsia" w:eastAsia="宋体" w:cs="Times New Roman"/>
        </w:rPr>
        <w:t>通过推理分析生成协作计划。</w:t>
      </w:r>
      <w:r>
        <w:rPr>
          <w:rFonts w:eastAsia="宋体" w:cs="Times New Roman"/>
        </w:rPr>
        <w:t>其中，协作动作集合包括跨域核验、证据定向共享、联动处置和无动作四类。跨域核验用于在某一区域出现可疑线索但证据尚不充分时，请求相关区域进行补充确认；证据定向共享用于根据证据路由策略向相关区域传递关键证据摘要，减少无差别共享带来的通信开销；联动处置用于在多区域证据相互印证且风险较高时，开展安全侧协同处置或防护强化；无动作则表示当前证据不足或协作收益较低，暂不进行额外跨域交互。</w:t>
      </w:r>
    </w:p>
    <w:p w14:paraId="310F4ED3">
      <w:pPr>
        <w:spacing w:line="400" w:lineRule="exact"/>
        <w:ind w:firstLine="480" w:firstLineChars="200"/>
        <w:rPr>
          <w:rFonts w:eastAsia="宋体" w:cs="Times New Roman"/>
        </w:rPr>
      </w:pPr>
      <w:r>
        <w:rPr>
          <w:rFonts w:eastAsia="宋体" w:cs="Times New Roman"/>
        </w:rPr>
        <w:t>在协作</w:t>
      </w:r>
      <w:r>
        <w:rPr>
          <w:rFonts w:hint="eastAsia" w:eastAsia="宋体" w:cs="Times New Roman"/>
        </w:rPr>
        <w:t>计划中，证据共享时不仅需明确共享对象，还需判定在当前约束下能否实现证据共享。</w:t>
      </w:r>
      <w:r>
        <w:rPr>
          <w:rFonts w:eastAsia="宋体" w:cs="Times New Roman"/>
        </w:rPr>
        <w:t>因此，为</w:t>
      </w:r>
      <w:r>
        <w:rPr>
          <w:rFonts w:hint="eastAsia" w:eastAsia="宋体" w:cs="Times New Roman"/>
        </w:rPr>
        <w:t>评估</w:t>
      </w:r>
      <w:r>
        <w:rPr>
          <w:rFonts w:eastAsia="宋体" w:cs="Times New Roman"/>
        </w:rPr>
        <w:t>证据在区域间定向共享的可行性，本</w:t>
      </w:r>
      <w:r>
        <w:rPr>
          <w:rFonts w:hint="eastAsia" w:eastAsia="宋体" w:cs="Times New Roman"/>
        </w:rPr>
        <w:t>文</w:t>
      </w:r>
      <w:r>
        <w:rPr>
          <w:rFonts w:eastAsia="宋体" w:cs="Times New Roman"/>
        </w:rPr>
        <w:t>将证据路由策略</w:t>
      </w:r>
      <w:r>
        <w:rPr>
          <w:rFonts w:hint="eastAsia" w:eastAsia="宋体" w:cs="Times New Roman"/>
          <w:position w:val="-12"/>
        </w:rPr>
        <w:object>
          <v:shape id="_x0000_i1343" o:spt="75" type="#_x0000_t75" style="height:18.15pt;width:15pt;" o:ole="t" filled="f" o:preferrelative="t" stroked="f" coordsize="21600,21600">
            <v:path/>
            <v:fill on="f" focussize="0,0"/>
            <v:stroke on="f" joinstyle="miter"/>
            <v:imagedata r:id="rId629" o:title=""/>
            <o:lock v:ext="edit" aspectratio="t"/>
            <w10:wrap type="none"/>
            <w10:anchorlock/>
          </v:shape>
          <o:OLEObject Type="Embed" ProgID="Equation.DSMT4" ShapeID="_x0000_i1343" DrawAspect="Content" ObjectID="_1468076043" r:id="rId628">
            <o:LockedField>false</o:LockedField>
          </o:OLEObject>
        </w:object>
      </w:r>
      <w:r>
        <w:rPr>
          <w:rFonts w:eastAsia="宋体" w:cs="Times New Roman"/>
        </w:rPr>
        <w:t>实例化为门控函数。对</w:t>
      </w:r>
      <w:r>
        <w:rPr>
          <w:rFonts w:hint="eastAsia" w:eastAsia="宋体" w:cs="Times New Roman"/>
        </w:rPr>
        <w:t>于</w:t>
      </w:r>
      <w:r>
        <w:rPr>
          <w:rFonts w:eastAsia="宋体" w:cs="Times New Roman"/>
        </w:rPr>
        <w:t>任一证据</w:t>
      </w:r>
      <w:r>
        <w:rPr>
          <w:rFonts w:hint="eastAsia" w:eastAsia="宋体" w:cs="Times New Roman"/>
          <w:position w:val="-6"/>
        </w:rPr>
        <w:object>
          <v:shape id="_x0000_i1344" o:spt="75" type="#_x0000_t75" style="height:10.95pt;width:9.2pt;" o:ole="t" filled="f" o:preferrelative="t" stroked="f" coordsize="21600,21600">
            <v:path/>
            <v:fill on="f" focussize="0,0"/>
            <v:stroke on="f" joinstyle="miter"/>
            <v:imagedata r:id="rId631" o:title=""/>
            <o:lock v:ext="edit" aspectratio="t"/>
            <w10:wrap type="none"/>
            <w10:anchorlock/>
          </v:shape>
          <o:OLEObject Type="Embed" ProgID="Equation.DSMT4" ShapeID="_x0000_i1344" DrawAspect="Content" ObjectID="_1468076044" r:id="rId630">
            <o:LockedField>false</o:LockedField>
          </o:OLEObject>
        </w:object>
      </w:r>
      <w:r>
        <w:rPr>
          <w:rFonts w:eastAsia="宋体" w:cs="Times New Roman"/>
        </w:rPr>
        <w:t>，</w:t>
      </w:r>
      <w:r>
        <w:rPr>
          <w:rFonts w:hint="eastAsia" w:eastAsia="宋体" w:cs="Times New Roman"/>
        </w:rPr>
        <w:t>其由区</w:t>
      </w:r>
      <w:r>
        <w:rPr>
          <w:rFonts w:eastAsia="宋体" w:cs="Times New Roman"/>
        </w:rPr>
        <w:t>域</w:t>
      </w:r>
      <w:r>
        <w:rPr>
          <w:rFonts w:hint="eastAsia" w:eastAsia="宋体" w:cs="Times New Roman"/>
          <w:position w:val="-6"/>
        </w:rPr>
        <w:object>
          <v:shape id="_x0000_i1345" o:spt="75" type="#_x0000_t75" style="height:13.25pt;width:6.35pt;" o:ole="t" filled="f" o:preferrelative="t" stroked="f" coordsize="21600,21600">
            <v:path/>
            <v:fill on="f" focussize="0,0"/>
            <v:stroke on="f" joinstyle="miter"/>
            <v:imagedata r:id="rId633" o:title=""/>
            <o:lock v:ext="edit" aspectratio="t"/>
            <w10:wrap type="none"/>
            <w10:anchorlock/>
          </v:shape>
          <o:OLEObject Type="Embed" ProgID="Equation.DSMT4" ShapeID="_x0000_i1345" DrawAspect="Content" ObjectID="_1468076045" r:id="rId632">
            <o:LockedField>false</o:LockedField>
          </o:OLEObject>
        </w:object>
      </w:r>
      <w:r>
        <w:rPr>
          <w:rFonts w:eastAsia="宋体" w:cs="Times New Roman"/>
        </w:rPr>
        <w:t>共享至区域</w:t>
      </w:r>
      <w:r>
        <w:rPr>
          <w:rFonts w:hint="eastAsia" w:eastAsia="宋体" w:cs="Times New Roman"/>
          <w:position w:val="-10"/>
        </w:rPr>
        <w:object>
          <v:shape id="_x0000_i1346" o:spt="75" type="#_x0000_t75" style="height:15pt;width:10.1pt;" o:ole="t" filled="f" o:preferrelative="t" stroked="f" coordsize="21600,21600">
            <v:path/>
            <v:fill on="f" focussize="0,0"/>
            <v:stroke on="f" joinstyle="miter"/>
            <v:imagedata r:id="rId635" o:title=""/>
            <o:lock v:ext="edit" aspectratio="t"/>
            <w10:wrap type="none"/>
            <w10:anchorlock/>
          </v:shape>
          <o:OLEObject Type="Embed" ProgID="Equation.DSMT4" ShapeID="_x0000_i1346" DrawAspect="Content" ObjectID="_1468076046" r:id="rId634">
            <o:LockedField>false</o:LockedField>
          </o:OLEObject>
        </w:object>
      </w:r>
      <w:r>
        <w:rPr>
          <w:rFonts w:eastAsia="宋体" w:cs="Times New Roman"/>
        </w:rPr>
        <w:t>的判定</w:t>
      </w:r>
      <w:r>
        <w:rPr>
          <w:rFonts w:hint="eastAsia" w:eastAsia="宋体" w:cs="Times New Roman"/>
        </w:rPr>
        <w:t>表示如式(5.8)。</w:t>
      </w:r>
    </w:p>
    <w:p w14:paraId="334FCABF">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347" o:spt="75" type="#_x0000_t75" style="height:19.6pt;width:233pt;" o:ole="t" filled="f" o:preferrelative="t" stroked="f" coordsize="21600,21600">
            <v:path/>
            <v:fill on="f" focussize="0,0"/>
            <v:stroke on="f" joinstyle="miter"/>
            <v:imagedata r:id="rId637" o:title=""/>
            <o:lock v:ext="edit" aspectratio="t"/>
            <w10:wrap type="none"/>
            <w10:anchorlock/>
          </v:shape>
          <o:OLEObject Type="Embed" ProgID="Equation.DSMT4" ShapeID="_x0000_i1347" DrawAspect="Content" ObjectID="_1468076047" r:id="rId636">
            <o:LockedField>false</o:LockedField>
          </o:OLEObject>
        </w:object>
      </w:r>
      <w:r>
        <w:rPr>
          <w:rFonts w:eastAsia="宋体" w:cs="Times New Roman"/>
        </w:rPr>
        <w:tab/>
      </w:r>
      <w:r>
        <w:rPr>
          <w:rFonts w:hint="eastAsia" w:eastAsia="宋体" w:cs="Times New Roman"/>
        </w:rPr>
        <w:t>(5.8)</w:t>
      </w:r>
    </w:p>
    <w:p w14:paraId="1721CFEA">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4"/>
        </w:rPr>
        <w:object>
          <v:shape id="_x0000_i1348" o:spt="75" type="#_x0000_t75" style="height:19.6pt;width:19pt;" o:ole="t" filled="f" o:preferrelative="t" stroked="f" coordsize="21600,21600">
            <v:path/>
            <v:fill on="f" focussize="0,0"/>
            <v:stroke on="f" joinstyle="miter"/>
            <v:imagedata r:id="rId639" o:title=""/>
            <o:lock v:ext="edit" aspectratio="t"/>
            <w10:wrap type="none"/>
            <w10:anchorlock/>
          </v:shape>
          <o:OLEObject Type="Embed" ProgID="Equation.DSMT4" ShapeID="_x0000_i1348" DrawAspect="Content" ObjectID="_1468076048" r:id="rId638">
            <o:LockedField>false</o:LockedField>
          </o:OLEObject>
        </w:object>
      </w:r>
      <w:r>
        <w:rPr>
          <w:rFonts w:hint="eastAsia" w:eastAsia="宋体" w:cs="Times New Roman"/>
        </w:rPr>
        <w:t>表示时刻</w:t>
      </w:r>
      <w:r>
        <w:rPr>
          <w:rFonts w:hint="eastAsia" w:eastAsia="宋体" w:cs="Times New Roman"/>
          <w:position w:val="-6"/>
        </w:rPr>
        <w:object>
          <v:shape id="_x0000_i1349" o:spt="75" type="#_x0000_t75" style="height:12.4pt;width:6.35pt;" o:ole="t" filled="f" o:preferrelative="t" stroked="f" coordsize="21600,21600">
            <v:path/>
            <v:fill on="f" focussize="0,0"/>
            <v:stroke on="f" joinstyle="miter"/>
            <v:imagedata r:id="rId613" o:title=""/>
            <o:lock v:ext="edit" aspectratio="t"/>
            <w10:wrap type="none"/>
            <w10:anchorlock/>
          </v:shape>
          <o:OLEObject Type="Embed" ProgID="Equation.DSMT4" ShapeID="_x0000_i1349" DrawAspect="Content" ObjectID="_1468076049" r:id="rId640">
            <o:LockedField>false</o:LockedField>
          </o:OLEObject>
        </w:object>
      </w:r>
      <w:r>
        <w:rPr>
          <w:rFonts w:hint="eastAsia" w:eastAsia="宋体" w:cs="Times New Roman"/>
        </w:rPr>
        <w:t>下证据</w:t>
      </w:r>
      <w:r>
        <w:rPr>
          <w:rFonts w:hint="eastAsia" w:eastAsia="宋体" w:cs="Times New Roman"/>
          <w:position w:val="-6"/>
        </w:rPr>
        <w:object>
          <v:shape id="_x0000_i1350" o:spt="75" type="#_x0000_t75" style="height:10.95pt;width:9.2pt;" o:ole="t" filled="f" o:preferrelative="t" stroked="f" coordsize="21600,21600">
            <v:path/>
            <v:fill on="f" focussize="0,0"/>
            <v:stroke on="f" joinstyle="miter"/>
            <v:imagedata r:id="rId631" o:title=""/>
            <o:lock v:ext="edit" aspectratio="t"/>
            <w10:wrap type="none"/>
            <w10:anchorlock/>
          </v:shape>
          <o:OLEObject Type="Embed" ProgID="Equation.DSMT4" ShapeID="_x0000_i1350" DrawAspect="Content" ObjectID="_1468076050" r:id="rId641">
            <o:LockedField>false</o:LockedField>
          </o:OLEObject>
        </w:object>
      </w:r>
      <w:r>
        <w:rPr>
          <w:rFonts w:hint="eastAsia" w:eastAsia="宋体" w:cs="Times New Roman"/>
        </w:rPr>
        <w:t>由区</w:t>
      </w:r>
      <w:r>
        <w:rPr>
          <w:rFonts w:eastAsia="宋体" w:cs="Times New Roman"/>
        </w:rPr>
        <w:t>域</w:t>
      </w:r>
      <w:r>
        <w:rPr>
          <w:rFonts w:hint="eastAsia" w:eastAsia="宋体" w:cs="Times New Roman"/>
          <w:position w:val="-6"/>
        </w:rPr>
        <w:object>
          <v:shape id="_x0000_i1351" o:spt="75" type="#_x0000_t75" style="height:13.25pt;width:6.35pt;" o:ole="t" filled="f" o:preferrelative="t" stroked="f" coordsize="21600,21600">
            <v:path/>
            <v:fill on="f" focussize="0,0"/>
            <v:stroke on="f" joinstyle="miter"/>
            <v:imagedata r:id="rId633" o:title=""/>
            <o:lock v:ext="edit" aspectratio="t"/>
            <w10:wrap type="none"/>
            <w10:anchorlock/>
          </v:shape>
          <o:OLEObject Type="Embed" ProgID="Equation.DSMT4" ShapeID="_x0000_i1351" DrawAspect="Content" ObjectID="_1468076051" r:id="rId642">
            <o:LockedField>false</o:LockedField>
          </o:OLEObject>
        </w:object>
      </w:r>
      <w:r>
        <w:rPr>
          <w:rFonts w:eastAsia="宋体" w:cs="Times New Roman"/>
        </w:rPr>
        <w:t>共享至区域</w:t>
      </w:r>
      <w:r>
        <w:rPr>
          <w:rFonts w:hint="eastAsia" w:eastAsia="宋体" w:cs="Times New Roman"/>
          <w:position w:val="-10"/>
        </w:rPr>
        <w:object>
          <v:shape id="_x0000_i1352" o:spt="75" type="#_x0000_t75" style="height:15pt;width:10.1pt;" o:ole="t" filled="f" o:preferrelative="t" stroked="f" coordsize="21600,21600">
            <v:path/>
            <v:fill on="f" focussize="0,0"/>
            <v:stroke on="f" joinstyle="miter"/>
            <v:imagedata r:id="rId635" o:title=""/>
            <o:lock v:ext="edit" aspectratio="t"/>
            <w10:wrap type="none"/>
            <w10:anchorlock/>
          </v:shape>
          <o:OLEObject Type="Embed" ProgID="Equation.DSMT4" ShapeID="_x0000_i1352" DrawAspect="Content" ObjectID="_1468076052" r:id="rId643">
            <o:LockedField>false</o:LockedField>
          </o:OLEObject>
        </w:object>
      </w:r>
      <w:r>
        <w:rPr>
          <w:rFonts w:eastAsia="宋体" w:cs="Times New Roman"/>
        </w:rPr>
        <w:t>的判定结果；</w:t>
      </w:r>
      <w:r>
        <w:rPr>
          <w:rFonts w:hint="eastAsia" w:eastAsia="宋体" w:cs="Times New Roman"/>
          <w:position w:val="-14"/>
        </w:rPr>
        <w:object>
          <v:shape id="_x0000_i1353" o:spt="75" type="#_x0000_t75" style="height:19.6pt;width:17pt;" o:ole="t" filled="f" o:preferrelative="t" stroked="f" coordsize="21600,21600">
            <v:path/>
            <v:fill on="f" focussize="0,0"/>
            <v:stroke on="f" joinstyle="miter"/>
            <v:imagedata r:id="rId645" o:title=""/>
            <o:lock v:ext="edit" aspectratio="t"/>
            <w10:wrap type="none"/>
            <w10:anchorlock/>
          </v:shape>
          <o:OLEObject Type="Embed" ProgID="Equation.DSMT4" ShapeID="_x0000_i1353" DrawAspect="Content" ObjectID="_1468076053" r:id="rId644">
            <o:LockedField>false</o:LockedField>
          </o:OLEObject>
        </w:object>
      </w:r>
      <w:r>
        <w:rPr>
          <w:rFonts w:hint="eastAsia" w:eastAsia="宋体" w:cs="Times New Roman"/>
        </w:rPr>
        <w:t>表示证据</w:t>
      </w:r>
      <w:r>
        <w:rPr>
          <w:rFonts w:hint="eastAsia" w:eastAsia="宋体" w:cs="Times New Roman"/>
          <w:position w:val="-6"/>
        </w:rPr>
        <w:object>
          <v:shape id="_x0000_i1354" o:spt="75" type="#_x0000_t75" style="height:10.95pt;width:9.2pt;" o:ole="t" filled="f" o:preferrelative="t" stroked="f" coordsize="21600,21600">
            <v:path/>
            <v:fill on="f" focussize="0,0"/>
            <v:stroke on="f" joinstyle="miter"/>
            <v:imagedata r:id="rId631" o:title=""/>
            <o:lock v:ext="edit" aspectratio="t"/>
            <w10:wrap type="none"/>
            <w10:anchorlock/>
          </v:shape>
          <o:OLEObject Type="Embed" ProgID="Equation.DSMT4" ShapeID="_x0000_i1354" DrawAspect="Content" ObjectID="_1468076054" r:id="rId646">
            <o:LockedField>false</o:LockedField>
          </o:OLEObject>
        </w:object>
      </w:r>
      <w:r>
        <w:rPr>
          <w:rFonts w:hint="eastAsia" w:eastAsia="宋体" w:cs="Times New Roman"/>
        </w:rPr>
        <w:t>对区域</w:t>
      </w:r>
      <w:r>
        <w:rPr>
          <w:rFonts w:hint="eastAsia" w:eastAsia="宋体" w:cs="Times New Roman"/>
          <w:position w:val="-10"/>
        </w:rPr>
        <w:object>
          <v:shape id="_x0000_i1355" o:spt="75" type="#_x0000_t75" style="height:15pt;width:10.1pt;" o:ole="t" filled="f" o:preferrelative="t" stroked="f" coordsize="21600,21600">
            <v:path/>
            <v:fill on="f" focussize="0,0"/>
            <v:stroke on="f" joinstyle="miter"/>
            <v:imagedata r:id="rId635" o:title=""/>
            <o:lock v:ext="edit" aspectratio="t"/>
            <w10:wrap type="none"/>
            <w10:anchorlock/>
          </v:shape>
          <o:OLEObject Type="Embed" ProgID="Equation.DSMT4" ShapeID="_x0000_i1355" DrawAspect="Content" ObjectID="_1468076055" r:id="rId647">
            <o:LockedField>false</o:LockedField>
          </o:OLEObject>
        </w:object>
      </w:r>
      <w:r>
        <w:rPr>
          <w:rFonts w:hint="eastAsia" w:eastAsia="宋体" w:cs="Times New Roman"/>
        </w:rPr>
        <w:t>当前协作目标的相关性评分；</w:t>
      </w:r>
      <w:r>
        <w:rPr>
          <w:rFonts w:hint="eastAsia" w:eastAsia="宋体" w:cs="Times New Roman"/>
          <w:position w:val="-14"/>
        </w:rPr>
        <w:object>
          <v:shape id="_x0000_i1356" o:spt="75" type="#_x0000_t75" style="height:19pt;width:13.25pt;" o:ole="t" filled="f" o:preferrelative="t" stroked="f" coordsize="21600,21600">
            <v:path/>
            <v:fill on="f" focussize="0,0"/>
            <v:stroke on="f" joinstyle="miter"/>
            <v:imagedata r:id="rId649" o:title=""/>
            <o:lock v:ext="edit" aspectratio="t"/>
            <w10:wrap type="none"/>
            <w10:anchorlock/>
          </v:shape>
          <o:OLEObject Type="Embed" ProgID="Equation.DSMT4" ShapeID="_x0000_i1356" DrawAspect="Content" ObjectID="_1468076056" r:id="rId648">
            <o:LockedField>false</o:LockedField>
          </o:OLEObject>
        </w:object>
      </w:r>
      <w:r>
        <w:rPr>
          <w:rFonts w:hint="eastAsia" w:eastAsia="宋体" w:cs="Times New Roman"/>
        </w:rPr>
        <w:t>表示区域</w:t>
      </w:r>
      <w:r>
        <w:rPr>
          <w:rFonts w:hint="eastAsia" w:eastAsia="宋体" w:cs="Times New Roman"/>
          <w:position w:val="-10"/>
        </w:rPr>
        <w:object>
          <v:shape id="_x0000_i1357" o:spt="75" type="#_x0000_t75" style="height:15pt;width:10.1pt;" o:ole="t" filled="f" o:preferrelative="t" stroked="f" coordsize="21600,21600">
            <v:path/>
            <v:fill on="f" focussize="0,0"/>
            <v:stroke on="f" joinstyle="miter"/>
            <v:imagedata r:id="rId635" o:title=""/>
            <o:lock v:ext="edit" aspectratio="t"/>
            <w10:wrap type="none"/>
            <w10:anchorlock/>
          </v:shape>
          <o:OLEObject Type="Embed" ProgID="Equation.DSMT4" ShapeID="_x0000_i1357" DrawAspect="Content" ObjectID="_1468076057" r:id="rId650">
            <o:LockedField>false</o:LockedField>
          </o:OLEObject>
        </w:object>
      </w:r>
      <w:r>
        <w:rPr>
          <w:rFonts w:hint="eastAsia" w:eastAsia="宋体" w:cs="Times New Roman"/>
        </w:rPr>
        <w:t>的证据接收阈值；</w:t>
      </w:r>
      <w:r>
        <w:rPr>
          <w:rFonts w:hint="eastAsia" w:eastAsia="宋体" w:cs="Times New Roman"/>
          <w:position w:val="-14"/>
        </w:rPr>
        <w:object>
          <v:shape id="_x0000_i1358" o:spt="75" type="#_x0000_t75" style="height:19.6pt;width:17pt;" o:ole="t" filled="f" o:preferrelative="t" stroked="f" coordsize="21600,21600">
            <v:path/>
            <v:fill on="f" focussize="0,0"/>
            <v:stroke on="f" joinstyle="miter"/>
            <v:imagedata r:id="rId652" o:title=""/>
            <o:lock v:ext="edit" aspectratio="t"/>
            <w10:wrap type="none"/>
            <w10:anchorlock/>
          </v:shape>
          <o:OLEObject Type="Embed" ProgID="Equation.DSMT4" ShapeID="_x0000_i1358" DrawAspect="Content" ObjectID="_1468076058" r:id="rId651">
            <o:LockedField>false</o:LockedField>
          </o:OLEObject>
        </w:object>
      </w:r>
      <w:r>
        <w:rPr>
          <w:rFonts w:hint="eastAsia" w:eastAsia="宋体" w:cs="Times New Roman"/>
        </w:rPr>
        <w:t>表示证据</w:t>
      </w:r>
      <w:r>
        <w:rPr>
          <w:rFonts w:hint="eastAsia" w:eastAsia="宋体" w:cs="Times New Roman"/>
          <w:position w:val="-6"/>
        </w:rPr>
        <w:object>
          <v:shape id="_x0000_i1359" o:spt="75" type="#_x0000_t75" style="height:10.95pt;width:9.2pt;" o:ole="t" filled="f" o:preferrelative="t" stroked="f" coordsize="21600,21600">
            <v:path/>
            <v:fill on="f" focussize="0,0"/>
            <v:stroke on="f" joinstyle="miter"/>
            <v:imagedata r:id="rId631" o:title=""/>
            <o:lock v:ext="edit" aspectratio="t"/>
            <w10:wrap type="none"/>
            <w10:anchorlock/>
          </v:shape>
          <o:OLEObject Type="Embed" ProgID="Equation.DSMT4" ShapeID="_x0000_i1359" DrawAspect="Content" ObjectID="_1468076059" r:id="rId653">
            <o:LockedField>false</o:LockedField>
          </o:OLEObject>
        </w:object>
      </w:r>
      <w:r>
        <w:rPr>
          <w:rFonts w:hint="eastAsia" w:eastAsia="宋体" w:cs="Times New Roman"/>
        </w:rPr>
        <w:t>由区</w:t>
      </w:r>
      <w:r>
        <w:rPr>
          <w:rFonts w:eastAsia="宋体" w:cs="Times New Roman"/>
        </w:rPr>
        <w:t>域</w:t>
      </w:r>
      <w:r>
        <w:rPr>
          <w:rFonts w:hint="eastAsia" w:eastAsia="宋体" w:cs="Times New Roman"/>
          <w:position w:val="-6"/>
        </w:rPr>
        <w:object>
          <v:shape id="_x0000_i1360" o:spt="75" type="#_x0000_t75" style="height:13.25pt;width:6.35pt;" o:ole="t" filled="f" o:preferrelative="t" stroked="f" coordsize="21600,21600">
            <v:path/>
            <v:fill on="f" focussize="0,0"/>
            <v:stroke on="f" joinstyle="miter"/>
            <v:imagedata r:id="rId633" o:title=""/>
            <o:lock v:ext="edit" aspectratio="t"/>
            <w10:wrap type="none"/>
            <w10:anchorlock/>
          </v:shape>
          <o:OLEObject Type="Embed" ProgID="Equation.DSMT4" ShapeID="_x0000_i1360" DrawAspect="Content" ObjectID="_1468076060" r:id="rId654">
            <o:LockedField>false</o:LockedField>
          </o:OLEObject>
        </w:object>
      </w:r>
      <w:r>
        <w:rPr>
          <w:rFonts w:eastAsia="宋体" w:cs="Times New Roman"/>
        </w:rPr>
        <w:t>共享至区域</w:t>
      </w:r>
      <w:r>
        <w:rPr>
          <w:rFonts w:hint="eastAsia" w:eastAsia="宋体" w:cs="Times New Roman"/>
          <w:position w:val="-10"/>
        </w:rPr>
        <w:object>
          <v:shape id="_x0000_i1361" o:spt="75" type="#_x0000_t75" style="height:15pt;width:10.1pt;" o:ole="t" filled="f" o:preferrelative="t" stroked="f" coordsize="21600,21600">
            <v:path/>
            <v:fill on="f" focussize="0,0"/>
            <v:stroke on="f" joinstyle="miter"/>
            <v:imagedata r:id="rId635" o:title=""/>
            <o:lock v:ext="edit" aspectratio="t"/>
            <w10:wrap type="none"/>
            <w10:anchorlock/>
          </v:shape>
          <o:OLEObject Type="Embed" ProgID="Equation.DSMT4" ShapeID="_x0000_i1361" DrawAspect="Content" ObjectID="_1468076061" r:id="rId655">
            <o:LockedField>false</o:LockedField>
          </o:OLEObject>
        </w:object>
      </w:r>
      <w:r>
        <w:rPr>
          <w:rFonts w:hint="eastAsia" w:eastAsia="宋体" w:cs="Times New Roman"/>
        </w:rPr>
        <w:t>的代价；</w:t>
      </w:r>
      <w:r>
        <w:rPr>
          <w:rFonts w:hint="eastAsia" w:eastAsia="宋体" w:cs="Times New Roman"/>
          <w:position w:val="-14"/>
        </w:rPr>
        <w:object>
          <v:shape id="_x0000_i1362" o:spt="75" type="#_x0000_t75" style="height:19.6pt;width:13.25pt;" o:ole="t" filled="f" o:preferrelative="t" stroked="f" coordsize="21600,21600">
            <v:path/>
            <v:fill on="f" focussize="0,0"/>
            <v:stroke on="f" joinstyle="miter"/>
            <v:imagedata r:id="rId657" o:title=""/>
            <o:lock v:ext="edit" aspectratio="t"/>
            <w10:wrap type="none"/>
            <w10:anchorlock/>
          </v:shape>
          <o:OLEObject Type="Embed" ProgID="Equation.DSMT4" ShapeID="_x0000_i1362" DrawAspect="Content" ObjectID="_1468076062" r:id="rId656">
            <o:LockedField>false</o:LockedField>
          </o:OLEObject>
        </w:object>
      </w:r>
      <w:r>
        <w:rPr>
          <w:rFonts w:hint="eastAsia" w:eastAsia="宋体" w:cs="Times New Roman"/>
        </w:rPr>
        <w:t>表示时刻</w:t>
      </w:r>
      <w:r>
        <w:rPr>
          <w:rFonts w:hint="eastAsia" w:eastAsia="宋体" w:cs="Times New Roman"/>
          <w:position w:val="-6"/>
        </w:rPr>
        <w:object>
          <v:shape id="_x0000_i1363" o:spt="75" type="#_x0000_t75" style="height:12.4pt;width:6.35pt;" o:ole="t" filled="f" o:preferrelative="t" stroked="f" coordsize="21600,21600">
            <v:path/>
            <v:fill on="f" focussize="0,0"/>
            <v:stroke on="f" joinstyle="miter"/>
            <v:imagedata r:id="rId613" o:title=""/>
            <o:lock v:ext="edit" aspectratio="t"/>
            <w10:wrap type="none"/>
            <w10:anchorlock/>
          </v:shape>
          <o:OLEObject Type="Embed" ProgID="Equation.DSMT4" ShapeID="_x0000_i1363" DrawAspect="Content" ObjectID="_1468076063" r:id="rId658">
            <o:LockedField>false</o:LockedField>
          </o:OLEObject>
        </w:object>
      </w:r>
      <w:r>
        <w:rPr>
          <w:rFonts w:hint="eastAsia" w:eastAsia="宋体" w:cs="Times New Roman"/>
        </w:rPr>
        <w:t>链路</w:t>
      </w:r>
      <w:r>
        <w:rPr>
          <w:rFonts w:hint="eastAsia" w:eastAsia="宋体" w:cs="Times New Roman"/>
          <w:position w:val="-10"/>
        </w:rPr>
        <w:object>
          <v:shape id="_x0000_i1364" o:spt="75" type="#_x0000_t75" style="height:16.4pt;width:25.9pt;" o:ole="t" filled="f" o:preferrelative="t" stroked="f" coordsize="21600,21600">
            <v:path/>
            <v:fill on="f" focussize="0,0"/>
            <v:stroke on="f" joinstyle="miter"/>
            <v:imagedata r:id="rId660" o:title=""/>
            <o:lock v:ext="edit" aspectratio="t"/>
            <w10:wrap type="none"/>
            <w10:anchorlock/>
          </v:shape>
          <o:OLEObject Type="Embed" ProgID="Equation.DSMT4" ShapeID="_x0000_i1364" DrawAspect="Content" ObjectID="_1468076064" r:id="rId659">
            <o:LockedField>false</o:LockedField>
          </o:OLEObject>
        </w:object>
      </w:r>
      <w:r>
        <w:rPr>
          <w:rFonts w:hint="eastAsia" w:eastAsia="宋体" w:cs="Times New Roman"/>
        </w:rPr>
        <w:t>的剩余预算；</w:t>
      </w:r>
      <w:r>
        <w:rPr>
          <w:rFonts w:hint="eastAsia" w:eastAsia="宋体" w:cs="Times New Roman"/>
          <w:position w:val="-12"/>
        </w:rPr>
        <w:object>
          <v:shape id="_x0000_i1365" o:spt="75" type="#_x0000_t75" style="height:18.15pt;width:13.8pt;" o:ole="t" filled="f" o:preferrelative="t" stroked="f" coordsize="21600,21600">
            <v:path/>
            <v:fill on="f" focussize="0,0"/>
            <v:stroke on="f" joinstyle="miter"/>
            <v:imagedata r:id="rId662" o:title=""/>
            <o:lock v:ext="edit" aspectratio="t"/>
            <w10:wrap type="none"/>
            <w10:anchorlock/>
          </v:shape>
          <o:OLEObject Type="Embed" ProgID="Equation.DSMT4" ShapeID="_x0000_i1365" DrawAspect="Content" ObjectID="_1468076065" r:id="rId661">
            <o:LockedField>false</o:LockedField>
          </o:OLEObject>
        </w:object>
      </w:r>
      <w:r>
        <w:rPr>
          <w:rFonts w:hint="eastAsia" w:eastAsia="宋体" w:cs="Times New Roman"/>
        </w:rPr>
        <w:t>表示当前约束下允许共享的区域链路及证据的集合；</w:t>
      </w:r>
      <w:r>
        <w:rPr>
          <w:rFonts w:hint="eastAsia" w:eastAsia="宋体" w:cs="Times New Roman"/>
          <w:position w:val="-10"/>
        </w:rPr>
        <w:object>
          <v:shape id="_x0000_i1366" o:spt="75" type="#_x0000_t75" style="height:16.4pt;width:19pt;" o:ole="t" filled="f" o:preferrelative="t" stroked="f" coordsize="21600,21600">
            <v:path/>
            <v:fill on="f" focussize="0,0"/>
            <v:stroke on="f" joinstyle="miter"/>
            <v:imagedata r:id="rId664" o:title=""/>
            <o:lock v:ext="edit" aspectratio="t"/>
            <w10:wrap type="none"/>
            <w10:anchorlock/>
          </v:shape>
          <o:OLEObject Type="Embed" ProgID="Equation.DSMT4" ShapeID="_x0000_i1366" DrawAspect="Content" ObjectID="_1468076066" r:id="rId663">
            <o:LockedField>false</o:LockedField>
          </o:OLEObject>
        </w:object>
      </w:r>
      <w:r>
        <w:rPr>
          <w:rFonts w:hint="eastAsia" w:eastAsia="宋体" w:cs="Times New Roman"/>
        </w:rPr>
        <w:t>表示指示函数，当其括号内的条件成立时取1</w:t>
      </w:r>
      <w:r>
        <w:rPr>
          <w:rFonts w:eastAsia="宋体" w:cs="Times New Roman"/>
        </w:rPr>
        <w:t>，否则取</w:t>
      </w:r>
      <w:r>
        <w:rPr>
          <w:rFonts w:hint="eastAsia" w:eastAsia="宋体" w:cs="Times New Roman"/>
        </w:rPr>
        <w:t>0。</w:t>
      </w:r>
    </w:p>
    <w:p w14:paraId="07320546">
      <w:pPr>
        <w:spacing w:line="400" w:lineRule="exact"/>
        <w:ind w:firstLine="480" w:firstLineChars="200"/>
        <w:rPr>
          <w:rFonts w:eastAsia="宋体" w:cs="Times New Roman"/>
        </w:rPr>
      </w:pPr>
      <w:r>
        <w:rPr>
          <w:rFonts w:ascii="Cambria Math" w:hAnsi="Cambria Math" w:eastAsia="宋体" w:cs="Times New Roman"/>
          <w:iCs/>
        </w:rPr>
        <w:t>该门控判定使证据路由具</w:t>
      </w:r>
      <w:r>
        <w:rPr>
          <w:rFonts w:hint="eastAsia" w:ascii="Cambria Math" w:hAnsi="Cambria Math" w:eastAsia="宋体" w:cs="Times New Roman"/>
          <w:iCs/>
        </w:rPr>
        <w:t>有</w:t>
      </w:r>
      <w:r>
        <w:rPr>
          <w:rFonts w:ascii="Cambria Math" w:hAnsi="Cambria Math" w:eastAsia="宋体" w:cs="Times New Roman"/>
          <w:iCs/>
        </w:rPr>
        <w:t>可计算</w:t>
      </w:r>
      <w:r>
        <w:rPr>
          <w:rFonts w:hint="eastAsia" w:ascii="Cambria Math" w:hAnsi="Cambria Math" w:eastAsia="宋体" w:cs="Times New Roman"/>
          <w:iCs/>
        </w:rPr>
        <w:t>性</w:t>
      </w:r>
      <w:r>
        <w:rPr>
          <w:rFonts w:ascii="Cambria Math" w:hAnsi="Cambria Math" w:eastAsia="宋体" w:cs="Times New Roman"/>
          <w:iCs/>
        </w:rPr>
        <w:t>与可执行性，并在相关性与代价约束下</w:t>
      </w:r>
      <w:r>
        <w:rPr>
          <w:rFonts w:hint="eastAsia" w:ascii="Cambria Math" w:hAnsi="Cambria Math" w:eastAsia="宋体" w:cs="Times New Roman"/>
          <w:iCs/>
        </w:rPr>
        <w:t>能够</w:t>
      </w:r>
      <w:r>
        <w:rPr>
          <w:rFonts w:ascii="Cambria Math" w:hAnsi="Cambria Math" w:eastAsia="宋体" w:cs="Times New Roman"/>
          <w:iCs/>
        </w:rPr>
        <w:t>实现定向共享</w:t>
      </w:r>
      <w:r>
        <w:rPr>
          <w:rFonts w:hint="eastAsia" w:ascii="Cambria Math" w:hAnsi="Cambria Math" w:eastAsia="宋体" w:cs="Times New Roman"/>
          <w:iCs/>
        </w:rPr>
        <w:t>，而无需再通过无差别广播的方式共享证据。</w:t>
      </w:r>
    </w:p>
    <w:p w14:paraId="250109ED">
      <w:pPr>
        <w:spacing w:line="400" w:lineRule="exact"/>
        <w:ind w:firstLine="482" w:firstLineChars="200"/>
        <w:rPr>
          <w:rFonts w:eastAsia="宋体" w:cs="Times New Roman"/>
          <w:b/>
          <w:bCs/>
        </w:rPr>
      </w:pPr>
      <w:r>
        <w:rPr>
          <w:rFonts w:hint="eastAsia" w:eastAsia="宋体" w:cs="Times New Roman"/>
          <w:b/>
          <w:bCs/>
        </w:rPr>
        <w:t>（2）规则校验</w:t>
      </w:r>
    </w:p>
    <w:p w14:paraId="00745D36">
      <w:pPr>
        <w:ind w:firstLine="480" w:firstLineChars="200"/>
      </w:pPr>
      <w:r>
        <w:rPr>
          <w:rFonts w:hint="eastAsia"/>
        </w:rPr>
        <w:t>在LLM生成初始协作计划后，考虑到其合理性会受到证据充分性、环境资源约束及跨区域信息一致性等因素的影响，若不结合当前检测结果与执行条件对其进行检验，则协作计划很可能会因此产生偏差。因此</w:t>
      </w:r>
      <w:r>
        <w:t>，本</w:t>
      </w:r>
      <w:r>
        <w:rPr>
          <w:rFonts w:hint="eastAsia"/>
        </w:rPr>
        <w:t>节</w:t>
      </w:r>
      <w:r>
        <w:t>在</w:t>
      </w:r>
      <w:r>
        <w:rPr>
          <w:rFonts w:hint="eastAsia"/>
        </w:rPr>
        <w:t>协作先验</w:t>
      </w:r>
      <w:r>
        <w:t>计划</w:t>
      </w:r>
      <w:r>
        <w:rPr>
          <w:rFonts w:hint="eastAsia"/>
        </w:rPr>
        <w:t>执行</w:t>
      </w:r>
      <w:r>
        <w:t>前</w:t>
      </w:r>
      <w:r>
        <w:rPr>
          <w:rFonts w:hint="eastAsia"/>
        </w:rPr>
        <w:t>引入在线</w:t>
      </w:r>
      <w:r>
        <w:t>规则校验</w:t>
      </w:r>
      <w:r>
        <w:rPr>
          <w:rFonts w:hint="eastAsia"/>
        </w:rPr>
        <w:t>方法</w:t>
      </w:r>
      <w:r>
        <w:t>，对</w:t>
      </w:r>
      <w:r>
        <w:rPr>
          <w:rFonts w:hint="eastAsia"/>
        </w:rPr>
        <w:t>初始协作计划</w:t>
      </w:r>
      <w:r>
        <w:t>进行一致性</w:t>
      </w:r>
      <w:r>
        <w:rPr>
          <w:rFonts w:hint="eastAsia"/>
        </w:rPr>
        <w:t>检验</w:t>
      </w:r>
      <w:r>
        <w:t>与约束修正</w:t>
      </w:r>
      <w:r>
        <w:rPr>
          <w:rFonts w:hint="eastAsia"/>
        </w:rPr>
        <w:t>。考虑到跨域协同检测中的常见主要问题体现在高不确定性、成本预算限制及关键信息缺失或冲突三个方面，因此本节针对这三方面设计校验规则，以提高协作计划与当前状态条件间的一致性。</w:t>
      </w:r>
    </w:p>
    <w:p w14:paraId="0B28937F">
      <w:pPr>
        <w:ind w:firstLine="480" w:firstLineChars="200"/>
      </w:pPr>
      <w:r>
        <w:t>1）</w:t>
      </w:r>
      <w:r>
        <w:rPr>
          <w:rFonts w:hint="eastAsia"/>
        </w:rPr>
        <w:t>针对高</w:t>
      </w:r>
      <w:r>
        <w:t>不确定性的核验</w:t>
      </w:r>
      <w:r>
        <w:rPr>
          <w:rFonts w:hint="eastAsia"/>
        </w:rPr>
        <w:t>处置</w:t>
      </w:r>
      <w:r>
        <w:t>规则</w:t>
      </w:r>
      <w:r>
        <w:rPr>
          <w:rFonts w:hint="eastAsia"/>
        </w:rPr>
        <w:t>：</w:t>
      </w:r>
      <w:r>
        <w:t>当</w:t>
      </w:r>
      <w:r>
        <w:rPr>
          <w:rFonts w:hint="eastAsia"/>
        </w:rPr>
        <w:t>区</w:t>
      </w:r>
      <w:r>
        <w:t>域在</w:t>
      </w:r>
      <w:r>
        <w:rPr>
          <w:rFonts w:hint="eastAsia"/>
        </w:rPr>
        <w:t>当前</w:t>
      </w:r>
      <w:r>
        <w:t>时刻</w:t>
      </w:r>
      <w:r>
        <w:rPr>
          <w:rFonts w:hint="eastAsia"/>
        </w:rPr>
        <w:t>对APT阶段</w:t>
      </w:r>
      <w:r>
        <w:t>判断</w:t>
      </w:r>
      <w:r>
        <w:rPr>
          <w:rFonts w:hint="eastAsia"/>
        </w:rPr>
        <w:t>存在</w:t>
      </w:r>
      <w:r>
        <w:t>较高不确定性时，</w:t>
      </w:r>
      <w:r>
        <w:rPr>
          <w:rFonts w:hint="eastAsia"/>
        </w:rPr>
        <w:t>表明现有证据不足以支持</w:t>
      </w:r>
      <w:r>
        <w:t>触发高风险处置</w:t>
      </w:r>
      <w:r>
        <w:rPr>
          <w:rFonts w:hint="eastAsia"/>
        </w:rPr>
        <w:t>方案。此时，协作计划需</w:t>
      </w:r>
      <w:r>
        <w:t>限制该</w:t>
      </w:r>
      <w:r>
        <w:rPr>
          <w:rFonts w:hint="eastAsia"/>
        </w:rPr>
        <w:t>区</w:t>
      </w:r>
      <w:r>
        <w:t>域的强处置动作，并在</w:t>
      </w:r>
      <w:r>
        <w:rPr>
          <w:rFonts w:hint="eastAsia"/>
        </w:rPr>
        <w:t>后续</w:t>
      </w:r>
      <w:r>
        <w:t>执行</w:t>
      </w:r>
      <w:r>
        <w:rPr>
          <w:rFonts w:hint="eastAsia"/>
        </w:rPr>
        <w:t>处置方案</w:t>
      </w:r>
      <w:r>
        <w:t>前</w:t>
      </w:r>
      <w:r>
        <w:rPr>
          <w:rFonts w:hint="eastAsia"/>
        </w:rPr>
        <w:t>加入</w:t>
      </w:r>
      <w:r>
        <w:t>跨域核验</w:t>
      </w:r>
      <w:r>
        <w:rPr>
          <w:rFonts w:hint="eastAsia"/>
        </w:rPr>
        <w:t>步骤，以降低在证据不足时的误判风险。</w:t>
      </w:r>
    </w:p>
    <w:p w14:paraId="2EAF2F6E">
      <w:pPr>
        <w:ind w:firstLine="480" w:firstLineChars="200"/>
      </w:pPr>
      <w:r>
        <w:t>2）针对成本预算与高代价协作动作的核验规则：跨域协作通常具有较高的通信、核验及处置成本，因此协作计划需要在满足检测目标的同时，在成本预算下对高代价协作动作进行精简，同时避免对同一目标的重复处置。据此，本文以最大化协作动作优先级收益为目标，以总成本不超过预算为约束，优先保留与当前阶段判断更相关、优先级更高的协作动作，并对同一目标的重复动作加以去重约束，以保证协作计划在环境资源约束情况下仍具有可行性。</w:t>
      </w:r>
    </w:p>
    <w:p w14:paraId="2FA94783">
      <w:pPr>
        <w:ind w:firstLine="480" w:firstLineChars="200"/>
      </w:pPr>
      <w:r>
        <w:t>3）</w:t>
      </w:r>
      <w:r>
        <w:rPr>
          <w:rFonts w:hint="eastAsia"/>
        </w:rPr>
        <w:t>针对</w:t>
      </w:r>
      <w:r>
        <w:t>信息缺失</w:t>
      </w:r>
      <w:r>
        <w:rPr>
          <w:rFonts w:hint="eastAsia"/>
        </w:rPr>
        <w:t>及</w:t>
      </w:r>
      <w:r>
        <w:t>证据冲突的</w:t>
      </w:r>
      <w:r>
        <w:rPr>
          <w:rFonts w:hint="eastAsia"/>
        </w:rPr>
        <w:t>核验</w:t>
      </w:r>
      <w:r>
        <w:t>规则</w:t>
      </w:r>
      <w:r>
        <w:rPr>
          <w:rFonts w:hint="eastAsia"/>
        </w:rPr>
        <w:t>：该规则用于处理证据链不完整或协作证据不一致的情况。若关键信息缺失，则优先补充采集相关信息，并暂缓执行原计划中依赖该信息的部分；若协作计划与当前多区域检测证据存在明显的冲突时，则需首先核验证据，在补充关键信息及对齐证据后再进行后续处置。</w:t>
      </w:r>
    </w:p>
    <w:p w14:paraId="7BC5C3A3">
      <w:pPr>
        <w:ind w:firstLine="480" w:firstLineChars="200"/>
      </w:pPr>
      <w:r>
        <w:rPr>
          <w:rFonts w:hint="eastAsia"/>
        </w:rPr>
        <w:t>经过上述规则校验后，协作计划可进一步满足不确定性、成本预算及证据一致性的约束，从而形成与当前检测状态更相符的先验协作计划，并为后续多智能体协作决策提供了更可靠的先验计划约束。</w:t>
      </w:r>
    </w:p>
    <w:p w14:paraId="168E5C1C">
      <w:pPr>
        <w:pStyle w:val="3"/>
      </w:pPr>
      <w:bookmarkStart w:id="102" w:name="_Toc224238221"/>
      <w:bookmarkStart w:id="103" w:name="_Toc230086393"/>
      <w:r>
        <w:rPr>
          <w:rFonts w:hint="eastAsia"/>
        </w:rPr>
        <w:t>5.3 先验计划约束的多智能体协作决策</w:t>
      </w:r>
      <w:bookmarkEnd w:id="102"/>
      <w:bookmarkEnd w:id="103"/>
    </w:p>
    <w:p w14:paraId="5220C13A">
      <w:pPr>
        <w:spacing w:after="120"/>
        <w:ind w:firstLine="420"/>
      </w:pPr>
      <w:bookmarkStart w:id="104" w:name="_Toc224238222"/>
      <w:r>
        <w:rPr>
          <w:rFonts w:hint="eastAsia"/>
        </w:rPr>
        <w:t>在5.2节中，本文已实现了攻击阶段推理与先验协作计划生成，得到了包含协作目标、证据路由及动作约束等信息的先验计划。该计划能够作为跨区域协作的初步先验，但是其难以直接体现动态交互过程中的具体协同行为。考虑到新型电力系统跨区域APT检测中，各区域只能根据本域观测进行决策，而整体检测效果依赖于多区域协调配合，因此本文进一步将其建模为先验计划约束的多智能体协作决策问题，在局部观测摘要与先验协作计划的共同作用下建立协作策略，并在此基础上对协作策略进行学习与优化。</w:t>
      </w:r>
    </w:p>
    <w:p w14:paraId="6E706E58">
      <w:pPr>
        <w:pStyle w:val="4"/>
      </w:pPr>
      <w:bookmarkStart w:id="105" w:name="_Toc230086394"/>
      <w:r>
        <w:rPr>
          <w:rFonts w:hint="eastAsia"/>
        </w:rPr>
        <w:t>5.3.1 先验计划约束的多智能体协作策略</w:t>
      </w:r>
      <w:bookmarkEnd w:id="104"/>
      <w:r>
        <w:rPr>
          <w:rFonts w:hint="eastAsia"/>
        </w:rPr>
        <w:t>建模</w:t>
      </w:r>
      <w:bookmarkEnd w:id="105"/>
    </w:p>
    <w:p w14:paraId="1D92013B">
      <w:pPr>
        <w:spacing w:line="400" w:lineRule="exact"/>
        <w:ind w:firstLine="482" w:firstLineChars="200"/>
        <w:rPr>
          <w:rFonts w:eastAsia="宋体" w:cs="Times New Roman"/>
          <w:b/>
          <w:bCs/>
        </w:rPr>
      </w:pPr>
      <w:r>
        <w:rPr>
          <w:rFonts w:hint="eastAsia" w:eastAsia="宋体" w:cs="Times New Roman"/>
          <w:b/>
          <w:bCs/>
        </w:rPr>
        <w:t>（1）先验计划约束的局部协作策略</w:t>
      </w:r>
    </w:p>
    <w:p w14:paraId="0545EE95">
      <w:pPr>
        <w:spacing w:line="400" w:lineRule="exact"/>
        <w:ind w:firstLine="480" w:firstLineChars="200"/>
        <w:rPr>
          <w:rFonts w:eastAsia="宋体" w:cs="Times New Roman"/>
        </w:rPr>
      </w:pPr>
      <w:r>
        <w:rPr>
          <w:rFonts w:hint="eastAsia" w:eastAsia="宋体" w:cs="Times New Roman"/>
        </w:rPr>
        <w:t>为使得协作层生成的先验计划能够作用于决策过程，本节将跨区域APT协作检测定义为先验计划约束的多智能体部分可观测序列决策问题。设系统包含</w:t>
      </w:r>
      <w:r>
        <w:rPr>
          <w:rFonts w:eastAsia="宋体" w:cs="Times New Roman"/>
          <w:position w:val="-6"/>
        </w:rPr>
        <w:object>
          <v:shape id="_x0000_i1367" o:spt="75" type="#_x0000_t75" style="height:13.8pt;width:13.8pt;" o:ole="t" filled="f" o:preferrelative="t" stroked="f" coordsize="21600,21600">
            <v:path/>
            <v:fill on="f" focussize="0,0"/>
            <v:stroke on="f" joinstyle="miter"/>
            <v:imagedata r:id="rId666" o:title=""/>
            <o:lock v:ext="edit" aspectratio="t"/>
            <w10:wrap type="none"/>
            <w10:anchorlock/>
          </v:shape>
          <o:OLEObject Type="Embed" ProgID="Equation.DSMT4" ShapeID="_x0000_i1367" DrawAspect="Content" ObjectID="_1468076067" r:id="rId665">
            <o:LockedField>false</o:LockedField>
          </o:OLEObject>
        </w:object>
      </w:r>
      <w:r>
        <w:rPr>
          <w:rFonts w:hint="eastAsia" w:eastAsia="宋体" w:cs="Times New Roman"/>
        </w:rPr>
        <w:t>个区域智能体，区域</w:t>
      </w:r>
      <w:r>
        <w:rPr>
          <w:rFonts w:eastAsia="宋体" w:cs="Times New Roman"/>
          <w:position w:val="-6"/>
        </w:rPr>
        <w:object>
          <v:shape id="_x0000_i1368" o:spt="75" type="#_x0000_t75" style="height:13.25pt;width:6.35pt;" o:ole="t" filled="f" o:preferrelative="t" stroked="f" coordsize="21600,21600">
            <v:path/>
            <v:fill on="f" focussize="0,0"/>
            <v:stroke on="f" joinstyle="miter"/>
            <v:imagedata r:id="rId668" o:title=""/>
            <o:lock v:ext="edit" aspectratio="t"/>
            <w10:wrap type="none"/>
            <w10:anchorlock/>
          </v:shape>
          <o:OLEObject Type="Embed" ProgID="Equation.DSMT4" ShapeID="_x0000_i1368" DrawAspect="Content" ObjectID="_1468076068" r:id="rId667">
            <o:LockedField>false</o:LockedField>
          </o:OLEObject>
        </w:object>
      </w:r>
      <w:r>
        <w:rPr>
          <w:rFonts w:hint="eastAsia" w:eastAsia="宋体" w:cs="Times New Roman"/>
        </w:rPr>
        <w:t>在时刻</w:t>
      </w:r>
      <w:r>
        <w:rPr>
          <w:rFonts w:eastAsia="宋体" w:cs="Times New Roman"/>
          <w:position w:val="-6"/>
        </w:rPr>
        <w:object>
          <v:shape id="_x0000_i1369" o:spt="75" type="#_x0000_t75" style="height:12.4pt;width:6.35pt;" o:ole="t" filled="f" o:preferrelative="t" stroked="f" coordsize="21600,21600">
            <v:path/>
            <v:fill on="f" focussize="0,0"/>
            <v:stroke on="f" joinstyle="miter"/>
            <v:imagedata r:id="rId613" o:title=""/>
            <o:lock v:ext="edit" aspectratio="t"/>
            <w10:wrap type="none"/>
            <w10:anchorlock/>
          </v:shape>
          <o:OLEObject Type="Embed" ProgID="Equation.DSMT4" ShapeID="_x0000_i1369" DrawAspect="Content" ObjectID="_1468076069" r:id="rId669">
            <o:LockedField>false</o:LockedField>
          </o:OLEObject>
        </w:object>
      </w:r>
      <w:r>
        <w:rPr>
          <w:rFonts w:hint="eastAsia" w:eastAsia="宋体" w:cs="Times New Roman"/>
        </w:rPr>
        <w:t>的局部观测摘要记为</w:t>
      </w:r>
      <w:r>
        <w:rPr>
          <w:rFonts w:eastAsia="宋体" w:cs="Times New Roman"/>
          <w:position w:val="-12"/>
        </w:rPr>
        <w:object>
          <v:shape id="_x0000_i1370" o:spt="75" type="#_x0000_t75" style="height:19pt;width:12.4pt;" o:ole="t" filled="f" o:preferrelative="t" stroked="f" coordsize="21600,21600">
            <v:path/>
            <v:fill on="f" focussize="0,0"/>
            <v:stroke on="f" joinstyle="miter"/>
            <v:imagedata r:id="rId671" o:title=""/>
            <o:lock v:ext="edit" aspectratio="t"/>
            <w10:wrap type="none"/>
            <w10:anchorlock/>
          </v:shape>
          <o:OLEObject Type="Embed" ProgID="Equation.DSMT4" ShapeID="_x0000_i1370" DrawAspect="Content" ObjectID="_1468076070" r:id="rId670">
            <o:LockedField>false</o:LockedField>
          </o:OLEObject>
        </w:object>
      </w:r>
      <w:r>
        <w:rPr>
          <w:rFonts w:eastAsia="宋体" w:cs="Times New Roman"/>
        </w:rPr>
        <w:t>，</w:t>
      </w:r>
      <w:r>
        <w:rPr>
          <w:rFonts w:hint="eastAsia" w:eastAsia="宋体" w:cs="Times New Roman"/>
        </w:rPr>
        <w:t>5.2</w:t>
      </w:r>
      <w:r>
        <w:rPr>
          <w:rFonts w:eastAsia="宋体" w:cs="Times New Roman"/>
        </w:rPr>
        <w:t>节</w:t>
      </w:r>
      <w:r>
        <w:rPr>
          <w:rFonts w:hint="eastAsia" w:eastAsia="宋体" w:cs="Times New Roman"/>
        </w:rPr>
        <w:t>中生成的先验协作计划记为</w:t>
      </w:r>
      <w:r>
        <w:rPr>
          <w:rFonts w:eastAsia="宋体" w:cs="Times New Roman"/>
          <w:position w:val="-6"/>
        </w:rPr>
        <w:object>
          <v:shape id="_x0000_i1371" o:spt="75" type="#_x0000_t75" style="height:16.4pt;width:12.4pt;" o:ole="t" filled="f" o:preferrelative="t" stroked="f" coordsize="21600,21600">
            <v:path/>
            <v:fill on="f" focussize="0,0"/>
            <v:stroke on="f" joinstyle="miter"/>
            <v:imagedata r:id="rId673" o:title=""/>
            <o:lock v:ext="edit" aspectratio="t"/>
            <w10:wrap type="none"/>
            <w10:anchorlock/>
          </v:shape>
          <o:OLEObject Type="Embed" ProgID="Equation.DSMT4" ShapeID="_x0000_i1371" DrawAspect="Content" ObjectID="_1468076071" r:id="rId672">
            <o:LockedField>false</o:LockedField>
          </o:OLEObject>
        </w:object>
      </w:r>
      <w:r>
        <w:rPr>
          <w:rFonts w:hint="eastAsia" w:eastAsia="宋体" w:cs="Times New Roman"/>
        </w:rPr>
        <w:t>。区域</w:t>
      </w:r>
      <w:r>
        <w:rPr>
          <w:rFonts w:eastAsia="宋体" w:cs="Times New Roman"/>
          <w:position w:val="-6"/>
        </w:rPr>
        <w:object>
          <v:shape id="_x0000_i1372" o:spt="75" type="#_x0000_t75" style="height:13.25pt;width:6.35pt;" o:ole="t" filled="f" o:preferrelative="t" stroked="f" coordsize="21600,21600">
            <v:path/>
            <v:fill on="f" focussize="0,0"/>
            <v:stroke on="f" joinstyle="miter"/>
            <v:imagedata r:id="rId668" o:title=""/>
            <o:lock v:ext="edit" aspectratio="t"/>
            <w10:wrap type="none"/>
            <w10:anchorlock/>
          </v:shape>
          <o:OLEObject Type="Embed" ProgID="Equation.DSMT4" ShapeID="_x0000_i1372" DrawAspect="Content" ObjectID="_1468076072" r:id="rId674">
            <o:LockedField>false</o:LockedField>
          </o:OLEObject>
        </w:object>
      </w:r>
      <w:r>
        <w:rPr>
          <w:rFonts w:eastAsia="宋体" w:cs="Times New Roman"/>
        </w:rPr>
        <w:t>的协作策略可表示为式</w:t>
      </w:r>
      <w:r>
        <w:rPr>
          <w:rFonts w:hint="eastAsia" w:eastAsia="宋体" w:cs="Times New Roman"/>
        </w:rPr>
        <w:t>(5.9)。</w:t>
      </w:r>
    </w:p>
    <w:p w14:paraId="66DE7BCE">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373" o:spt="75" type="#_x0000_t75" style="height:19pt;width:76.05pt;" o:ole="t" filled="f" o:preferrelative="t" stroked="f" coordsize="21600,21600">
            <v:path/>
            <v:fill on="f" focussize="0,0"/>
            <v:stroke on="f" joinstyle="miter"/>
            <v:imagedata r:id="rId676" o:title=""/>
            <o:lock v:ext="edit" aspectratio="t"/>
            <w10:wrap type="none"/>
            <w10:anchorlock/>
          </v:shape>
          <o:OLEObject Type="Embed" ProgID="Equation.DSMT4" ShapeID="_x0000_i1373" DrawAspect="Content" ObjectID="_1468076073" r:id="rId675">
            <o:LockedField>false</o:LockedField>
          </o:OLEObject>
        </w:object>
      </w:r>
      <w:r>
        <w:rPr>
          <w:rFonts w:eastAsia="宋体" w:cs="Times New Roman"/>
        </w:rPr>
        <w:tab/>
      </w:r>
      <w:r>
        <w:rPr>
          <w:rFonts w:hint="eastAsia" w:eastAsia="宋体" w:cs="Times New Roman"/>
        </w:rPr>
        <w:t>(5.9)</w:t>
      </w:r>
    </w:p>
    <w:p w14:paraId="00407817">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374" o:spt="75" type="#_x0000_t75" style="height:18.15pt;width:12.4pt;" o:ole="t" filled="f" o:preferrelative="t" stroked="f" coordsize="21600,21600">
            <v:path/>
            <v:fill on="f" focussize="0,0"/>
            <v:stroke on="f" joinstyle="miter"/>
            <v:imagedata r:id="rId678" o:title=""/>
            <o:lock v:ext="edit" aspectratio="t"/>
            <w10:wrap type="none"/>
            <w10:anchorlock/>
          </v:shape>
          <o:OLEObject Type="Embed" ProgID="Equation.DSMT4" ShapeID="_x0000_i1374" DrawAspect="Content" ObjectID="_1468076074" r:id="rId677">
            <o:LockedField>false</o:LockedField>
          </o:OLEObject>
        </w:object>
      </w:r>
      <w:r>
        <w:rPr>
          <w:rFonts w:hint="eastAsia" w:eastAsia="宋体" w:cs="Times New Roman"/>
        </w:rPr>
        <w:t>为区域</w:t>
      </w:r>
      <w:r>
        <w:rPr>
          <w:rFonts w:eastAsia="宋体" w:cs="Times New Roman"/>
          <w:position w:val="-6"/>
        </w:rPr>
        <w:object>
          <v:shape id="_x0000_i1375" o:spt="75" type="#_x0000_t75" style="height:13.25pt;width:6.35pt;" o:ole="t" filled="f" o:preferrelative="t" stroked="f" coordsize="21600,21600">
            <v:path/>
            <v:fill on="f" focussize="0,0"/>
            <v:stroke on="f" joinstyle="miter"/>
            <v:imagedata r:id="rId668" o:title=""/>
            <o:lock v:ext="edit" aspectratio="t"/>
            <w10:wrap type="none"/>
            <w10:anchorlock/>
          </v:shape>
          <o:OLEObject Type="Embed" ProgID="Equation.DSMT4" ShapeID="_x0000_i1375" DrawAspect="Content" ObjectID="_1468076075" r:id="rId679">
            <o:LockedField>false</o:LockedField>
          </o:OLEObject>
        </w:object>
      </w:r>
      <w:r>
        <w:rPr>
          <w:rFonts w:eastAsia="宋体" w:cs="Times New Roman"/>
        </w:rPr>
        <w:t>的策略参数，</w:t>
      </w:r>
      <w:r>
        <w:rPr>
          <w:rFonts w:hint="eastAsia" w:eastAsia="宋体" w:cs="Times New Roman"/>
          <w:position w:val="-12"/>
        </w:rPr>
        <w:object>
          <v:shape id="_x0000_i1376" o:spt="75" type="#_x0000_t75" style="height:19pt;width:13.25pt;" o:ole="t" filled="f" o:preferrelative="t" stroked="f" coordsize="21600,21600">
            <v:path/>
            <v:fill on="f" focussize="0,0"/>
            <v:stroke on="f" joinstyle="miter"/>
            <v:imagedata r:id="rId681" o:title=""/>
            <o:lock v:ext="edit" aspectratio="t"/>
            <w10:wrap type="none"/>
            <w10:anchorlock/>
          </v:shape>
          <o:OLEObject Type="Embed" ProgID="Equation.DSMT4" ShapeID="_x0000_i1376" DrawAspect="Content" ObjectID="_1468076076" r:id="rId680">
            <o:LockedField>false</o:LockedField>
          </o:OLEObject>
        </w:object>
      </w:r>
      <w:r>
        <w:rPr>
          <w:rFonts w:hint="eastAsia" w:eastAsia="宋体" w:cs="Times New Roman"/>
        </w:rPr>
        <w:t>为该区域在时刻</w:t>
      </w:r>
      <w:r>
        <w:rPr>
          <w:rFonts w:eastAsia="宋体" w:cs="Times New Roman"/>
          <w:position w:val="-6"/>
        </w:rPr>
        <w:object>
          <v:shape id="_x0000_i1377" o:spt="75" type="#_x0000_t75" style="height:12.4pt;width:6.35pt;" o:ole="t" filled="f" o:preferrelative="t" stroked="f" coordsize="21600,21600">
            <v:path/>
            <v:fill on="f" focussize="0,0"/>
            <v:stroke on="f" joinstyle="miter"/>
            <v:imagedata r:id="rId613" o:title=""/>
            <o:lock v:ext="edit" aspectratio="t"/>
            <w10:wrap type="none"/>
            <w10:anchorlock/>
          </v:shape>
          <o:OLEObject Type="Embed" ProgID="Equation.DSMT4" ShapeID="_x0000_i1377" DrawAspect="Content" ObjectID="_1468076077" r:id="rId682">
            <o:LockedField>false</o:LockedField>
          </o:OLEObject>
        </w:object>
      </w:r>
      <w:r>
        <w:rPr>
          <w:rFonts w:eastAsia="宋体" w:cs="Times New Roman"/>
        </w:rPr>
        <w:t>选择的协作动作。该式表明，区域决策并不是只依赖本区域的</w:t>
      </w:r>
      <w:r>
        <w:rPr>
          <w:rFonts w:hint="eastAsia" w:eastAsia="宋体" w:cs="Times New Roman"/>
        </w:rPr>
        <w:t>当前检测状态，而是在局部观测摘要与先验协作计划的共同作用下完成。由此，</w:t>
      </w:r>
      <w:r>
        <w:rPr>
          <w:rFonts w:eastAsia="宋体" w:cs="Times New Roman"/>
        </w:rPr>
        <w:t>先验协作计划中的协作目标、证据路由及动作约束等信息被引入局部协作策略表示</w:t>
      </w:r>
      <w:r>
        <w:rPr>
          <w:rFonts w:hint="eastAsia" w:eastAsia="宋体" w:cs="Times New Roman"/>
        </w:rPr>
        <w:t>，使区域智能体在选择动作时能够兼顾本区域的检测需求与整体协作计划。</w:t>
      </w:r>
    </w:p>
    <w:p w14:paraId="444BAD32">
      <w:pPr>
        <w:spacing w:line="400" w:lineRule="exact"/>
        <w:ind w:firstLine="480" w:firstLineChars="200"/>
        <w:rPr>
          <w:rFonts w:eastAsia="宋体" w:cs="Times New Roman"/>
        </w:rPr>
      </w:pPr>
      <w:r>
        <w:rPr>
          <w:rFonts w:hint="eastAsia" w:eastAsia="宋体" w:cs="Times New Roman"/>
        </w:rPr>
        <w:t>5.2</w:t>
      </w:r>
      <w:r>
        <w:rPr>
          <w:rFonts w:eastAsia="宋体" w:cs="Times New Roman"/>
        </w:rPr>
        <w:t>节生成的</w:t>
      </w:r>
      <w:r>
        <w:rPr>
          <w:rFonts w:hint="eastAsia" w:eastAsia="宋体" w:cs="Times New Roman"/>
        </w:rPr>
        <w:t>先验协作计划不仅作为参与局部决策的策略先验输入，还需进一步约束候选动作的可行范围。</w:t>
      </w:r>
      <w:r>
        <w:rPr>
          <w:rFonts w:eastAsia="宋体" w:cs="Times New Roman"/>
        </w:rPr>
        <w:t>若上述策略与先验计划中的协作方向、证据路由或动作约束不一致，则相应动作在当前协作阶段下不可执行。</w:t>
      </w:r>
      <w:r>
        <w:rPr>
          <w:rFonts w:hint="eastAsia" w:eastAsia="宋体" w:cs="Times New Roman"/>
        </w:rPr>
        <w:t>基于此，本节根据先验协作计划构造动作掩码函数</w:t>
      </w:r>
      <w:r>
        <w:rPr>
          <w:rFonts w:eastAsia="宋体" w:cs="Times New Roman"/>
          <w:position w:val="-12"/>
        </w:rPr>
        <w:object>
          <v:shape id="_x0000_i1378" o:spt="75" type="#_x0000_t75" style="height:19pt;width:51pt;" o:ole="t" filled="f" o:preferrelative="t" stroked="f" coordsize="21600,21600">
            <v:path/>
            <v:fill on="f" focussize="0,0"/>
            <v:stroke on="f" joinstyle="miter"/>
            <v:imagedata r:id="rId684" o:title=""/>
            <o:lock v:ext="edit" aspectratio="t"/>
            <w10:wrap type="none"/>
            <w10:anchorlock/>
          </v:shape>
          <o:OLEObject Type="Embed" ProgID="Equation.DSMT4" ShapeID="_x0000_i1378" DrawAspect="Content" ObjectID="_1468076078" r:id="rId683">
            <o:LockedField>false</o:LockedField>
          </o:OLEObject>
        </w:object>
      </w:r>
      <w:r>
        <w:rPr>
          <w:rFonts w:eastAsia="宋体" w:cs="Times New Roman"/>
        </w:rPr>
        <w:t>，并对局部</w:t>
      </w:r>
      <w:r>
        <w:rPr>
          <w:rFonts w:hint="eastAsia" w:eastAsia="宋体" w:cs="Times New Roman"/>
        </w:rPr>
        <w:t>协作</w:t>
      </w:r>
      <w:r>
        <w:rPr>
          <w:rFonts w:eastAsia="宋体" w:cs="Times New Roman"/>
        </w:rPr>
        <w:t>策略</w:t>
      </w:r>
      <w:r>
        <w:rPr>
          <w:rFonts w:hint="eastAsia" w:eastAsia="宋体" w:cs="Times New Roman"/>
        </w:rPr>
        <w:t>进行筛选与归一化，从而得到区域</w:t>
      </w:r>
      <w:r>
        <w:rPr>
          <w:rFonts w:eastAsia="宋体" w:cs="Times New Roman"/>
          <w:position w:val="-6"/>
        </w:rPr>
        <w:object>
          <v:shape id="_x0000_i1379" o:spt="75" type="#_x0000_t75" style="height:13.25pt;width:6.35pt;" o:ole="t" filled="f" o:preferrelative="t" stroked="f" coordsize="21600,21600">
            <v:path/>
            <v:fill on="f" focussize="0,0"/>
            <v:stroke on="f" joinstyle="miter"/>
            <v:imagedata r:id="rId668" o:title=""/>
            <o:lock v:ext="edit" aspectratio="t"/>
            <w10:wrap type="none"/>
            <w10:anchorlock/>
          </v:shape>
          <o:OLEObject Type="Embed" ProgID="Equation.DSMT4" ShapeID="_x0000_i1379" DrawAspect="Content" ObjectID="_1468076079" r:id="rId685">
            <o:LockedField>false</o:LockedField>
          </o:OLEObject>
        </w:object>
      </w:r>
      <w:r>
        <w:rPr>
          <w:rFonts w:eastAsia="宋体" w:cs="Times New Roman"/>
        </w:rPr>
        <w:t>的实际执行策略</w:t>
      </w:r>
      <w:r>
        <w:rPr>
          <w:rFonts w:hint="eastAsia" w:eastAsia="宋体" w:cs="Times New Roman"/>
        </w:rPr>
        <w:t>如式(5.10)。</w:t>
      </w:r>
    </w:p>
    <w:p w14:paraId="264042C4">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50"/>
        </w:rPr>
        <w:object>
          <v:shape id="_x0000_i1380" o:spt="75" type="#_x0000_t75" style="height:46.1pt;width:190.65pt;" o:ole="t" filled="f" o:preferrelative="t" stroked="f" coordsize="21600,21600">
            <v:path/>
            <v:fill on="f" focussize="0,0"/>
            <v:stroke on="f" joinstyle="miter"/>
            <v:imagedata r:id="rId687" o:title=""/>
            <o:lock v:ext="edit" aspectratio="t"/>
            <w10:wrap type="none"/>
            <w10:anchorlock/>
          </v:shape>
          <o:OLEObject Type="Embed" ProgID="Equation.DSMT4" ShapeID="_x0000_i1380" DrawAspect="Content" ObjectID="_1468076080" r:id="rId686">
            <o:LockedField>false</o:LockedField>
          </o:OLEObject>
        </w:object>
      </w:r>
      <w:r>
        <w:rPr>
          <w:rFonts w:eastAsia="宋体" w:cs="Times New Roman"/>
        </w:rPr>
        <w:tab/>
      </w:r>
      <w:r>
        <w:rPr>
          <w:rFonts w:hint="eastAsia" w:eastAsia="宋体" w:cs="Times New Roman"/>
        </w:rPr>
        <w:t>(5.10)</w:t>
      </w:r>
    </w:p>
    <w:p w14:paraId="0A4E14C6">
      <w:pPr>
        <w:spacing w:line="400" w:lineRule="exact"/>
        <w:rPr>
          <w:rFonts w:eastAsia="宋体" w:cs="Times New Roman"/>
        </w:rPr>
      </w:pPr>
      <w:r>
        <w:rPr>
          <w:rFonts w:eastAsia="宋体" w:cs="Times New Roman"/>
        </w:rPr>
        <w:t>式</w:t>
      </w:r>
      <w:r>
        <w:rPr>
          <w:rFonts w:hint="eastAsia" w:eastAsia="宋体" w:cs="Times New Roman"/>
        </w:rPr>
        <w:t>中，</w:t>
      </w:r>
      <w:r>
        <w:rPr>
          <w:rFonts w:hint="eastAsia" w:eastAsia="宋体" w:cs="Times New Roman"/>
          <w:position w:val="-12"/>
        </w:rPr>
        <w:object>
          <v:shape id="_x0000_i1381" o:spt="75" type="#_x0000_t75" style="height:18.15pt;width:25.05pt;" o:ole="t" filled="f" o:preferrelative="t" stroked="f" coordsize="21600,21600">
            <v:path/>
            <v:fill on="f" focussize="0,0"/>
            <v:stroke on="f" joinstyle="miter"/>
            <v:imagedata r:id="rId689" o:title=""/>
            <o:lock v:ext="edit" aspectratio="t"/>
            <w10:wrap type="none"/>
            <w10:anchorlock/>
          </v:shape>
          <o:OLEObject Type="Embed" ProgID="Equation.DSMT4" ShapeID="_x0000_i1381" DrawAspect="Content" ObjectID="_1468076081" r:id="rId688">
            <o:LockedField>false</o:LockedField>
          </o:OLEObject>
        </w:object>
      </w:r>
      <w:r>
        <w:rPr>
          <w:rFonts w:hint="eastAsia" w:eastAsia="宋体" w:cs="Times New Roman"/>
        </w:rPr>
        <w:t>表示区域</w:t>
      </w:r>
      <w:r>
        <w:rPr>
          <w:rFonts w:eastAsia="宋体" w:cs="Times New Roman"/>
          <w:position w:val="-6"/>
        </w:rPr>
        <w:object>
          <v:shape id="_x0000_i1382" o:spt="75" type="#_x0000_t75" style="height:13.25pt;width:6.35pt;" o:ole="t" filled="f" o:preferrelative="t" stroked="f" coordsize="21600,21600">
            <v:path/>
            <v:fill on="f" focussize="0,0"/>
            <v:stroke on="f" joinstyle="miter"/>
            <v:imagedata r:id="rId668" o:title=""/>
            <o:lock v:ext="edit" aspectratio="t"/>
            <w10:wrap type="none"/>
            <w10:anchorlock/>
          </v:shape>
          <o:OLEObject Type="Embed" ProgID="Equation.DSMT4" ShapeID="_x0000_i1382" DrawAspect="Content" ObjectID="_1468076082" r:id="rId690">
            <o:LockedField>false</o:LockedField>
          </o:OLEObject>
        </w:object>
      </w:r>
      <w:r>
        <w:rPr>
          <w:rFonts w:eastAsia="宋体" w:cs="Times New Roman"/>
        </w:rPr>
        <w:t>的实际执行策略</w:t>
      </w:r>
      <w:r>
        <w:rPr>
          <w:rFonts w:hint="eastAsia" w:eastAsia="宋体" w:cs="Times New Roman"/>
        </w:rPr>
        <w:t>；</w:t>
      </w:r>
      <w:r>
        <w:rPr>
          <w:rFonts w:eastAsia="宋体" w:cs="Times New Roman"/>
          <w:position w:val="-12"/>
        </w:rPr>
        <w:object>
          <v:shape id="_x0000_i1383" o:spt="75" type="#_x0000_t75" style="height:18.15pt;width:13.25pt;" o:ole="t" filled="f" o:preferrelative="t" stroked="f" coordsize="21600,21600">
            <v:path/>
            <v:fill on="f" focussize="0,0"/>
            <v:stroke on="f" joinstyle="miter"/>
            <v:imagedata r:id="rId692" o:title=""/>
            <o:lock v:ext="edit" aspectratio="t"/>
            <w10:wrap type="none"/>
            <w10:anchorlock/>
          </v:shape>
          <o:OLEObject Type="Embed" ProgID="Equation.DSMT4" ShapeID="_x0000_i1383" DrawAspect="Content" ObjectID="_1468076083" r:id="rId691">
            <o:LockedField>false</o:LockedField>
          </o:OLEObject>
        </w:object>
      </w:r>
      <w:r>
        <w:rPr>
          <w:rFonts w:eastAsia="宋体" w:cs="Times New Roman"/>
        </w:rPr>
        <w:t>表示</w:t>
      </w:r>
      <w:r>
        <w:rPr>
          <w:rFonts w:hint="eastAsia" w:eastAsia="宋体" w:cs="Times New Roman"/>
        </w:rPr>
        <w:t>区域</w:t>
      </w:r>
      <w:r>
        <w:rPr>
          <w:rFonts w:eastAsia="宋体" w:cs="Times New Roman"/>
          <w:position w:val="-6"/>
        </w:rPr>
        <w:object>
          <v:shape id="_x0000_i1384" o:spt="75" type="#_x0000_t75" style="height:13.25pt;width:6.35pt;" o:ole="t" filled="f" o:preferrelative="t" stroked="f" coordsize="21600,21600">
            <v:path/>
            <v:fill on="f" focussize="0,0"/>
            <v:stroke on="f" joinstyle="miter"/>
            <v:imagedata r:id="rId668" o:title=""/>
            <o:lock v:ext="edit" aspectratio="t"/>
            <w10:wrap type="none"/>
            <w10:anchorlock/>
          </v:shape>
          <o:OLEObject Type="Embed" ProgID="Equation.DSMT4" ShapeID="_x0000_i1384" DrawAspect="Content" ObjectID="_1468076084" r:id="rId693">
            <o:LockedField>false</o:LockedField>
          </o:OLEObject>
        </w:object>
      </w:r>
      <w:r>
        <w:rPr>
          <w:rFonts w:eastAsia="宋体" w:cs="Times New Roman"/>
        </w:rPr>
        <w:t>的</w:t>
      </w:r>
      <w:r>
        <w:rPr>
          <w:rFonts w:hint="eastAsia" w:eastAsia="宋体" w:cs="Times New Roman"/>
        </w:rPr>
        <w:t>协作动作空间；</w:t>
      </w:r>
      <w:r>
        <w:rPr>
          <w:rFonts w:eastAsia="宋体" w:cs="Times New Roman"/>
          <w:position w:val="-12"/>
        </w:rPr>
        <w:object>
          <v:shape id="_x0000_i1385" o:spt="75" type="#_x0000_t75" style="height:19pt;width:51pt;" o:ole="t" filled="f" o:preferrelative="t" stroked="f" coordsize="21600,21600">
            <v:path/>
            <v:fill on="f" focussize="0,0"/>
            <v:stroke on="f" joinstyle="miter"/>
            <v:imagedata r:id="rId684" o:title=""/>
            <o:lock v:ext="edit" aspectratio="t"/>
            <w10:wrap type="none"/>
            <w10:anchorlock/>
          </v:shape>
          <o:OLEObject Type="Embed" ProgID="Equation.DSMT4" ShapeID="_x0000_i1385" DrawAspect="Content" ObjectID="_1468076085" r:id="rId694">
            <o:LockedField>false</o:LockedField>
          </o:OLEObject>
        </w:object>
      </w:r>
      <w:r>
        <w:rPr>
          <w:rFonts w:eastAsia="宋体" w:cs="Times New Roman"/>
        </w:rPr>
        <w:t>为动作掩码函数，当候选动作满足当前计划约束时</w:t>
      </w:r>
      <w:r>
        <w:rPr>
          <w:rFonts w:hint="eastAsia" w:eastAsia="宋体" w:cs="Times New Roman"/>
        </w:rPr>
        <w:t>取1</w:t>
      </w:r>
      <w:r>
        <w:rPr>
          <w:rFonts w:eastAsia="宋体" w:cs="Times New Roman"/>
        </w:rPr>
        <w:t>，否则取</w:t>
      </w:r>
      <w:r>
        <w:rPr>
          <w:rFonts w:hint="eastAsia" w:eastAsia="宋体" w:cs="Times New Roman"/>
        </w:rPr>
        <w:t>0。</w:t>
      </w:r>
    </w:p>
    <w:p w14:paraId="78C73DAD">
      <w:pPr>
        <w:spacing w:line="400" w:lineRule="exact"/>
        <w:ind w:firstLine="482" w:firstLineChars="200"/>
        <w:rPr>
          <w:rFonts w:eastAsia="宋体" w:cs="Times New Roman"/>
          <w:b/>
          <w:bCs/>
        </w:rPr>
      </w:pPr>
      <w:r>
        <w:rPr>
          <w:rFonts w:hint="eastAsia" w:eastAsia="宋体" w:cs="Times New Roman"/>
          <w:b/>
          <w:bCs/>
        </w:rPr>
        <w:t>（2）联合策略表示</w:t>
      </w:r>
    </w:p>
    <w:p w14:paraId="0E961EAC">
      <w:pPr>
        <w:spacing w:line="400" w:lineRule="exact"/>
        <w:ind w:firstLine="480" w:firstLineChars="200"/>
        <w:rPr>
          <w:rFonts w:eastAsia="宋体" w:cs="Times New Roman"/>
        </w:rPr>
      </w:pPr>
      <w:r>
        <w:rPr>
          <w:rFonts w:hint="eastAsia" w:eastAsia="宋体" w:cs="Times New Roman"/>
        </w:rPr>
        <w:t>跨区域协作检测结果由多区域联合行为共同决定，只依赖单一区域的局部协作策略不足以体现整体协作过程。若直接对联合动作空间建立整体策略，策略表示与复杂度都会随着区域数的增加而迅速上升，且难以在执行阶段实现“各区域仅依赖本域观测决策”。因此，本节采用因子化形式表示多区域联合策略，这能够</w:t>
      </w:r>
      <w:r>
        <w:rPr>
          <w:rFonts w:eastAsia="宋体" w:cs="Times New Roman"/>
        </w:rPr>
        <w:t>在保证分散执行的同时，</w:t>
      </w:r>
      <w:r>
        <w:rPr>
          <w:rFonts w:hint="eastAsia" w:eastAsia="宋体" w:cs="Times New Roman"/>
        </w:rPr>
        <w:t>降低</w:t>
      </w:r>
      <w:r>
        <w:rPr>
          <w:rFonts w:eastAsia="宋体" w:cs="Times New Roman"/>
        </w:rPr>
        <w:t>联合</w:t>
      </w:r>
      <w:r>
        <w:rPr>
          <w:rFonts w:hint="eastAsia" w:eastAsia="宋体" w:cs="Times New Roman"/>
        </w:rPr>
        <w:t>策略</w:t>
      </w:r>
      <w:r>
        <w:rPr>
          <w:rFonts w:eastAsia="宋体" w:cs="Times New Roman"/>
        </w:rPr>
        <w:t>的</w:t>
      </w:r>
      <w:r>
        <w:rPr>
          <w:rFonts w:hint="eastAsia" w:eastAsia="宋体" w:cs="Times New Roman"/>
        </w:rPr>
        <w:t>表示复杂度。记时刻</w:t>
      </w:r>
      <w:r>
        <w:rPr>
          <w:rFonts w:eastAsia="宋体" w:cs="Times New Roman"/>
          <w:position w:val="-6"/>
        </w:rPr>
        <w:object>
          <v:shape id="_x0000_i1386" o:spt="75" type="#_x0000_t75" style="height:12.4pt;width:6.35pt;" o:ole="t" filled="f" o:preferrelative="t" stroked="f" coordsize="21600,21600">
            <v:path/>
            <v:fill on="f" focussize="0,0"/>
            <v:stroke on="f" joinstyle="miter"/>
            <v:imagedata r:id="rId613" o:title=""/>
            <o:lock v:ext="edit" aspectratio="t"/>
            <w10:wrap type="none"/>
            <w10:anchorlock/>
          </v:shape>
          <o:OLEObject Type="Embed" ProgID="Equation.DSMT4" ShapeID="_x0000_i1386" DrawAspect="Content" ObjectID="_1468076086" r:id="rId695">
            <o:LockedField>false</o:LockedField>
          </o:OLEObject>
        </w:object>
      </w:r>
      <w:r>
        <w:rPr>
          <w:rFonts w:eastAsia="宋体" w:cs="Times New Roman"/>
        </w:rPr>
        <w:t>的联合动作</w:t>
      </w:r>
      <w:r>
        <w:rPr>
          <w:rFonts w:hint="eastAsia" w:eastAsia="宋体" w:cs="Times New Roman"/>
        </w:rPr>
        <w:t>为</w:t>
      </w:r>
      <w:r>
        <w:rPr>
          <w:rFonts w:eastAsia="宋体" w:cs="Times New Roman"/>
          <w:position w:val="-12"/>
        </w:rPr>
        <w:object>
          <v:shape id="_x0000_i1387" o:spt="75" type="#_x0000_t75" style="height:19pt;width:74pt;" o:ole="t" filled="f" o:preferrelative="t" stroked="f" coordsize="21600,21600">
            <v:path/>
            <v:fill on="f" focussize="0,0"/>
            <v:stroke on="f" joinstyle="miter"/>
            <v:imagedata r:id="rId697" o:title=""/>
            <o:lock v:ext="edit" aspectratio="t"/>
            <w10:wrap type="none"/>
            <w10:anchorlock/>
          </v:shape>
          <o:OLEObject Type="Embed" ProgID="Equation.DSMT4" ShapeID="_x0000_i1387" DrawAspect="Content" ObjectID="_1468076087" r:id="rId696">
            <o:LockedField>false</o:LockedField>
          </o:OLEObject>
        </w:object>
      </w:r>
      <w:r>
        <w:rPr>
          <w:rFonts w:eastAsia="宋体" w:cs="Times New Roman"/>
        </w:rPr>
        <w:t>，联合观测为</w:t>
      </w:r>
      <w:r>
        <w:rPr>
          <w:rFonts w:eastAsia="宋体" w:cs="Times New Roman"/>
          <w:position w:val="-12"/>
        </w:rPr>
        <w:object>
          <v:shape id="_x0000_i1388" o:spt="75" type="#_x0000_t75" style="height:19pt;width:72.85pt;" o:ole="t" filled="f" o:preferrelative="t" stroked="f" coordsize="21600,21600">
            <v:path/>
            <v:fill on="f" focussize="0,0"/>
            <v:stroke on="f" joinstyle="miter"/>
            <v:imagedata r:id="rId699" o:title=""/>
            <o:lock v:ext="edit" aspectratio="t"/>
            <w10:wrap type="none"/>
            <w10:anchorlock/>
          </v:shape>
          <o:OLEObject Type="Embed" ProgID="Equation.DSMT4" ShapeID="_x0000_i1388" DrawAspect="Content" ObjectID="_1468076088" r:id="rId698">
            <o:LockedField>false</o:LockedField>
          </o:OLEObject>
        </w:object>
      </w:r>
      <w:r>
        <w:rPr>
          <w:rFonts w:eastAsia="宋体" w:cs="Times New Roman"/>
        </w:rPr>
        <w:t>，则联合策略可表示为式</w:t>
      </w:r>
      <w:r>
        <w:rPr>
          <w:rFonts w:hint="eastAsia" w:eastAsia="宋体" w:cs="Times New Roman"/>
        </w:rPr>
        <w:t>(5.11)。</w:t>
      </w:r>
    </w:p>
    <w:p w14:paraId="302353AC">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389" o:spt="75" type="#_x0000_t75" style="height:34pt;width:160.7pt;" o:ole="t" filled="f" o:preferrelative="t" stroked="f" coordsize="21600,21600">
            <v:path/>
            <v:fill on="f" focussize="0,0"/>
            <v:stroke on="f" joinstyle="miter"/>
            <v:imagedata r:id="rId701" o:title=""/>
            <o:lock v:ext="edit" aspectratio="t"/>
            <w10:wrap type="none"/>
            <w10:anchorlock/>
          </v:shape>
          <o:OLEObject Type="Embed" ProgID="Equation.DSMT4" ShapeID="_x0000_i1389" DrawAspect="Content" ObjectID="_1468076089" r:id="rId700">
            <o:LockedField>false</o:LockedField>
          </o:OLEObject>
        </w:object>
      </w:r>
      <w:r>
        <w:rPr>
          <w:rFonts w:eastAsia="宋体" w:cs="Times New Roman"/>
        </w:rPr>
        <w:tab/>
      </w:r>
      <w:r>
        <w:rPr>
          <w:rFonts w:hint="eastAsia" w:eastAsia="宋体" w:cs="Times New Roman"/>
        </w:rPr>
        <w:t>(5.11)</w:t>
      </w:r>
    </w:p>
    <w:p w14:paraId="139E93E9">
      <w:pPr>
        <w:spacing w:line="400" w:lineRule="exact"/>
        <w:ind w:firstLine="480" w:firstLineChars="200"/>
        <w:rPr>
          <w:rFonts w:eastAsia="宋体" w:cs="Times New Roman"/>
        </w:rPr>
      </w:pPr>
      <w:r>
        <w:rPr>
          <w:rFonts w:hint="eastAsia" w:eastAsia="宋体" w:cs="Times New Roman"/>
        </w:rPr>
        <w:t>式(5.11)表示多区域协作行为由各区域局部策略共同构成。这种表示方式既保证了分散执行的可部署性，也为后续在集中训练-</w:t>
      </w:r>
      <w:r>
        <w:rPr>
          <w:rFonts w:eastAsia="宋体" w:cs="Times New Roman"/>
        </w:rPr>
        <w:t>分散执行的框架下进行联合优化提供了策略基础。</w:t>
      </w:r>
    </w:p>
    <w:p w14:paraId="1C7EA269">
      <w:pPr>
        <w:pStyle w:val="4"/>
      </w:pPr>
      <w:bookmarkStart w:id="106" w:name="_Toc224238224"/>
      <w:bookmarkStart w:id="107" w:name="_Toc230086395"/>
      <w:r>
        <w:rPr>
          <w:rFonts w:hint="eastAsia"/>
        </w:rPr>
        <w:t>5.3.2 基于MAPPO的协作策略</w:t>
      </w:r>
      <w:bookmarkEnd w:id="106"/>
      <w:r>
        <w:rPr>
          <w:rFonts w:hint="eastAsia"/>
        </w:rPr>
        <w:t>学习</w:t>
      </w:r>
      <w:bookmarkEnd w:id="107"/>
    </w:p>
    <w:p w14:paraId="66EFDCEA">
      <w:pPr>
        <w:ind w:firstLine="480" w:firstLineChars="200"/>
      </w:pPr>
      <w:r>
        <w:rPr>
          <w:rFonts w:hint="eastAsia"/>
        </w:rPr>
        <w:t>在完成先验计划约束的局部协作策略建模及联合策略表示后，还需进一步学习在当前先验计划约束下应采取的具体协作行为。考虑到跨区域协作检测涉及多智能体交互，各区域策略同时更新易导致训练不稳定；且在实际部署中，各区域通常只能根据本区域的局部观测进行决策。因此，本节采用集中训练、分散执行框架下的多智能体近端策略优化（MAPPO）方法对协作策略进行学习。在该过程中，协作策略学习以联合奖励与期望折扣回报为目标，并结合价值集中式函数评估整体协作效果；随后由MAPPO对各区域策略参数进行联合迭代更新，从而学习得到满足先验计划约束的协作策略。</w:t>
      </w:r>
    </w:p>
    <w:p w14:paraId="414B7B75">
      <w:pPr>
        <w:spacing w:line="400" w:lineRule="exact"/>
        <w:ind w:firstLine="482" w:firstLineChars="200"/>
        <w:rPr>
          <w:rFonts w:eastAsia="宋体" w:cs="Times New Roman"/>
          <w:b/>
          <w:bCs/>
        </w:rPr>
      </w:pPr>
      <w:r>
        <w:rPr>
          <w:rFonts w:hint="eastAsia" w:eastAsia="宋体" w:cs="Times New Roman"/>
          <w:b/>
          <w:bCs/>
        </w:rPr>
        <w:t>（1）联合奖励与学习目标</w:t>
      </w:r>
    </w:p>
    <w:p w14:paraId="07CC01FD">
      <w:pPr>
        <w:spacing w:line="400" w:lineRule="exact"/>
        <w:ind w:firstLine="480" w:firstLineChars="200"/>
        <w:rPr>
          <w:rFonts w:eastAsia="宋体" w:cs="Times New Roman"/>
        </w:rPr>
      </w:pPr>
      <w:r>
        <w:rPr>
          <w:rFonts w:hint="eastAsia" w:eastAsia="宋体" w:cs="Times New Roman"/>
        </w:rPr>
        <w:t>多区域协作的检测效果不只取决于单区域的局部反馈，还与跨域核验、证据共享等整体行为有较大关系。仅根据局部即时反馈进行学习，易使策略偏向局部收益，而难以体现跨区域协作产生的整体增益。因此，本节构造联合奖励作为协作策略学习的统一反馈信号，以反映协作收益、误判风险、资源消耗及响应及时性间的综合关系，其表示如式(5.12)。</w:t>
      </w:r>
    </w:p>
    <w:p w14:paraId="3874E927">
      <w:pPr>
        <w:tabs>
          <w:tab w:val="center" w:pos="4160"/>
          <w:tab w:val="right" w:pos="8300"/>
        </w:tabs>
        <w:spacing w:line="400" w:lineRule="exact"/>
        <w:ind w:firstLine="480" w:firstLineChars="200"/>
        <w:rPr>
          <w:rFonts w:eastAsia="宋体" w:cs="Times New Roman"/>
        </w:rPr>
      </w:pPr>
      <w:r>
        <w:rPr>
          <w:rFonts w:eastAsia="宋体" w:cs="Times New Roman"/>
        </w:rPr>
        <w:tab/>
      </w:r>
      <w:r>
        <w:rPr>
          <w:rFonts w:eastAsia="宋体" w:cs="Times New Roman"/>
          <w:position w:val="-12"/>
        </w:rPr>
        <w:object>
          <v:shape id="_x0000_i1390" o:spt="75" type="#_x0000_t75" style="height:19pt;width:162.15pt;" o:ole="t" filled="f" o:preferrelative="t" stroked="f" coordsize="21600,21600">
            <v:path/>
            <v:fill on="f" focussize="0,0"/>
            <v:stroke on="f" joinstyle="miter"/>
            <v:imagedata r:id="rId703" o:title=""/>
            <o:lock v:ext="edit" aspectratio="t"/>
            <w10:wrap type="none"/>
            <w10:anchorlock/>
          </v:shape>
          <o:OLEObject Type="Embed" ProgID="Equation.DSMT4" ShapeID="_x0000_i1390" DrawAspect="Content" ObjectID="_1468076090" r:id="rId702">
            <o:LockedField>false</o:LockedField>
          </o:OLEObject>
        </w:object>
      </w:r>
      <w:r>
        <w:rPr>
          <w:rFonts w:eastAsia="宋体" w:cs="Times New Roman"/>
        </w:rPr>
        <w:tab/>
      </w:r>
      <w:r>
        <w:rPr>
          <w:rFonts w:hint="eastAsia" w:eastAsia="宋体" w:cs="Times New Roman"/>
        </w:rPr>
        <w:t>(5.12)</w:t>
      </w:r>
    </w:p>
    <w:p w14:paraId="78215761">
      <w:pPr>
        <w:spacing w:line="400" w:lineRule="exact"/>
        <w:rPr>
          <w:rFonts w:eastAsia="宋体" w:cs="Times New Roman"/>
        </w:rPr>
      </w:pPr>
      <w:r>
        <w:rPr>
          <w:rFonts w:hint="eastAsia" w:eastAsia="宋体" w:cs="Times New Roman"/>
        </w:rPr>
        <w:t>式中，</w:t>
      </w:r>
      <w:r>
        <w:rPr>
          <w:rFonts w:eastAsia="宋体" w:cs="Times New Roman"/>
          <w:position w:val="-12"/>
        </w:rPr>
        <w:object>
          <v:shape id="_x0000_i1391" o:spt="75" type="#_x0000_t75" style="height:19pt;width:21.9pt;" o:ole="t" filled="f" o:preferrelative="t" stroked="f" coordsize="21600,21600">
            <v:path/>
            <v:fill on="f" focussize="0,0"/>
            <v:stroke on="f" joinstyle="miter"/>
            <v:imagedata r:id="rId705" o:title=""/>
            <o:lock v:ext="edit" aspectratio="t"/>
            <w10:wrap type="none"/>
            <w10:anchorlock/>
          </v:shape>
          <o:OLEObject Type="Embed" ProgID="Equation.DSMT4" ShapeID="_x0000_i1391" DrawAspect="Content" ObjectID="_1468076091" r:id="rId704">
            <o:LockedField>false</o:LockedField>
          </o:OLEObject>
        </w:object>
      </w:r>
      <w:r>
        <w:rPr>
          <w:rFonts w:hint="eastAsia" w:eastAsia="宋体" w:cs="Times New Roman"/>
        </w:rPr>
        <w:t>表示时刻</w:t>
      </w:r>
      <w:r>
        <w:rPr>
          <w:rFonts w:eastAsia="宋体" w:cs="Times New Roman"/>
          <w:position w:val="-6"/>
        </w:rPr>
        <w:object>
          <v:shape id="_x0000_i1392" o:spt="75" type="#_x0000_t75" style="height:12.4pt;width:6.35pt;" o:ole="t" filled="f" o:preferrelative="t" stroked="f" coordsize="21600,21600">
            <v:path/>
            <v:fill on="f" focussize="0,0"/>
            <v:stroke on="f" joinstyle="miter"/>
            <v:imagedata r:id="rId613" o:title=""/>
            <o:lock v:ext="edit" aspectratio="t"/>
            <w10:wrap type="none"/>
            <w10:anchorlock/>
          </v:shape>
          <o:OLEObject Type="Embed" ProgID="Equation.DSMT4" ShapeID="_x0000_i1392" DrawAspect="Content" ObjectID="_1468076092" r:id="rId706">
            <o:LockedField>false</o:LockedField>
          </o:OLEObject>
        </w:object>
      </w:r>
      <w:r>
        <w:rPr>
          <w:rFonts w:hint="eastAsia" w:eastAsia="宋体" w:cs="Times New Roman"/>
        </w:rPr>
        <w:t>由跨域核验、证据共享、联动处置等行为产生的有效增益或提前预警收益；</w:t>
      </w:r>
      <w:r>
        <w:rPr>
          <w:rFonts w:hint="eastAsia" w:eastAsia="宋体" w:cs="Times New Roman"/>
          <w:position w:val="-12"/>
        </w:rPr>
        <w:object>
          <v:shape id="_x0000_i1393" o:spt="75" type="#_x0000_t75" style="height:19pt;width:21pt;" o:ole="t" filled="f" o:preferrelative="t" stroked="f" coordsize="21600,21600">
            <v:path/>
            <v:fill on="f" focussize="0,0"/>
            <v:stroke on="f" joinstyle="miter"/>
            <v:imagedata r:id="rId708" o:title=""/>
            <o:lock v:ext="edit" aspectratio="t"/>
            <w10:wrap type="none"/>
            <w10:anchorlock/>
          </v:shape>
          <o:OLEObject Type="Embed" ProgID="Equation.DSMT4" ShapeID="_x0000_i1393" DrawAspect="Content" ObjectID="_1468076093" r:id="rId707">
            <o:LockedField>false</o:LockedField>
          </o:OLEObject>
        </w:object>
      </w:r>
      <w:r>
        <w:rPr>
          <w:rFonts w:hint="eastAsia" w:eastAsia="宋体" w:cs="Times New Roman"/>
        </w:rPr>
        <w:t>表示误报及不必要联动产生的负面影响；</w:t>
      </w:r>
      <w:r>
        <w:rPr>
          <w:rFonts w:hint="eastAsia" w:eastAsia="宋体" w:cs="Times New Roman"/>
          <w:position w:val="-12"/>
        </w:rPr>
        <w:object>
          <v:shape id="_x0000_i1394" o:spt="75" type="#_x0000_t75" style="height:19pt;width:22.2pt;" o:ole="t" filled="f" o:preferrelative="t" stroked="f" coordsize="21600,21600">
            <v:path/>
            <v:fill on="f" focussize="0,0"/>
            <v:stroke on="f" joinstyle="miter"/>
            <v:imagedata r:id="rId710" o:title=""/>
            <o:lock v:ext="edit" aspectratio="t"/>
            <w10:wrap type="none"/>
            <w10:anchorlock/>
          </v:shape>
          <o:OLEObject Type="Embed" ProgID="Equation.DSMT4" ShapeID="_x0000_i1394" DrawAspect="Content" ObjectID="_1468076094" r:id="rId709">
            <o:LockedField>false</o:LockedField>
          </o:OLEObject>
        </w:object>
      </w:r>
      <w:r>
        <w:rPr>
          <w:rFonts w:hint="eastAsia" w:eastAsia="宋体" w:cs="Times New Roman"/>
        </w:rPr>
        <w:t>表示协作过程中通信、核验或处置的成本；</w:t>
      </w:r>
      <w:r>
        <w:rPr>
          <w:rFonts w:hint="eastAsia" w:eastAsia="宋体" w:cs="Times New Roman"/>
          <w:position w:val="-12"/>
        </w:rPr>
        <w:object>
          <v:shape id="_x0000_i1395" o:spt="75" type="#_x0000_t75" style="height:19pt;width:25.05pt;" o:ole="t" filled="f" o:preferrelative="t" stroked="f" coordsize="21600,21600">
            <v:path/>
            <v:fill on="f" focussize="0,0"/>
            <v:stroke on="f" joinstyle="miter"/>
            <v:imagedata r:id="rId712" o:title=""/>
            <o:lock v:ext="edit" aspectratio="t"/>
            <w10:wrap type="none"/>
            <w10:anchorlock/>
          </v:shape>
          <o:OLEObject Type="Embed" ProgID="Equation.DSMT4" ShapeID="_x0000_i1395" DrawAspect="Content" ObjectID="_1468076095" r:id="rId711">
            <o:LockedField>false</o:LockedField>
          </o:OLEObject>
        </w:object>
      </w:r>
      <w:r>
        <w:rPr>
          <w:rFonts w:hint="eastAsia" w:eastAsia="宋体" w:cs="Times New Roman"/>
        </w:rPr>
        <w:t>表示延迟响应产生的惩罚；</w:t>
      </w:r>
      <w:r>
        <w:rPr>
          <w:rFonts w:hint="eastAsia" w:eastAsia="宋体" w:cs="Times New Roman"/>
          <w:position w:val="-10"/>
        </w:rPr>
        <w:object>
          <v:shape id="_x0000_i1396" o:spt="75" type="#_x0000_t75" style="height:16.4pt;width:43.2pt;" o:ole="t" filled="f" o:preferrelative="t" stroked="f" coordsize="21600,21600">
            <v:path/>
            <v:fill on="f" focussize="0,0"/>
            <v:stroke on="f" joinstyle="miter"/>
            <v:imagedata r:id="rId714" o:title=""/>
            <o:lock v:ext="edit" aspectratio="t"/>
            <w10:wrap type="none"/>
            <w10:anchorlock/>
          </v:shape>
          <o:OLEObject Type="Embed" ProgID="Equation.DSMT4" ShapeID="_x0000_i1396" DrawAspect="Content" ObjectID="_1468076096" r:id="rId713">
            <o:LockedField>false</o:LockedField>
          </o:OLEObject>
        </w:object>
      </w:r>
      <w:r>
        <w:rPr>
          <w:rFonts w:hint="eastAsia" w:eastAsia="宋体" w:cs="Times New Roman"/>
        </w:rPr>
        <w:t>为权重系数。这表明，本文所学习的协作策略并不只是为了局部检测增益，而是从整体协作效果考虑，对整体的收益、风险、代价及时效统一权衡。</w:t>
      </w:r>
    </w:p>
    <w:p w14:paraId="322218C1">
      <w:pPr>
        <w:spacing w:line="400" w:lineRule="exact"/>
        <w:ind w:firstLine="480" w:firstLineChars="200"/>
        <w:rPr>
          <w:rFonts w:eastAsia="宋体" w:cs="Times New Roman"/>
        </w:rPr>
      </w:pPr>
      <w:r>
        <w:rPr>
          <w:rFonts w:eastAsia="宋体" w:cs="Times New Roman"/>
        </w:rPr>
        <w:t>在</w:t>
      </w:r>
      <w:r>
        <w:rPr>
          <w:rFonts w:hint="eastAsia" w:eastAsia="宋体" w:cs="Times New Roman"/>
        </w:rPr>
        <w:t>联合奖励基础上，策略学习还需考虑整个决策过程中的长期累计效果，而不能仅根据当前时刻的效果反馈评判协作行为的收益。基于此，本节以期望折扣回报作为协作策略的学习目标，其定义如式(5.13)。</w:t>
      </w:r>
    </w:p>
    <w:p w14:paraId="611C68F8">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28"/>
        </w:rPr>
        <w:object>
          <v:shape id="_x0000_i1397" o:spt="75" type="#_x0000_t75" style="height:34pt;width:91.6pt;" o:ole="t" filled="f" o:preferrelative="t" stroked="f" coordsize="21600,21600">
            <v:path/>
            <v:fill on="f" focussize="0,0"/>
            <v:stroke on="f" joinstyle="miter"/>
            <v:imagedata r:id="rId716" o:title=""/>
            <o:lock v:ext="edit" aspectratio="t"/>
            <w10:wrap type="none"/>
            <w10:anchorlock/>
          </v:shape>
          <o:OLEObject Type="Embed" ProgID="Equation.DSMT4" ShapeID="_x0000_i1397" DrawAspect="Content" ObjectID="_1468076097" r:id="rId715">
            <o:LockedField>false</o:LockedField>
          </o:OLEObject>
        </w:object>
      </w:r>
      <w:r>
        <w:rPr>
          <w:rFonts w:eastAsia="宋体" w:cs="Times New Roman"/>
        </w:rPr>
        <w:tab/>
      </w:r>
      <w:r>
        <w:rPr>
          <w:rFonts w:hint="eastAsia" w:eastAsia="宋体" w:cs="Times New Roman"/>
        </w:rPr>
        <w:t>(5.13)</w:t>
      </w:r>
    </w:p>
    <w:p w14:paraId="19F3EF87">
      <w:pPr>
        <w:spacing w:line="400" w:lineRule="exact"/>
        <w:rPr>
          <w:rFonts w:eastAsia="宋体" w:cs="Times New Roman"/>
        </w:rPr>
      </w:pPr>
      <w:r>
        <w:rPr>
          <w:rFonts w:hint="eastAsia" w:eastAsia="宋体" w:cs="Times New Roman"/>
        </w:rPr>
        <w:t>式中，</w:t>
      </w:r>
      <w:r>
        <w:rPr>
          <w:rFonts w:hint="eastAsia" w:eastAsia="宋体" w:cs="Times New Roman"/>
          <w:position w:val="-10"/>
        </w:rPr>
        <w:object>
          <v:shape id="_x0000_i1398" o:spt="75" type="#_x0000_t75" style="height:16.4pt;width:26.8pt;" o:ole="t" filled="f" o:preferrelative="t" stroked="f" coordsize="21600,21600">
            <v:path/>
            <v:fill on="f" focussize="0,0"/>
            <v:stroke on="f" joinstyle="miter"/>
            <v:imagedata r:id="rId718" o:title=""/>
            <o:lock v:ext="edit" aspectratio="t"/>
            <w10:wrap type="none"/>
            <w10:anchorlock/>
          </v:shape>
          <o:OLEObject Type="Embed" ProgID="Equation.DSMT4" ShapeID="_x0000_i1398" DrawAspect="Content" ObjectID="_1468076098" r:id="rId717">
            <o:LockedField>false</o:LockedField>
          </o:OLEObject>
        </w:object>
      </w:r>
      <w:r>
        <w:rPr>
          <w:rFonts w:hint="eastAsia" w:eastAsia="宋体" w:cs="Times New Roman"/>
        </w:rPr>
        <w:t>表示联合策略</w:t>
      </w:r>
      <w:r>
        <w:rPr>
          <w:rFonts w:hint="eastAsia" w:eastAsia="宋体" w:cs="Times New Roman"/>
          <w:position w:val="-6"/>
        </w:rPr>
        <w:object>
          <v:shape id="_x0000_i1399" o:spt="75" type="#_x0000_t75" style="height:10.95pt;width:10.95pt;" o:ole="t" filled="f" o:preferrelative="t" stroked="f" coordsize="21600,21600">
            <v:path/>
            <v:fill on="f" focussize="0,0"/>
            <v:stroke on="f" joinstyle="miter"/>
            <v:imagedata r:id="rId720" o:title=""/>
            <o:lock v:ext="edit" aspectratio="t"/>
            <w10:wrap type="none"/>
            <w10:anchorlock/>
          </v:shape>
          <o:OLEObject Type="Embed" ProgID="Equation.DSMT4" ShapeID="_x0000_i1399" DrawAspect="Content" ObjectID="_1468076099" r:id="rId719">
            <o:LockedField>false</o:LockedField>
          </o:OLEObject>
        </w:object>
      </w:r>
      <w:r>
        <w:rPr>
          <w:rFonts w:hint="eastAsia" w:eastAsia="宋体" w:cs="Times New Roman"/>
        </w:rPr>
        <w:t>的优化目标；</w:t>
      </w:r>
      <w:r>
        <w:rPr>
          <w:rFonts w:hint="eastAsia" w:eastAsia="宋体" w:cs="Times New Roman"/>
          <w:position w:val="-6"/>
        </w:rPr>
        <w:object>
          <v:shape id="_x0000_i1400" o:spt="75" type="#_x0000_t75" style="height:13.8pt;width:10.95pt;" o:ole="t" filled="f" o:preferrelative="t" stroked="f" coordsize="21600,21600">
            <v:path/>
            <v:fill on="f" focussize="0,0"/>
            <v:stroke on="f" joinstyle="miter"/>
            <v:imagedata r:id="rId722" o:title=""/>
            <o:lock v:ext="edit" aspectratio="t"/>
            <w10:wrap type="none"/>
            <w10:anchorlock/>
          </v:shape>
          <o:OLEObject Type="Embed" ProgID="Equation.DSMT4" ShapeID="_x0000_i1400" DrawAspect="Content" ObjectID="_1468076100" r:id="rId721">
            <o:LockedField>false</o:LockedField>
          </o:OLEObject>
        </w:object>
      </w:r>
      <w:r>
        <w:rPr>
          <w:rFonts w:hint="eastAsia" w:eastAsia="宋体" w:cs="Times New Roman"/>
        </w:rPr>
        <w:t>表示折扣因子；</w:t>
      </w:r>
      <w:r>
        <w:rPr>
          <w:rFonts w:hint="eastAsia" w:eastAsia="宋体" w:cs="Times New Roman"/>
          <w:position w:val="-4"/>
        </w:rPr>
        <w:object>
          <v:shape id="_x0000_i1401" o:spt="75" type="#_x0000_t75" style="height:13.25pt;width:10.95pt;" o:ole="t" filled="f" o:preferrelative="t" stroked="f" coordsize="21600,21600">
            <v:path/>
            <v:fill on="f" focussize="0,0"/>
            <v:stroke on="f" joinstyle="miter"/>
            <v:imagedata r:id="rId724" o:title=""/>
            <o:lock v:ext="edit" aspectratio="t"/>
            <w10:wrap type="none"/>
            <w10:anchorlock/>
          </v:shape>
          <o:OLEObject Type="Embed" ProgID="Equation.DSMT4" ShapeID="_x0000_i1401" DrawAspect="Content" ObjectID="_1468076101" r:id="rId723">
            <o:LockedField>false</o:LockedField>
          </o:OLEObject>
        </w:object>
      </w:r>
      <w:r>
        <w:rPr>
          <w:rFonts w:hint="eastAsia" w:eastAsia="宋体" w:cs="Times New Roman"/>
        </w:rPr>
        <w:t>表示单轮协作决策过程的总步数。该式表明，协作策略的目标是在先验计划的约束下，使多区域协作检测在整个决策过程中获得更高的累计收益。</w:t>
      </w:r>
    </w:p>
    <w:p w14:paraId="3E38C411">
      <w:pPr>
        <w:spacing w:line="400" w:lineRule="exact"/>
        <w:ind w:firstLine="480" w:firstLineChars="200"/>
        <w:rPr>
          <w:rFonts w:eastAsia="宋体" w:cs="Times New Roman"/>
        </w:rPr>
      </w:pPr>
      <w:r>
        <w:rPr>
          <w:rFonts w:eastAsia="宋体" w:cs="Times New Roman"/>
        </w:rPr>
        <w:t>在</w:t>
      </w:r>
      <w:r>
        <w:rPr>
          <w:rFonts w:hint="eastAsia" w:eastAsia="宋体" w:cs="Times New Roman"/>
        </w:rPr>
        <w:t>集中训练阶段，本文采用集中式价值函数</w:t>
      </w:r>
      <w:r>
        <w:rPr>
          <w:rFonts w:eastAsia="宋体" w:cs="Times New Roman"/>
          <w:position w:val="-14"/>
        </w:rPr>
        <w:object>
          <v:shape id="_x0000_i1402" o:spt="75" type="#_x0000_t75" style="height:19.6pt;width:46.1pt;" o:ole="t" filled="f" o:preferrelative="t" stroked="f" coordsize="21600,21600">
            <v:path/>
            <v:fill on="f" focussize="0,0"/>
            <v:stroke on="f" joinstyle="miter"/>
            <v:imagedata r:id="rId726" o:title=""/>
            <o:lock v:ext="edit" aspectratio="t"/>
            <w10:wrap type="none"/>
            <w10:anchorlock/>
          </v:shape>
          <o:OLEObject Type="Embed" ProgID="Equation.DSMT4" ShapeID="_x0000_i1402" DrawAspect="Content" ObjectID="_1468076102" r:id="rId725">
            <o:LockedField>false</o:LockedField>
          </o:OLEObject>
        </w:object>
      </w:r>
      <w:r>
        <w:rPr>
          <w:rFonts w:eastAsia="宋体" w:cs="Times New Roman"/>
        </w:rPr>
        <w:t>对联合回报进行评估。其中，</w:t>
      </w:r>
      <w:r>
        <w:rPr>
          <w:rFonts w:hint="eastAsia" w:eastAsia="宋体" w:cs="Times New Roman"/>
          <w:position w:val="-6"/>
        </w:rPr>
        <w:object>
          <v:shape id="_x0000_i1403" o:spt="75" type="#_x0000_t75" style="height:16.4pt;width:12.4pt;" o:ole="t" filled="f" o:preferrelative="t" stroked="f" coordsize="21600,21600">
            <v:path/>
            <v:fill on="f" focussize="0,0"/>
            <v:stroke on="f" joinstyle="miter"/>
            <v:imagedata r:id="rId728" o:title=""/>
            <o:lock v:ext="edit" aspectratio="t"/>
            <w10:wrap type="none"/>
            <w10:anchorlock/>
          </v:shape>
          <o:OLEObject Type="Embed" ProgID="Equation.DSMT4" ShapeID="_x0000_i1403" DrawAspect="Content" ObjectID="_1468076103" r:id="rId727">
            <o:LockedField>false</o:LockedField>
          </o:OLEObject>
        </w:object>
      </w:r>
      <w:r>
        <w:rPr>
          <w:rFonts w:hint="eastAsia" w:eastAsia="宋体" w:cs="Times New Roman"/>
        </w:rPr>
        <w:t>表示训练阶段可获得的全局状态摘要，</w:t>
      </w:r>
      <w:r>
        <w:rPr>
          <w:rFonts w:hint="eastAsia" w:eastAsia="宋体" w:cs="Times New Roman"/>
          <w:position w:val="-6"/>
        </w:rPr>
        <w:object>
          <v:shape id="_x0000_i1404" o:spt="75" type="#_x0000_t75" style="height:16.4pt;width:12.4pt;" o:ole="t" filled="f" o:preferrelative="t" stroked="f" coordsize="21600,21600">
            <v:path/>
            <v:fill on="f" focussize="0,0"/>
            <v:stroke on="f" joinstyle="miter"/>
            <v:imagedata r:id="rId730" o:title=""/>
            <o:lock v:ext="edit" aspectratio="t"/>
            <w10:wrap type="none"/>
            <w10:anchorlock/>
          </v:shape>
          <o:OLEObject Type="Embed" ProgID="Equation.DSMT4" ShapeID="_x0000_i1404" DrawAspect="Content" ObjectID="_1468076104" r:id="rId729">
            <o:LockedField>false</o:LockedField>
          </o:OLEObject>
        </w:object>
      </w:r>
      <w:r>
        <w:rPr>
          <w:rFonts w:hint="eastAsia" w:eastAsia="宋体" w:cs="Times New Roman"/>
        </w:rPr>
        <w:t>表示当前时刻的先验协作计划信息，</w:t>
      </w:r>
      <w:r>
        <w:rPr>
          <w:rFonts w:hint="eastAsia" w:eastAsia="宋体" w:cs="Times New Roman"/>
          <w:position w:val="-10"/>
        </w:rPr>
        <w:object>
          <v:shape id="_x0000_i1405" o:spt="75" type="#_x0000_t75" style="height:16.4pt;width:10.1pt;" o:ole="t" filled="f" o:preferrelative="t" stroked="f" coordsize="21600,21600">
            <v:path/>
            <v:fill on="f" focussize="0,0"/>
            <v:stroke on="f" joinstyle="miter"/>
            <v:imagedata r:id="rId732" o:title=""/>
            <o:lock v:ext="edit" aspectratio="t"/>
            <w10:wrap type="none"/>
            <w10:anchorlock/>
          </v:shape>
          <o:OLEObject Type="Embed" ProgID="Equation.DSMT4" ShapeID="_x0000_i1405" DrawAspect="Content" ObjectID="_1468076105" r:id="rId731">
            <o:LockedField>false</o:LockedField>
          </o:OLEObject>
        </w:object>
      </w:r>
      <w:r>
        <w:rPr>
          <w:rFonts w:hint="eastAsia" w:eastAsia="宋体" w:cs="Times New Roman"/>
        </w:rPr>
        <w:t>为价值网络参数。该集中式价值函数能够基于训练阶段的全局信息评估当前协作状态的长期收益，并进一步构造优势项，为后续策略学习及优化提供了学习信号。</w:t>
      </w:r>
    </w:p>
    <w:p w14:paraId="1587A518">
      <w:pPr>
        <w:ind w:firstLine="482" w:firstLineChars="200"/>
        <w:rPr>
          <w:b/>
          <w:bCs/>
        </w:rPr>
      </w:pPr>
      <w:r>
        <w:rPr>
          <w:rFonts w:hint="eastAsia"/>
          <w:b/>
          <w:bCs/>
        </w:rPr>
        <w:t>（2）基于MAPPO的联合优化</w:t>
      </w:r>
    </w:p>
    <w:p w14:paraId="2244991E">
      <w:pPr>
        <w:spacing w:line="400" w:lineRule="exact"/>
        <w:ind w:firstLine="480" w:firstLineChars="200"/>
        <w:rPr>
          <w:rFonts w:eastAsia="宋体" w:cs="Times New Roman"/>
        </w:rPr>
      </w:pPr>
      <w:r>
        <w:rPr>
          <w:rFonts w:eastAsia="宋体" w:cs="Times New Roman"/>
        </w:rPr>
        <w:t>在</w:t>
      </w:r>
      <w:r>
        <w:rPr>
          <w:rFonts w:hint="eastAsia" w:eastAsia="宋体" w:cs="Times New Roman"/>
        </w:rPr>
        <w:t>定义联合奖励及学习目标后，本节通过对各区域策略参数的联合优化以实现协作策略学习及优化。考虑到多智能体场景下各区域策略同步更新易导致训练不稳定，以及执行阶段各区域只能根据本域局部观测进行决策的问题，本节采用集中训练、分散执行框架下的多智能体近端策略优化（MAPPO）方法，对各区域协作策略进行学习与联合优化。对区域</w:t>
      </w:r>
      <w:r>
        <w:rPr>
          <w:rFonts w:hint="eastAsia" w:eastAsia="宋体" w:cs="Times New Roman"/>
          <w:position w:val="-6"/>
        </w:rPr>
        <w:object>
          <v:shape id="_x0000_i1406" o:spt="75" type="#_x0000_t75" style="height:12.4pt;width:6.35pt;" o:ole="t" filled="f" o:preferrelative="t" stroked="f" coordsize="21600,21600">
            <v:path/>
            <v:fill on="f" focussize="0,0"/>
            <v:stroke on="f" joinstyle="miter"/>
            <v:imagedata r:id="rId734" o:title=""/>
            <o:lock v:ext="edit" aspectratio="t"/>
            <w10:wrap type="none"/>
            <w10:anchorlock/>
          </v:shape>
          <o:OLEObject Type="Embed" ProgID="Equation.DSMT4" ShapeID="_x0000_i1406" DrawAspect="Content" ObjectID="_1468076106" r:id="rId733">
            <o:LockedField>false</o:LockedField>
          </o:OLEObject>
        </w:object>
      </w:r>
      <w:r>
        <w:rPr>
          <w:rFonts w:hint="eastAsia" w:eastAsia="宋体" w:cs="Times New Roman"/>
        </w:rPr>
        <w:t>在时刻</w:t>
      </w:r>
      <w:r>
        <w:rPr>
          <w:rFonts w:hint="eastAsia" w:eastAsia="宋体" w:cs="Times New Roman"/>
          <w:position w:val="-6"/>
        </w:rPr>
        <w:object>
          <v:shape id="_x0000_i1407" o:spt="75" type="#_x0000_t75" style="height:12.4pt;width:6.35pt;" o:ole="t" filled="f" o:preferrelative="t" stroked="f" coordsize="21600,21600">
            <v:path/>
            <v:fill on="f" focussize="0,0"/>
            <v:stroke on="f" joinstyle="miter"/>
            <v:imagedata r:id="rId736" o:title=""/>
            <o:lock v:ext="edit" aspectratio="t"/>
            <w10:wrap type="none"/>
            <w10:anchorlock/>
          </v:shape>
          <o:OLEObject Type="Embed" ProgID="Equation.DSMT4" ShapeID="_x0000_i1407" DrawAspect="Content" ObjectID="_1468076107" r:id="rId735">
            <o:LockedField>false</o:LockedField>
          </o:OLEObject>
        </w:object>
      </w:r>
      <w:r>
        <w:rPr>
          <w:rFonts w:hint="eastAsia" w:eastAsia="宋体" w:cs="Times New Roman"/>
        </w:rPr>
        <w:t>的动作</w:t>
      </w:r>
      <w:r>
        <w:rPr>
          <w:rFonts w:hint="eastAsia" w:eastAsia="宋体" w:cs="Times New Roman"/>
          <w:position w:val="-12"/>
        </w:rPr>
        <w:object>
          <v:shape id="_x0000_i1408" o:spt="75" type="#_x0000_t75" style="height:19pt;width:13.25pt;" o:ole="t" filled="f" o:preferrelative="t" stroked="f" coordsize="21600,21600">
            <v:path/>
            <v:fill on="f" focussize="0,0"/>
            <v:stroke on="f" joinstyle="miter"/>
            <v:imagedata r:id="rId738" o:title=""/>
            <o:lock v:ext="edit" aspectratio="t"/>
            <w10:wrap type="none"/>
            <w10:anchorlock/>
          </v:shape>
          <o:OLEObject Type="Embed" ProgID="Equation.DSMT4" ShapeID="_x0000_i1408" DrawAspect="Content" ObjectID="_1468076108" r:id="rId737">
            <o:LockedField>false</o:LockedField>
          </o:OLEObject>
        </w:object>
      </w:r>
      <w:r>
        <w:rPr>
          <w:rFonts w:hint="eastAsia" w:eastAsia="宋体" w:cs="Times New Roman"/>
        </w:rPr>
        <w:t>，其重要性比率定义如式(5.14)。</w:t>
      </w:r>
    </w:p>
    <w:p w14:paraId="3CB2E56C">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30"/>
        </w:rPr>
        <w:object>
          <v:shape id="_x0000_i1409" o:spt="75" type="#_x0000_t75" style="height:36pt;width:97.05pt;" o:ole="t" filled="f" o:preferrelative="t" stroked="f" coordsize="21600,21600">
            <v:path/>
            <v:fill on="f" focussize="0,0"/>
            <v:stroke on="f" joinstyle="miter"/>
            <v:imagedata r:id="rId740" o:title=""/>
            <o:lock v:ext="edit" aspectratio="t"/>
            <w10:wrap type="none"/>
            <w10:anchorlock/>
          </v:shape>
          <o:OLEObject Type="Embed" ProgID="Equation.DSMT4" ShapeID="_x0000_i1409" DrawAspect="Content" ObjectID="_1468076109" r:id="rId739">
            <o:LockedField>false</o:LockedField>
          </o:OLEObject>
        </w:object>
      </w:r>
      <w:r>
        <w:rPr>
          <w:rFonts w:eastAsia="宋体" w:cs="Times New Roman"/>
        </w:rPr>
        <w:tab/>
      </w:r>
      <w:r>
        <w:rPr>
          <w:rFonts w:hint="eastAsia" w:eastAsia="宋体" w:cs="Times New Roman"/>
        </w:rPr>
        <w:t>(5.14)</w:t>
      </w:r>
    </w:p>
    <w:p w14:paraId="36182BB0">
      <w:pPr>
        <w:spacing w:line="400" w:lineRule="exact"/>
        <w:rPr>
          <w:rFonts w:eastAsia="宋体" w:cs="Times New Roman"/>
        </w:rPr>
      </w:pPr>
      <w:r>
        <w:rPr>
          <w:rFonts w:hint="eastAsia" w:eastAsia="宋体" w:cs="Times New Roman"/>
        </w:rPr>
        <w:t>式中，</w:t>
      </w:r>
      <w:r>
        <w:rPr>
          <w:rFonts w:hint="eastAsia" w:eastAsia="宋体" w:cs="Times New Roman"/>
          <w:position w:val="-12"/>
        </w:rPr>
        <w:object>
          <v:shape id="_x0000_i1410" o:spt="75" type="#_x0000_t75" style="height:19pt;width:21pt;" o:ole="t" filled="f" o:preferrelative="t" stroked="f" coordsize="21600,21600">
            <v:path/>
            <v:fill on="f" focussize="0,0"/>
            <v:stroke on="f" joinstyle="miter"/>
            <v:imagedata r:id="rId742" o:title=""/>
            <o:lock v:ext="edit" aspectratio="t"/>
            <w10:wrap type="none"/>
            <w10:anchorlock/>
          </v:shape>
          <o:OLEObject Type="Embed" ProgID="Equation.DSMT4" ShapeID="_x0000_i1410" DrawAspect="Content" ObjectID="_1468076110" r:id="rId741">
            <o:LockedField>false</o:LockedField>
          </o:OLEObject>
        </w:object>
      </w:r>
      <w:r>
        <w:rPr>
          <w:rFonts w:hint="eastAsia" w:eastAsia="宋体" w:cs="Times New Roman"/>
        </w:rPr>
        <w:t>表示更新前的旧策略；</w:t>
      </w:r>
      <w:r>
        <w:rPr>
          <w:rFonts w:hint="eastAsia" w:eastAsia="宋体" w:cs="Times New Roman"/>
          <w:position w:val="-12"/>
        </w:rPr>
        <w:object>
          <v:shape id="_x0000_i1411" o:spt="75" type="#_x0000_t75" style="height:19pt;width:13.8pt;" o:ole="t" filled="f" o:preferrelative="t" stroked="f" coordsize="21600,21600">
            <v:path/>
            <v:fill on="f" focussize="0,0"/>
            <v:stroke on="f" joinstyle="miter"/>
            <v:imagedata r:id="rId744" o:title=""/>
            <o:lock v:ext="edit" aspectratio="t"/>
            <w10:wrap type="none"/>
            <w10:anchorlock/>
          </v:shape>
          <o:OLEObject Type="Embed" ProgID="Equation.DSMT4" ShapeID="_x0000_i1411" DrawAspect="Content" ObjectID="_1468076111" r:id="rId743">
            <o:LockedField>false</o:LockedField>
          </o:OLEObject>
        </w:object>
      </w:r>
      <w:r>
        <w:rPr>
          <w:rFonts w:hint="eastAsia" w:eastAsia="宋体" w:cs="Times New Roman"/>
        </w:rPr>
        <w:t>表示当前策略相较于旧策略在已采样动作上的概率变化程度。该比率用于表现策略更新前后的偏移幅度，并为后续剪切优化提供了基础。</w:t>
      </w:r>
    </w:p>
    <w:p w14:paraId="5850D567">
      <w:pPr>
        <w:spacing w:line="400" w:lineRule="exact"/>
        <w:ind w:firstLine="480" w:firstLineChars="200"/>
        <w:rPr>
          <w:rFonts w:eastAsia="宋体" w:cs="Times New Roman"/>
        </w:rPr>
      </w:pPr>
      <w:r>
        <w:rPr>
          <w:rFonts w:eastAsia="宋体" w:cs="Times New Roman"/>
        </w:rPr>
        <w:t>在</w:t>
      </w:r>
      <w:r>
        <w:rPr>
          <w:rFonts w:hint="eastAsia" w:eastAsia="宋体" w:cs="Times New Roman"/>
        </w:rPr>
        <w:t>此基础上，本节采用剪切目标函数对区域策略参数进行优化。该目标函数通过使用优势估计提升了高收益动作的选择概率，且通过限制新旧策略间的差异以避免过大的更新幅度，从而提高了多智能体联合训练的稳定性。其表示如式(5.15)。</w:t>
      </w:r>
    </w:p>
    <w:p w14:paraId="3017C1C9">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2"/>
        </w:rPr>
        <w:object>
          <v:shape id="_x0000_i1412" o:spt="75" type="#_x0000_t75" style="height:19pt;width:202.75pt;" o:ole="t" filled="f" o:preferrelative="t" stroked="f" coordsize="21600,21600">
            <v:path/>
            <v:fill on="f" focussize="0,0"/>
            <v:stroke on="f" joinstyle="miter"/>
            <v:imagedata r:id="rId746" o:title=""/>
            <o:lock v:ext="edit" aspectratio="t"/>
            <w10:wrap type="none"/>
            <w10:anchorlock/>
          </v:shape>
          <o:OLEObject Type="Embed" ProgID="Equation.DSMT4" ShapeID="_x0000_i1412" DrawAspect="Content" ObjectID="_1468076112" r:id="rId745">
            <o:LockedField>false</o:LockedField>
          </o:OLEObject>
        </w:object>
      </w:r>
      <w:r>
        <w:rPr>
          <w:rFonts w:eastAsia="宋体" w:cs="Times New Roman"/>
        </w:rPr>
        <w:tab/>
      </w:r>
      <w:r>
        <w:rPr>
          <w:rFonts w:hint="eastAsia" w:eastAsia="宋体" w:cs="Times New Roman"/>
        </w:rPr>
        <w:t>(5.15)</w:t>
      </w:r>
    </w:p>
    <w:p w14:paraId="1A720F0B">
      <w:pPr>
        <w:spacing w:line="400" w:lineRule="exact"/>
        <w:rPr>
          <w:rFonts w:eastAsia="宋体" w:cs="Times New Roman"/>
        </w:rPr>
      </w:pPr>
      <w:r>
        <w:rPr>
          <w:rFonts w:hint="eastAsia" w:eastAsia="宋体" w:cs="Times New Roman"/>
        </w:rPr>
        <w:t>式中，</w:t>
      </w:r>
      <w:r>
        <w:rPr>
          <w:rFonts w:hint="eastAsia" w:eastAsia="宋体" w:cs="Times New Roman"/>
          <w:position w:val="-12"/>
        </w:rPr>
        <w:object>
          <v:shape id="_x0000_i1413" o:spt="75" type="#_x0000_t75" style="height:19pt;width:13.8pt;" o:ole="t" filled="f" o:preferrelative="t" stroked="f" coordsize="21600,21600">
            <v:path/>
            <v:fill on="f" focussize="0,0"/>
            <v:stroke on="f" joinstyle="miter"/>
            <v:imagedata r:id="rId748" o:title=""/>
            <o:lock v:ext="edit" aspectratio="t"/>
            <w10:wrap type="none"/>
            <w10:anchorlock/>
          </v:shape>
          <o:OLEObject Type="Embed" ProgID="Equation.DSMT4" ShapeID="_x0000_i1413" DrawAspect="Content" ObjectID="_1468076113" r:id="rId747">
            <o:LockedField>false</o:LockedField>
          </o:OLEObject>
        </w:object>
      </w:r>
      <w:r>
        <w:rPr>
          <w:rFonts w:hint="eastAsia" w:eastAsia="宋体" w:cs="Times New Roman"/>
        </w:rPr>
        <w:t>表示区域</w:t>
      </w:r>
      <w:r>
        <w:rPr>
          <w:rFonts w:hint="eastAsia" w:eastAsia="宋体" w:cs="Times New Roman"/>
          <w:position w:val="-6"/>
        </w:rPr>
        <w:object>
          <v:shape id="_x0000_i1414" o:spt="75" type="#_x0000_t75" style="height:12.4pt;width:6.35pt;" o:ole="t" filled="f" o:preferrelative="t" stroked="f" coordsize="21600,21600">
            <v:path/>
            <v:fill on="f" focussize="0,0"/>
            <v:stroke on="f" joinstyle="miter"/>
            <v:imagedata r:id="rId734" o:title=""/>
            <o:lock v:ext="edit" aspectratio="t"/>
            <w10:wrap type="none"/>
            <w10:anchorlock/>
          </v:shape>
          <o:OLEObject Type="Embed" ProgID="Equation.DSMT4" ShapeID="_x0000_i1414" DrawAspect="Content" ObjectID="_1468076114" r:id="rId749">
            <o:LockedField>false</o:LockedField>
          </o:OLEObject>
        </w:object>
      </w:r>
      <w:r>
        <w:rPr>
          <w:rFonts w:hint="eastAsia" w:eastAsia="宋体" w:cs="Times New Roman"/>
        </w:rPr>
        <w:t>在时刻</w:t>
      </w:r>
      <w:r>
        <w:rPr>
          <w:rFonts w:hint="eastAsia" w:eastAsia="宋体" w:cs="Times New Roman"/>
          <w:position w:val="-6"/>
        </w:rPr>
        <w:object>
          <v:shape id="_x0000_i1415" o:spt="75" type="#_x0000_t75" style="height:12.4pt;width:6.35pt;" o:ole="t" filled="f" o:preferrelative="t" stroked="f" coordsize="21600,21600">
            <v:path/>
            <v:fill on="f" focussize="0,0"/>
            <v:stroke on="f" joinstyle="miter"/>
            <v:imagedata r:id="rId736" o:title=""/>
            <o:lock v:ext="edit" aspectratio="t"/>
            <w10:wrap type="none"/>
            <w10:anchorlock/>
          </v:shape>
          <o:OLEObject Type="Embed" ProgID="Equation.DSMT4" ShapeID="_x0000_i1415" DrawAspect="Content" ObjectID="_1468076115" r:id="rId750">
            <o:LockedField>false</o:LockedField>
          </o:OLEObject>
        </w:object>
      </w:r>
      <w:r>
        <w:rPr>
          <w:rFonts w:hint="eastAsia" w:eastAsia="宋体" w:cs="Times New Roman"/>
        </w:rPr>
        <w:t>的优势估计；</w:t>
      </w:r>
      <w:r>
        <w:rPr>
          <w:rFonts w:hint="eastAsia" w:eastAsia="宋体" w:cs="Times New Roman"/>
          <w:position w:val="-6"/>
        </w:rPr>
        <w:object>
          <v:shape id="_x0000_i1416" o:spt="75" type="#_x0000_t75" style="height:10.95pt;width:10.1pt;" o:ole="t" filled="f" o:preferrelative="t" stroked="f" coordsize="21600,21600">
            <v:path/>
            <v:fill on="f" focussize="0,0"/>
            <v:stroke on="f" joinstyle="miter"/>
            <v:imagedata r:id="rId752" o:title=""/>
            <o:lock v:ext="edit" aspectratio="t"/>
            <w10:wrap type="none"/>
            <w10:anchorlock/>
          </v:shape>
          <o:OLEObject Type="Embed" ProgID="Equation.DSMT4" ShapeID="_x0000_i1416" DrawAspect="Content" ObjectID="_1468076116" r:id="rId751">
            <o:LockedField>false</o:LockedField>
          </o:OLEObject>
        </w:object>
      </w:r>
      <w:r>
        <w:rPr>
          <w:rFonts w:hint="eastAsia" w:eastAsia="宋体" w:cs="Times New Roman"/>
        </w:rPr>
        <w:t>表示剪切系数；</w:t>
      </w:r>
      <w:r>
        <w:rPr>
          <w:rFonts w:hint="eastAsia" w:eastAsia="宋体" w:cs="Times New Roman"/>
          <w:position w:val="-10"/>
        </w:rPr>
        <w:object>
          <v:shape id="_x0000_i1417" o:spt="75" type="#_x0000_t75" style="height:16.4pt;width:31.95pt;" o:ole="t" filled="f" o:preferrelative="t" stroked="f" coordsize="21600,21600">
            <v:path/>
            <v:fill on="f" focussize="0,0"/>
            <v:stroke on="f" joinstyle="miter"/>
            <v:imagedata r:id="rId754" o:title=""/>
            <o:lock v:ext="edit" aspectratio="t"/>
            <w10:wrap type="none"/>
            <w10:anchorlock/>
          </v:shape>
          <o:OLEObject Type="Embed" ProgID="Equation.DSMT4" ShapeID="_x0000_i1417" DrawAspect="Content" ObjectID="_1468076117" r:id="rId753">
            <o:LockedField>false</o:LockedField>
          </o:OLEObject>
        </w:object>
      </w:r>
      <w:r>
        <w:rPr>
          <w:rFonts w:hint="eastAsia" w:eastAsia="宋体" w:cs="Times New Roman"/>
        </w:rPr>
        <w:t>表示截断函数。</w:t>
      </w:r>
    </w:p>
    <w:p w14:paraId="48A0B074">
      <w:pPr>
        <w:spacing w:line="400" w:lineRule="exact"/>
        <w:ind w:firstLine="480" w:firstLineChars="200"/>
        <w:rPr>
          <w:rFonts w:eastAsia="宋体" w:cs="Times New Roman"/>
        </w:rPr>
      </w:pPr>
      <w:r>
        <w:rPr>
          <w:rFonts w:hint="eastAsia" w:eastAsia="宋体" w:cs="Times New Roman"/>
        </w:rPr>
        <w:t>由此，本文实现了在先验计划约束下的多智能体协作策略学习及优化。在训练阶段，通过集中式价值函数评估整体协作效果，并使用MAPPO对各区域协作策略参数进行学习及联合优化；在执行阶段，各区域根据本域局部观测摘要与先验协作计划独立完成动作选择，</w:t>
      </w:r>
      <w:r>
        <w:rPr>
          <w:rFonts w:eastAsia="宋体" w:cs="Times New Roman"/>
        </w:rPr>
        <w:t>从而具备跨区域协作的全局学习能力，并能够满足实际部署中的分散决策需求</w:t>
      </w:r>
      <w:r>
        <w:rPr>
          <w:rFonts w:hint="eastAsia" w:eastAsia="宋体" w:cs="Times New Roman"/>
        </w:rPr>
        <w:t>。</w:t>
      </w:r>
    </w:p>
    <w:p w14:paraId="4129615F">
      <w:pPr>
        <w:pStyle w:val="4"/>
      </w:pPr>
      <w:bookmarkStart w:id="108" w:name="_Toc224238225"/>
      <w:bookmarkStart w:id="109" w:name="_Toc230086396"/>
      <w:r>
        <w:rPr>
          <w:rFonts w:hint="eastAsia"/>
        </w:rPr>
        <w:t>5.3.3 区域模型增量更新</w:t>
      </w:r>
      <w:bookmarkEnd w:id="108"/>
      <w:bookmarkEnd w:id="109"/>
    </w:p>
    <w:p w14:paraId="6153F41D">
      <w:pPr>
        <w:spacing w:line="400" w:lineRule="exact"/>
        <w:ind w:firstLine="480" w:firstLineChars="200"/>
        <w:rPr>
          <w:rFonts w:eastAsia="宋体" w:cs="Times New Roman"/>
        </w:rPr>
      </w:pPr>
      <w:r>
        <w:rPr>
          <w:rFonts w:hint="eastAsia" w:eastAsia="宋体" w:cs="Times New Roman"/>
        </w:rPr>
        <w:t>跨区域协作过程中形成的核验结果、共享证据及联动处置反馈等信息，能够作为单区域检测模型的修正信息。若各区域仍只依赖第四章的原有模型进行检测，则其难以及时与协作行为适配，从而影响区域检测与协作决策共同作用的检测效果。考虑到若重新训练区域模型，则会产生较大的开销，因此本节采用增量更新的方式，根据协作后的反馈信息对区域模型进行优化。设区域</w:t>
      </w:r>
      <w:r>
        <w:rPr>
          <w:rFonts w:hint="eastAsia" w:eastAsia="宋体" w:cs="Times New Roman"/>
          <w:position w:val="-6"/>
        </w:rPr>
        <w:object>
          <v:shape id="_x0000_i1418" o:spt="75" type="#_x0000_t75" style="height:12.4pt;width:6.35pt;" o:ole="t" filled="f" o:preferrelative="t" stroked="f" coordsize="21600,21600">
            <v:path/>
            <v:fill on="f" focussize="0,0"/>
            <v:stroke on="f" joinstyle="miter"/>
            <v:imagedata r:id="rId734" o:title=""/>
            <o:lock v:ext="edit" aspectratio="t"/>
            <w10:wrap type="none"/>
            <w10:anchorlock/>
          </v:shape>
          <o:OLEObject Type="Embed" ProgID="Equation.DSMT4" ShapeID="_x0000_i1418" DrawAspect="Content" ObjectID="_1468076118" r:id="rId755">
            <o:LockedField>false</o:LockedField>
          </o:OLEObject>
        </w:object>
      </w:r>
      <w:r>
        <w:rPr>
          <w:rFonts w:hint="eastAsia" w:eastAsia="宋体" w:cs="Times New Roman"/>
        </w:rPr>
        <w:t>在时刻</w:t>
      </w:r>
      <w:r>
        <w:rPr>
          <w:rFonts w:hint="eastAsia" w:eastAsia="宋体" w:cs="Times New Roman"/>
          <w:position w:val="-6"/>
        </w:rPr>
        <w:object>
          <v:shape id="_x0000_i1419" o:spt="75" type="#_x0000_t75" style="height:12.4pt;width:6.35pt;" o:ole="t" filled="f" o:preferrelative="t" stroked="f" coordsize="21600,21600">
            <v:path/>
            <v:fill on="f" focussize="0,0"/>
            <v:stroke on="f" joinstyle="miter"/>
            <v:imagedata r:id="rId736" o:title=""/>
            <o:lock v:ext="edit" aspectratio="t"/>
            <w10:wrap type="none"/>
            <w10:anchorlock/>
          </v:shape>
          <o:OLEObject Type="Embed" ProgID="Equation.DSMT4" ShapeID="_x0000_i1419" DrawAspect="Content" ObjectID="_1468076119" r:id="rId756">
            <o:LockedField>false</o:LockedField>
          </o:OLEObject>
        </w:object>
      </w:r>
      <w:r>
        <w:rPr>
          <w:rFonts w:hint="eastAsia" w:eastAsia="宋体" w:cs="Times New Roman"/>
        </w:rPr>
        <w:t>的协作反馈集合为</w:t>
      </w:r>
      <w:r>
        <w:rPr>
          <w:rFonts w:hint="eastAsia" w:eastAsia="宋体" w:cs="Times New Roman"/>
          <w:position w:val="-12"/>
        </w:rPr>
        <w:object>
          <v:shape id="_x0000_i1420" o:spt="75" type="#_x0000_t75" style="height:19pt;width:15pt;" o:ole="t" filled="f" o:preferrelative="t" stroked="f" coordsize="21600,21600">
            <v:path/>
            <v:fill on="f" focussize="0,0"/>
            <v:stroke on="f" joinstyle="miter"/>
            <v:imagedata r:id="rId758" o:title=""/>
            <o:lock v:ext="edit" aspectratio="t"/>
            <w10:wrap type="none"/>
            <w10:anchorlock/>
          </v:shape>
          <o:OLEObject Type="Embed" ProgID="Equation.DSMT4" ShapeID="_x0000_i1420" DrawAspect="Content" ObjectID="_1468076120" r:id="rId757">
            <o:LockedField>false</o:LockedField>
          </o:OLEObject>
        </w:object>
      </w:r>
      <w:r>
        <w:rPr>
          <w:rFonts w:hint="eastAsia" w:eastAsia="宋体" w:cs="Times New Roman"/>
        </w:rPr>
        <w:t>，区域模型参数为</w:t>
      </w:r>
      <w:r>
        <w:rPr>
          <w:rFonts w:hint="eastAsia" w:eastAsia="宋体" w:cs="Times New Roman"/>
          <w:position w:val="-12"/>
        </w:rPr>
        <w:object>
          <v:shape id="_x0000_i1421" o:spt="75" type="#_x0000_t75" style="height:19pt;width:13.25pt;" o:ole="t" filled="f" o:preferrelative="t" stroked="f" coordsize="21600,21600">
            <v:path/>
            <v:fill on="f" focussize="0,0"/>
            <v:stroke on="f" joinstyle="miter"/>
            <v:imagedata r:id="rId760" o:title=""/>
            <o:lock v:ext="edit" aspectratio="t"/>
            <w10:wrap type="none"/>
            <w10:anchorlock/>
          </v:shape>
          <o:OLEObject Type="Embed" ProgID="Equation.DSMT4" ShapeID="_x0000_i1421" DrawAspect="Content" ObjectID="_1468076121" r:id="rId759">
            <o:LockedField>false</o:LockedField>
          </o:OLEObject>
        </w:object>
      </w:r>
      <w:r>
        <w:rPr>
          <w:rFonts w:hint="eastAsia" w:eastAsia="宋体" w:cs="Times New Roman"/>
        </w:rPr>
        <w:t>，则更新后的区域模型参数表示方式如式(5.16)。</w:t>
      </w:r>
    </w:p>
    <w:p w14:paraId="6CC8F95D">
      <w:pPr>
        <w:tabs>
          <w:tab w:val="center" w:pos="4160"/>
          <w:tab w:val="right" w:pos="8300"/>
        </w:tabs>
        <w:spacing w:line="240" w:lineRule="auto"/>
        <w:ind w:firstLine="480" w:firstLineChars="200"/>
        <w:rPr>
          <w:rFonts w:eastAsia="宋体" w:cs="Times New Roman"/>
        </w:rPr>
      </w:pPr>
      <w:r>
        <w:rPr>
          <w:rFonts w:eastAsia="宋体" w:cs="Times New Roman"/>
        </w:rPr>
        <w:tab/>
      </w:r>
      <w:r>
        <w:rPr>
          <w:rFonts w:eastAsia="宋体" w:cs="Times New Roman"/>
          <w:position w:val="-14"/>
        </w:rPr>
        <w:object>
          <v:shape id="_x0000_i1422" o:spt="75" type="#_x0000_t75" style="height:19.6pt;width:133.9pt;" o:ole="t" filled="f" o:preferrelative="t" stroked="f" coordsize="21600,21600">
            <v:path/>
            <v:fill on="f" focussize="0,0"/>
            <v:stroke on="f" joinstyle="miter"/>
            <v:imagedata r:id="rId762" o:title=""/>
            <o:lock v:ext="edit" aspectratio="t"/>
            <w10:wrap type="none"/>
            <w10:anchorlock/>
          </v:shape>
          <o:OLEObject Type="Embed" ProgID="Equation.DSMT4" ShapeID="_x0000_i1422" DrawAspect="Content" ObjectID="_1468076122" r:id="rId761">
            <o:LockedField>false</o:LockedField>
          </o:OLEObject>
        </w:object>
      </w:r>
      <w:r>
        <w:rPr>
          <w:rFonts w:eastAsia="宋体" w:cs="Times New Roman"/>
        </w:rPr>
        <w:tab/>
      </w:r>
      <w:r>
        <w:rPr>
          <w:rFonts w:hint="eastAsia" w:eastAsia="宋体" w:cs="Times New Roman"/>
        </w:rPr>
        <w:t>(5.16)</w:t>
      </w:r>
    </w:p>
    <w:p w14:paraId="6CF76C93">
      <w:pPr>
        <w:spacing w:line="400" w:lineRule="exact"/>
        <w:rPr>
          <w:rFonts w:eastAsia="宋体" w:cs="Times New Roman"/>
        </w:rPr>
      </w:pPr>
      <w:r>
        <w:rPr>
          <w:rFonts w:hint="eastAsia" w:eastAsia="宋体" w:cs="Times New Roman"/>
        </w:rPr>
        <w:t>式中，</w:t>
      </w:r>
      <w:r>
        <w:rPr>
          <w:rFonts w:hint="eastAsia" w:eastAsia="宋体" w:cs="Times New Roman"/>
          <w:position w:val="-10"/>
        </w:rPr>
        <w:object>
          <v:shape id="_x0000_i1423" o:spt="75" type="#_x0000_t75" style="height:13.25pt;width:12.4pt;" o:ole="t" filled="f" o:preferrelative="t" stroked="f" coordsize="21600,21600">
            <v:path/>
            <v:fill on="f" focussize="0,0"/>
            <v:stroke on="f" joinstyle="miter"/>
            <v:imagedata r:id="rId764" o:title=""/>
            <o:lock v:ext="edit" aspectratio="t"/>
            <w10:wrap type="none"/>
            <w10:anchorlock/>
          </v:shape>
          <o:OLEObject Type="Embed" ProgID="Equation.DSMT4" ShapeID="_x0000_i1423" DrawAspect="Content" ObjectID="_1468076123" r:id="rId763">
            <o:LockedField>false</o:LockedField>
          </o:OLEObject>
        </w:object>
      </w:r>
      <w:r>
        <w:rPr>
          <w:rFonts w:hint="eastAsia" w:eastAsia="宋体" w:cs="Times New Roman"/>
        </w:rPr>
        <w:t>表示学习率；</w:t>
      </w:r>
      <w:r>
        <w:rPr>
          <w:rFonts w:hint="eastAsia" w:eastAsia="宋体" w:cs="Times New Roman"/>
          <w:position w:val="-12"/>
        </w:rPr>
        <w:object>
          <v:shape id="_x0000_i1424" o:spt="75" type="#_x0000_t75" style="height:19pt;width:16.4pt;" o:ole="t" filled="f" o:preferrelative="t" stroked="f" coordsize="21600,21600">
            <v:path/>
            <v:fill on="f" focussize="0,0"/>
            <v:stroke on="f" joinstyle="miter"/>
            <v:imagedata r:id="rId766" o:title=""/>
            <o:lock v:ext="edit" aspectratio="t"/>
            <w10:wrap type="none"/>
            <w10:anchorlock/>
          </v:shape>
          <o:OLEObject Type="Embed" ProgID="Equation.DSMT4" ShapeID="_x0000_i1424" DrawAspect="Content" ObjectID="_1468076124" r:id="rId765">
            <o:LockedField>false</o:LockedField>
          </o:OLEObject>
        </w:object>
      </w:r>
      <w:r>
        <w:rPr>
          <w:rFonts w:hint="eastAsia" w:eastAsia="宋体" w:cs="Times New Roman"/>
        </w:rPr>
        <w:t>表示区域</w:t>
      </w:r>
      <w:r>
        <w:rPr>
          <w:rFonts w:hint="eastAsia" w:eastAsia="宋体" w:cs="Times New Roman"/>
          <w:position w:val="-6"/>
        </w:rPr>
        <w:object>
          <v:shape id="_x0000_i1425" o:spt="75" type="#_x0000_t75" style="height:12.4pt;width:6.35pt;" o:ole="t" filled="f" o:preferrelative="t" stroked="f" coordsize="21600,21600">
            <v:path/>
            <v:fill on="f" focussize="0,0"/>
            <v:stroke on="f" joinstyle="miter"/>
            <v:imagedata r:id="rId734" o:title=""/>
            <o:lock v:ext="edit" aspectratio="t"/>
            <w10:wrap type="none"/>
            <w10:anchorlock/>
          </v:shape>
          <o:OLEObject Type="Embed" ProgID="Equation.DSMT4" ShapeID="_x0000_i1425" DrawAspect="Content" ObjectID="_1468076125" r:id="rId767">
            <o:LockedField>false</o:LockedField>
          </o:OLEObject>
        </w:object>
      </w:r>
      <w:r>
        <w:rPr>
          <w:rFonts w:hint="eastAsia" w:eastAsia="宋体" w:cs="Times New Roman"/>
        </w:rPr>
        <w:t>当前本地样本集合；</w:t>
      </w:r>
      <w:r>
        <w:rPr>
          <w:rFonts w:hint="eastAsia" w:eastAsia="宋体" w:cs="Times New Roman"/>
          <w:position w:val="-12"/>
        </w:rPr>
        <w:object>
          <v:shape id="_x0000_i1426" o:spt="75" type="#_x0000_t75" style="height:19pt;width:15pt;" o:ole="t" filled="f" o:preferrelative="t" stroked="f" coordsize="21600,21600">
            <v:path/>
            <v:fill on="f" focussize="0,0"/>
            <v:stroke on="f" joinstyle="miter"/>
            <v:imagedata r:id="rId769" o:title=""/>
            <o:lock v:ext="edit" aspectratio="t"/>
            <w10:wrap type="none"/>
            <w10:anchorlock/>
          </v:shape>
          <o:OLEObject Type="Embed" ProgID="Equation.DSMT4" ShapeID="_x0000_i1426" DrawAspect="Content" ObjectID="_1468076126" r:id="rId768">
            <o:LockedField>false</o:LockedField>
          </o:OLEObject>
        </w:object>
      </w:r>
      <w:r>
        <w:rPr>
          <w:rFonts w:hint="eastAsia" w:eastAsia="宋体" w:cs="Times New Roman"/>
        </w:rPr>
        <w:t>表示由跨区域核验结果、共享证据及联动处置反馈构成的协作反馈样本集合；</w:t>
      </w:r>
      <w:r>
        <w:rPr>
          <w:rFonts w:hint="eastAsia" w:eastAsia="宋体" w:cs="Times New Roman"/>
          <w:position w:val="-12"/>
        </w:rPr>
        <w:object>
          <v:shape id="_x0000_i1427" o:spt="75" type="#_x0000_t75" style="height:18.15pt;width:23.6pt;" o:ole="t" filled="f" o:preferrelative="t" stroked="f" coordsize="21600,21600">
            <v:path/>
            <v:fill on="f" focussize="0,0"/>
            <v:stroke on="f" joinstyle="miter"/>
            <v:imagedata r:id="rId771" o:title=""/>
            <o:lock v:ext="edit" aspectratio="t"/>
            <w10:wrap type="none"/>
            <w10:anchorlock/>
          </v:shape>
          <o:OLEObject Type="Embed" ProgID="Equation.DSMT4" ShapeID="_x0000_i1427" DrawAspect="Content" ObjectID="_1468076127" r:id="rId770">
            <o:LockedField>false</o:LockedField>
          </o:OLEObject>
        </w:object>
      </w:r>
      <w:r>
        <w:rPr>
          <w:rFonts w:hint="eastAsia" w:eastAsia="宋体" w:cs="Times New Roman"/>
        </w:rPr>
        <w:t>表示区域模型的更新损失函数。通过该方式，区域模型无需重新训练，而是能够在保留原有检测能力的基础上，结合跨区域协作反馈进行增量调整，以更好地适应协同检测的需求。</w:t>
      </w:r>
    </w:p>
    <w:p w14:paraId="58530921">
      <w:pPr>
        <w:pStyle w:val="3"/>
      </w:pPr>
      <w:bookmarkStart w:id="110" w:name="_Toc230086397"/>
      <w:r>
        <w:rPr>
          <w:rFonts w:hint="eastAsia"/>
        </w:rPr>
        <w:t>5.4 实验与分析</w:t>
      </w:r>
      <w:bookmarkEnd w:id="110"/>
    </w:p>
    <w:p w14:paraId="44FB03EE">
      <w:pPr>
        <w:pStyle w:val="4"/>
      </w:pPr>
      <w:bookmarkStart w:id="111" w:name="_Toc230086398"/>
      <w:r>
        <w:rPr>
          <w:rFonts w:hint="eastAsia"/>
        </w:rPr>
        <w:t>5.4.1 实验设置</w:t>
      </w:r>
      <w:bookmarkEnd w:id="111"/>
    </w:p>
    <w:p w14:paraId="1667BBFE">
      <w:pPr>
        <w:ind w:firstLine="480" w:firstLineChars="200"/>
      </w:pPr>
      <w:r>
        <w:rPr>
          <w:rFonts w:hint="eastAsia"/>
        </w:rPr>
        <w:t>为验证本章所提基于大模型先验和多智能体协作的跨域协同APT检测方法（LLM-guided Multi-agent Collaborative APT Detection, LMC-APT）的有效性，本文在多区域交互环境下开展实验。首先，根据各区域检测结果构建多区域检测证据库，并结合Gemini-3.1生成跨域协作先验计划；随后，在先验计划约束下采用MAPPO对多区域协作策略进行学习，并结合区域模型增量更新完成训练。实验中，训练阶段采用300个episode、每个episode包含500个step的设置；测试阶段进一步结合第四章域内检测方法，在100个episode、每个episode包含500个step的设置下开展跨域在线检测，以验证所提方法的跨域协同检测性能与提前预警能力。</w:t>
      </w:r>
    </w:p>
    <w:p w14:paraId="18EE519D">
      <w:pPr>
        <w:ind w:firstLine="482" w:firstLineChars="200"/>
        <w:rPr>
          <w:b/>
          <w:bCs/>
        </w:rPr>
      </w:pPr>
      <w:r>
        <w:rPr>
          <w:rFonts w:hint="eastAsia"/>
          <w:b/>
          <w:bCs/>
        </w:rPr>
        <w:t>（1）数据集与评估指标</w:t>
      </w:r>
    </w:p>
    <w:p w14:paraId="11660E17">
      <w:pPr>
        <w:ind w:firstLine="480" w:firstLineChars="200"/>
      </w:pPr>
      <w:r>
        <w:rPr>
          <w:rFonts w:hint="eastAsia"/>
        </w:rPr>
        <w:t>本章仍在CC4实验环境下开展实验。为从检测有效性及提前预警能力等方面对本文方法进行评估，本章沿用前文中的平均回报、回报标准差、平均恢复时间、恢复精确率和平均预警提前步数5项指标，其定义与前文一致。</w:t>
      </w:r>
    </w:p>
    <w:p w14:paraId="14BA4C98">
      <w:pPr>
        <w:ind w:firstLine="480" w:firstLineChars="200"/>
      </w:pPr>
      <w:r>
        <w:rPr>
          <w:rFonts w:hint="eastAsia"/>
        </w:rPr>
        <w:t>同时，考虑到仅采用上述指标难以全面体现跨域协同检测在整体安全态势维持、恢复有效性及关键业务影响控制等方面的性能，为与现有同样使用CC4环境的文献方法</w:t>
      </w:r>
      <w:r>
        <w:rPr>
          <w:vertAlign w:val="superscript"/>
        </w:rPr>
        <w:fldChar w:fldCharType="begin" w:fldLock="1"/>
      </w:r>
      <w:r>
        <w:rPr>
          <w:vertAlign w:val="superscript"/>
        </w:rPr>
        <w:instrText xml:space="preserve"> </w:instrText>
      </w:r>
      <w:r>
        <w:rPr>
          <w:rFonts w:hint="eastAsia"/>
          <w:vertAlign w:val="superscript"/>
        </w:rPr>
        <w:instrText xml:space="preserve">REF _Ref225459363 \r \h</w:instrText>
      </w:r>
      <w:r>
        <w:rPr>
          <w:vertAlign w:val="superscript"/>
        </w:rPr>
        <w:instrText xml:space="preserve">  \* MERGEFORMAT </w:instrText>
      </w:r>
      <w:r>
        <w:rPr>
          <w:vertAlign w:val="superscript"/>
        </w:rPr>
        <w:fldChar w:fldCharType="separate"/>
      </w:r>
      <w:r>
        <w:rPr>
          <w:vertAlign w:val="superscript"/>
        </w:rPr>
        <w:t>[66]</w:t>
      </w:r>
      <w:r>
        <w:rPr>
          <w:vertAlign w:val="superscript"/>
        </w:rPr>
        <w:fldChar w:fldCharType="end"/>
      </w:r>
      <w:r>
        <w:rPr>
          <w:vertAlign w:val="superscript"/>
        </w:rPr>
        <w:fldChar w:fldCharType="begin" w:fldLock="1"/>
      </w:r>
      <w:r>
        <w:rPr>
          <w:vertAlign w:val="superscript"/>
        </w:rPr>
        <w:instrText xml:space="preserve"> REF _Ref225866926 \r \h  \* MERGEFORMAT </w:instrText>
      </w:r>
      <w:r>
        <w:rPr>
          <w:vertAlign w:val="superscript"/>
        </w:rPr>
        <w:fldChar w:fldCharType="separate"/>
      </w:r>
      <w:r>
        <w:rPr>
          <w:vertAlign w:val="superscript"/>
        </w:rPr>
        <w:t>[99]</w:t>
      </w:r>
      <w:r>
        <w:rPr>
          <w:vertAlign w:val="superscript"/>
        </w:rPr>
        <w:fldChar w:fldCharType="end"/>
      </w:r>
      <w:r>
        <w:rPr>
          <w:rFonts w:hint="eastAsia"/>
        </w:rPr>
        <w:t>进行充分的对比，本章采用文献</w:t>
      </w:r>
      <w:r>
        <w:fldChar w:fldCharType="begin" w:fldLock="1"/>
      </w:r>
      <w:r>
        <w:instrText xml:space="preserve"> </w:instrText>
      </w:r>
      <w:r>
        <w:rPr>
          <w:rFonts w:hint="eastAsia"/>
        </w:rPr>
        <w:instrText xml:space="preserve">REF _Ref225459363 \r \h</w:instrText>
      </w:r>
      <w:r>
        <w:instrText xml:space="preserve"> </w:instrText>
      </w:r>
      <w:r>
        <w:fldChar w:fldCharType="separate"/>
      </w:r>
      <w:r>
        <w:t>[66]</w:t>
      </w:r>
      <w:r>
        <w:fldChar w:fldCharType="end"/>
      </w:r>
      <w:r>
        <w:rPr>
          <w:rFonts w:hint="eastAsia"/>
        </w:rPr>
        <w:t>对下述指标的定义方式，包括干净主机占比、未提权主机占比、有效恢复次数、无效恢复次数、恢复误差率和红方影响次数，其定义如下：</w:t>
      </w:r>
    </w:p>
    <w:p w14:paraId="5ACFC25B">
      <w:pPr>
        <w:ind w:firstLine="480" w:firstLineChars="200"/>
      </w:pPr>
      <w:r>
        <w:rPr>
          <w:rFonts w:hint="eastAsia"/>
        </w:rPr>
        <w:t>1）干净主机占比：表示测试过程中未被红方驻留的主机占总主机数的比例。该指标越高，表明方法越能够抑制红方在网络中的持续驻留，并维持整体网络安全状态。2）未提权主机占比：表示测试过程中未出现红方提权会话的主机占总主机数的比例。该指标越高，表明方法越能够抑制攻击向后续阶段演进。3）有效恢复次数与无效恢复次数：分别表示对受感染主机和未受感染主机执行恢复操作的次数，即真阳性次数与假阳性次数。这两个指标用于反映恢复操作的有效性及误恢复情况。4）恢复误差率：用于衡量恢复操作中的误恢复程度。该指标越低，表明恢复操作越准确。5）红方影响次数：表示测试过程中红方成功对关键业务服务造成影响的次数。该指标越低，表明方法对攻击实际影响的抑制能力越强。</w:t>
      </w:r>
    </w:p>
    <w:p w14:paraId="085E3813">
      <w:pPr>
        <w:ind w:firstLine="482" w:firstLineChars="200"/>
        <w:rPr>
          <w:b/>
          <w:bCs/>
        </w:rPr>
      </w:pPr>
      <w:r>
        <w:rPr>
          <w:rFonts w:hint="eastAsia"/>
          <w:b/>
          <w:bCs/>
        </w:rPr>
        <w:t>（2）实验参数</w:t>
      </w:r>
    </w:p>
    <w:p w14:paraId="70D133AA">
      <w:pPr>
        <w:widowControl/>
        <w:tabs>
          <w:tab w:val="center" w:pos="4152"/>
          <w:tab w:val="right" w:pos="8306"/>
        </w:tabs>
        <w:ind w:firstLine="480" w:firstLineChars="200"/>
        <w:rPr>
          <w:rFonts w:eastAsia="宋体" w:cs="Times New Roman"/>
        </w:rPr>
      </w:pPr>
      <w:r>
        <w:rPr>
          <w:rFonts w:hint="eastAsia" w:eastAsia="宋体" w:cs="Times New Roman"/>
        </w:rPr>
        <w:t>本章实验中的重要参数设置如表5.1所示。</w:t>
      </w:r>
    </w:p>
    <w:p w14:paraId="0F9839C6">
      <w:pPr>
        <w:spacing w:line="400" w:lineRule="exact"/>
        <w:jc w:val="center"/>
        <w:rPr>
          <w:rFonts w:eastAsia="宋体" w:cs="Times New Roman"/>
          <w:sz w:val="21"/>
          <w:szCs w:val="21"/>
        </w:rPr>
      </w:pPr>
      <w:r>
        <w:rPr>
          <w:rFonts w:hint="eastAsia" w:eastAsia="宋体" w:cs="Times New Roman"/>
          <w:sz w:val="21"/>
          <w:szCs w:val="21"/>
        </w:rPr>
        <w:t>表5</w:t>
      </w:r>
      <w:r>
        <w:rPr>
          <w:rFonts w:eastAsia="宋体" w:cs="Times New Roman"/>
          <w:sz w:val="21"/>
          <w:szCs w:val="21"/>
        </w:rPr>
        <w:t>.</w:t>
      </w:r>
      <w:r>
        <w:rPr>
          <w:rFonts w:hint="eastAsia" w:eastAsia="宋体" w:cs="Times New Roman"/>
          <w:sz w:val="21"/>
          <w:szCs w:val="21"/>
        </w:rPr>
        <w:t>1</w:t>
      </w:r>
      <w:r>
        <w:rPr>
          <w:rFonts w:eastAsia="宋体" w:cs="Times New Roman"/>
          <w:sz w:val="21"/>
          <w:szCs w:val="21"/>
        </w:rPr>
        <w:t xml:space="preserve"> </w:t>
      </w:r>
      <w:r>
        <w:rPr>
          <w:rFonts w:hint="eastAsia" w:eastAsia="宋体" w:cs="Times New Roman"/>
          <w:sz w:val="21"/>
          <w:szCs w:val="21"/>
        </w:rPr>
        <w:t>实验重要参数设置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567"/>
        <w:gridCol w:w="3311"/>
      </w:tblGrid>
      <w:tr w14:paraId="73AD4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4644" w:type="dxa"/>
            <w:tcBorders>
              <w:top w:val="single" w:color="auto" w:sz="12" w:space="0"/>
              <w:left w:val="nil"/>
              <w:bottom w:val="single" w:color="auto" w:sz="4" w:space="0"/>
              <w:right w:val="nil"/>
            </w:tcBorders>
          </w:tcPr>
          <w:p w14:paraId="5DED2D35">
            <w:pPr>
              <w:spacing w:line="288" w:lineRule="auto"/>
              <w:jc w:val="center"/>
              <w:rPr>
                <w:rFonts w:eastAsia="宋体" w:cs="Times New Roman"/>
                <w:sz w:val="21"/>
              </w:rPr>
            </w:pPr>
            <w:r>
              <w:rPr>
                <w:rFonts w:hint="eastAsia" w:eastAsia="宋体" w:cs="Times New Roman"/>
                <w:sz w:val="21"/>
              </w:rPr>
              <w:t>参数名称</w:t>
            </w:r>
          </w:p>
        </w:tc>
        <w:tc>
          <w:tcPr>
            <w:tcW w:w="3878" w:type="dxa"/>
            <w:gridSpan w:val="2"/>
            <w:tcBorders>
              <w:top w:val="single" w:color="auto" w:sz="12" w:space="0"/>
              <w:left w:val="nil"/>
              <w:bottom w:val="single" w:color="auto" w:sz="4" w:space="0"/>
              <w:right w:val="nil"/>
            </w:tcBorders>
          </w:tcPr>
          <w:p w14:paraId="6EEC20A5">
            <w:pPr>
              <w:spacing w:line="288" w:lineRule="auto"/>
              <w:jc w:val="center"/>
              <w:rPr>
                <w:rFonts w:eastAsia="宋体" w:cs="Times New Roman"/>
                <w:sz w:val="21"/>
              </w:rPr>
            </w:pPr>
            <w:r>
              <w:rPr>
                <w:rFonts w:hint="eastAsia" w:eastAsia="宋体" w:cs="Times New Roman"/>
                <w:sz w:val="21"/>
              </w:rPr>
              <w:t>参数取值</w:t>
            </w:r>
          </w:p>
        </w:tc>
      </w:tr>
      <w:tr w14:paraId="4FBF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single" w:color="auto" w:sz="4" w:space="0"/>
              <w:left w:val="nil"/>
              <w:bottom w:val="nil"/>
              <w:right w:val="nil"/>
            </w:tcBorders>
          </w:tcPr>
          <w:p w14:paraId="592394BF">
            <w:pPr>
              <w:spacing w:line="288" w:lineRule="auto"/>
              <w:jc w:val="center"/>
              <w:rPr>
                <w:rFonts w:eastAsia="宋体" w:cs="Times New Roman"/>
                <w:sz w:val="21"/>
              </w:rPr>
            </w:pPr>
            <w:r>
              <w:rPr>
                <w:rFonts w:eastAsia="宋体" w:cs="Times New Roman"/>
                <w:sz w:val="21"/>
              </w:rPr>
              <w:t>LLM生成温度系数</w:t>
            </w:r>
          </w:p>
        </w:tc>
        <w:tc>
          <w:tcPr>
            <w:tcW w:w="3311" w:type="dxa"/>
            <w:tcBorders>
              <w:top w:val="single" w:color="auto" w:sz="4" w:space="0"/>
              <w:left w:val="nil"/>
              <w:bottom w:val="nil"/>
              <w:right w:val="nil"/>
            </w:tcBorders>
          </w:tcPr>
          <w:p w14:paraId="450E46D1">
            <w:pPr>
              <w:spacing w:line="288" w:lineRule="auto"/>
              <w:jc w:val="center"/>
              <w:rPr>
                <w:rFonts w:eastAsia="宋体" w:cs="Times New Roman"/>
                <w:sz w:val="21"/>
              </w:rPr>
            </w:pPr>
            <w:r>
              <w:rPr>
                <w:rFonts w:hint="eastAsia" w:eastAsia="宋体" w:cs="Times New Roman"/>
                <w:sz w:val="21"/>
              </w:rPr>
              <w:t>0.1</w:t>
            </w:r>
          </w:p>
        </w:tc>
      </w:tr>
      <w:tr w14:paraId="4042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04B1636C">
            <w:pPr>
              <w:spacing w:line="288" w:lineRule="auto"/>
              <w:jc w:val="center"/>
              <w:rPr>
                <w:rFonts w:eastAsia="宋体" w:cs="Times New Roman"/>
                <w:sz w:val="21"/>
              </w:rPr>
            </w:pPr>
            <w:r>
              <w:rPr>
                <w:rFonts w:eastAsia="宋体" w:cs="Times New Roman"/>
                <w:sz w:val="21"/>
              </w:rPr>
              <w:t>置信校准参数（</w:t>
            </w:r>
            <m:oMath>
              <m:sSub>
                <m:sSubPr>
                  <m:ctrlPr>
                    <w:rPr>
                      <w:rFonts w:ascii="Cambria Math" w:hAnsi="Cambria Math" w:eastAsia="宋体" w:cs="Times New Roman"/>
                      <w:i/>
                      <w:sz w:val="21"/>
                    </w:rPr>
                  </m:ctrlPr>
                </m:sSubPr>
                <m:e>
                  <m:r>
                    <m:rPr/>
                    <w:rPr>
                      <w:rFonts w:ascii="Cambria Math" w:hAnsi="Cambria Math" w:eastAsia="宋体" w:cs="Times New Roman"/>
                      <w:sz w:val="21"/>
                    </w:rPr>
                    <m:t>τ</m:t>
                  </m:r>
                  <m:ctrlPr>
                    <w:rPr>
                      <w:rFonts w:ascii="Cambria Math" w:hAnsi="Cambria Math" w:eastAsia="宋体" w:cs="Times New Roman"/>
                      <w:i/>
                      <w:sz w:val="21"/>
                    </w:rPr>
                  </m:ctrlPr>
                </m:e>
                <m:sub>
                  <m:r>
                    <m:rPr/>
                    <w:rPr>
                      <w:rFonts w:ascii="Cambria Math" w:hAnsi="Cambria Math" w:eastAsia="宋体" w:cs="Times New Roman"/>
                      <w:sz w:val="21"/>
                    </w:rPr>
                    <m:t>0</m:t>
                  </m:r>
                  <m:ctrlPr>
                    <w:rPr>
                      <w:rFonts w:ascii="Cambria Math" w:hAnsi="Cambria Math" w:eastAsia="宋体" w:cs="Times New Roman"/>
                      <w:i/>
                      <w:sz w:val="21"/>
                    </w:rPr>
                  </m:ctrlPr>
                </m:sub>
              </m:sSub>
            </m:oMath>
            <w:r>
              <w:rPr>
                <w:rFonts w:hint="eastAsia" w:eastAsia="宋体" w:cs="Times New Roman"/>
                <w:sz w:val="21"/>
              </w:rPr>
              <w:t xml:space="preserve"> / </w:t>
            </w:r>
            <m:oMath>
              <m:r>
                <m:rPr/>
                <w:rPr>
                  <w:rFonts w:ascii="Cambria Math" w:hAnsi="Cambria Math" w:eastAsia="宋体" w:cs="Times New Roman"/>
                  <w:sz w:val="21"/>
                </w:rPr>
                <m:t>α</m:t>
              </m:r>
            </m:oMath>
            <w:r>
              <w:rPr>
                <w:rFonts w:hint="eastAsia" w:eastAsia="宋体" w:cs="Times New Roman"/>
                <w:sz w:val="21"/>
              </w:rPr>
              <w:t xml:space="preserve"> / </w:t>
            </w:r>
            <m:oMath>
              <m:r>
                <m:rPr/>
                <w:rPr>
                  <w:rFonts w:ascii="Cambria Math" w:hAnsi="Cambria Math" w:eastAsia="宋体" w:cs="Times New Roman"/>
                  <w:sz w:val="21"/>
                </w:rPr>
                <m:t>β</m:t>
              </m:r>
            </m:oMath>
            <w:r>
              <w:rPr>
                <w:rFonts w:eastAsia="宋体" w:cs="Times New Roman"/>
                <w:sz w:val="21"/>
              </w:rPr>
              <w:t>）</w:t>
            </w:r>
          </w:p>
        </w:tc>
        <w:tc>
          <w:tcPr>
            <w:tcW w:w="3311" w:type="dxa"/>
            <w:tcBorders>
              <w:top w:val="nil"/>
              <w:left w:val="nil"/>
              <w:bottom w:val="nil"/>
              <w:right w:val="nil"/>
            </w:tcBorders>
          </w:tcPr>
          <w:p w14:paraId="243FD7B0">
            <w:pPr>
              <w:spacing w:line="288" w:lineRule="auto"/>
              <w:jc w:val="center"/>
              <w:rPr>
                <w:rFonts w:eastAsia="宋体" w:cs="Times New Roman"/>
                <w:sz w:val="21"/>
              </w:rPr>
            </w:pPr>
            <w:r>
              <w:rPr>
                <w:rFonts w:hint="eastAsia" w:eastAsia="宋体" w:cs="Times New Roman"/>
                <w:sz w:val="21"/>
              </w:rPr>
              <w:t>0.7 / 2.5 / 0.4</w:t>
            </w:r>
          </w:p>
        </w:tc>
      </w:tr>
      <w:tr w14:paraId="57D6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nil"/>
              <w:right w:val="nil"/>
            </w:tcBorders>
          </w:tcPr>
          <w:p w14:paraId="4B0EAFB9">
            <w:pPr>
              <w:spacing w:line="288" w:lineRule="auto"/>
              <w:jc w:val="center"/>
              <w:rPr>
                <w:rFonts w:eastAsia="宋体" w:cs="Times New Roman"/>
                <w:sz w:val="21"/>
              </w:rPr>
            </w:pPr>
            <w:r>
              <w:rPr>
                <w:rFonts w:eastAsia="宋体" w:cs="Times New Roman"/>
                <w:sz w:val="21"/>
              </w:rPr>
              <w:t>协作约束参数（不确定性阈值 / 协作预算上限）</w:t>
            </w:r>
          </w:p>
        </w:tc>
        <w:tc>
          <w:tcPr>
            <w:tcW w:w="3311" w:type="dxa"/>
            <w:tcBorders>
              <w:top w:val="nil"/>
              <w:left w:val="nil"/>
              <w:bottom w:val="nil"/>
              <w:right w:val="nil"/>
            </w:tcBorders>
          </w:tcPr>
          <w:p w14:paraId="0D7836AF">
            <w:pPr>
              <w:spacing w:line="288" w:lineRule="auto"/>
              <w:jc w:val="center"/>
              <w:rPr>
                <w:rFonts w:eastAsia="宋体" w:cs="Times New Roman"/>
                <w:sz w:val="21"/>
              </w:rPr>
            </w:pPr>
            <w:r>
              <w:rPr>
                <w:rFonts w:hint="eastAsia" w:eastAsia="宋体" w:cs="Times New Roman"/>
                <w:sz w:val="21"/>
              </w:rPr>
              <w:t>0.65 / 2</w:t>
            </w:r>
          </w:p>
        </w:tc>
      </w:tr>
      <w:tr w14:paraId="1DB4F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gridSpan w:val="2"/>
            <w:tcBorders>
              <w:top w:val="nil"/>
              <w:left w:val="nil"/>
              <w:bottom w:val="single" w:color="auto" w:sz="12" w:space="0"/>
              <w:right w:val="nil"/>
            </w:tcBorders>
          </w:tcPr>
          <w:p w14:paraId="5D451C05">
            <w:pPr>
              <w:spacing w:line="288" w:lineRule="auto"/>
              <w:jc w:val="center"/>
              <w:rPr>
                <w:rFonts w:eastAsia="宋体" w:cs="Times New Roman"/>
                <w:sz w:val="21"/>
              </w:rPr>
            </w:pPr>
            <w:r>
              <w:rPr>
                <w:rFonts w:eastAsia="宋体" w:cs="Times New Roman"/>
                <w:sz w:val="21"/>
              </w:rPr>
              <w:t>证据路由阈值</w:t>
            </w:r>
          </w:p>
        </w:tc>
        <w:tc>
          <w:tcPr>
            <w:tcW w:w="3311" w:type="dxa"/>
            <w:tcBorders>
              <w:top w:val="nil"/>
              <w:left w:val="nil"/>
              <w:bottom w:val="single" w:color="auto" w:sz="12" w:space="0"/>
              <w:right w:val="nil"/>
            </w:tcBorders>
          </w:tcPr>
          <w:p w14:paraId="3F50E6D9">
            <w:pPr>
              <w:spacing w:line="288" w:lineRule="auto"/>
              <w:jc w:val="center"/>
              <w:rPr>
                <w:rFonts w:eastAsia="宋体" w:cs="Times New Roman"/>
                <w:sz w:val="21"/>
              </w:rPr>
            </w:pPr>
            <w:r>
              <w:rPr>
                <w:rFonts w:hint="eastAsia" w:eastAsia="宋体" w:cs="Times New Roman"/>
                <w:sz w:val="21"/>
              </w:rPr>
              <w:t>0.6</w:t>
            </w:r>
          </w:p>
        </w:tc>
      </w:tr>
    </w:tbl>
    <w:p w14:paraId="1220F553">
      <w:pPr>
        <w:spacing w:line="400" w:lineRule="exact"/>
        <w:jc w:val="center"/>
        <w:rPr>
          <w:rFonts w:eastAsia="宋体" w:cs="Times New Roman"/>
          <w:sz w:val="21"/>
          <w:szCs w:val="21"/>
        </w:rPr>
      </w:pPr>
      <w:r>
        <w:rPr>
          <w:rFonts w:hint="eastAsia" w:eastAsia="宋体" w:cs="Times New Roman"/>
          <w:sz w:val="21"/>
          <w:szCs w:val="21"/>
        </w:rPr>
        <w:t>续表5</w:t>
      </w:r>
      <w:r>
        <w:rPr>
          <w:rFonts w:eastAsia="宋体" w:cs="Times New Roman"/>
          <w:sz w:val="21"/>
          <w:szCs w:val="21"/>
        </w:rPr>
        <w:t>.</w:t>
      </w:r>
      <w:r>
        <w:rPr>
          <w:rFonts w:hint="eastAsia" w:eastAsia="宋体" w:cs="Times New Roman"/>
          <w:sz w:val="21"/>
          <w:szCs w:val="21"/>
        </w:rPr>
        <w:t>1</w:t>
      </w:r>
      <w:r>
        <w:rPr>
          <w:rFonts w:eastAsia="宋体" w:cs="Times New Roman"/>
          <w:sz w:val="21"/>
          <w:szCs w:val="21"/>
        </w:rPr>
        <w:t xml:space="preserve"> </w:t>
      </w:r>
      <w:r>
        <w:rPr>
          <w:rFonts w:hint="eastAsia" w:eastAsia="宋体" w:cs="Times New Roman"/>
          <w:sz w:val="21"/>
          <w:szCs w:val="21"/>
        </w:rPr>
        <w:t>实验重要参数设置</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1"/>
        <w:gridCol w:w="3311"/>
      </w:tblGrid>
      <w:tr w14:paraId="46DB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tcBorders>
              <w:top w:val="single" w:color="auto" w:sz="12" w:space="0"/>
              <w:left w:val="nil"/>
              <w:bottom w:val="single" w:color="auto" w:sz="4" w:space="0"/>
              <w:right w:val="nil"/>
            </w:tcBorders>
          </w:tcPr>
          <w:p w14:paraId="679CEF54">
            <w:pPr>
              <w:spacing w:line="288" w:lineRule="auto"/>
              <w:jc w:val="center"/>
              <w:rPr>
                <w:rFonts w:eastAsia="宋体" w:cs="Times New Roman"/>
                <w:sz w:val="21"/>
                <w:szCs w:val="21"/>
              </w:rPr>
            </w:pPr>
            <w:r>
              <w:rPr>
                <w:rFonts w:hint="eastAsia" w:eastAsia="宋体" w:cs="Times New Roman"/>
                <w:sz w:val="21"/>
              </w:rPr>
              <w:t>参数名称</w:t>
            </w:r>
          </w:p>
        </w:tc>
        <w:tc>
          <w:tcPr>
            <w:tcW w:w="3311" w:type="dxa"/>
            <w:tcBorders>
              <w:top w:val="single" w:color="auto" w:sz="12" w:space="0"/>
              <w:left w:val="nil"/>
              <w:bottom w:val="single" w:color="auto" w:sz="4" w:space="0"/>
              <w:right w:val="nil"/>
            </w:tcBorders>
          </w:tcPr>
          <w:p w14:paraId="0A966633">
            <w:pPr>
              <w:spacing w:line="288" w:lineRule="auto"/>
              <w:jc w:val="center"/>
              <w:rPr>
                <w:rFonts w:eastAsia="宋体" w:cs="Times New Roman"/>
                <w:sz w:val="21"/>
              </w:rPr>
            </w:pPr>
            <w:r>
              <w:rPr>
                <w:rFonts w:hint="eastAsia" w:eastAsia="宋体" w:cs="Times New Roman"/>
                <w:sz w:val="21"/>
              </w:rPr>
              <w:t>参数取值</w:t>
            </w:r>
          </w:p>
        </w:tc>
      </w:tr>
      <w:tr w14:paraId="3659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tcBorders>
              <w:top w:val="single" w:color="auto" w:sz="4" w:space="0"/>
              <w:left w:val="nil"/>
              <w:bottom w:val="nil"/>
              <w:right w:val="nil"/>
            </w:tcBorders>
          </w:tcPr>
          <w:p w14:paraId="3EED4751">
            <w:pPr>
              <w:spacing w:line="288" w:lineRule="auto"/>
              <w:jc w:val="center"/>
              <w:rPr>
                <w:rFonts w:eastAsia="宋体" w:cs="Times New Roman"/>
                <w:sz w:val="21"/>
                <w:szCs w:val="21"/>
              </w:rPr>
            </w:pPr>
            <w:r>
              <w:rPr>
                <w:rFonts w:eastAsia="宋体" w:cs="Times New Roman"/>
                <w:sz w:val="21"/>
                <w:szCs w:val="21"/>
              </w:rPr>
              <w:t>联合奖励权重（增益 / 风险 / 代价 / 时延）</w:t>
            </w:r>
          </w:p>
        </w:tc>
        <w:tc>
          <w:tcPr>
            <w:tcW w:w="3311" w:type="dxa"/>
            <w:tcBorders>
              <w:top w:val="single" w:color="auto" w:sz="4" w:space="0"/>
              <w:left w:val="nil"/>
              <w:bottom w:val="nil"/>
              <w:right w:val="nil"/>
            </w:tcBorders>
          </w:tcPr>
          <w:p w14:paraId="2FD5C100">
            <w:pPr>
              <w:spacing w:line="288" w:lineRule="auto"/>
              <w:jc w:val="center"/>
              <w:rPr>
                <w:rFonts w:eastAsia="宋体" w:cs="Times New Roman"/>
                <w:sz w:val="21"/>
              </w:rPr>
            </w:pPr>
            <w:r>
              <w:rPr>
                <w:rFonts w:eastAsia="宋体" w:cs="Times New Roman"/>
                <w:sz w:val="21"/>
              </w:rPr>
              <w:t>1.0 / 0.8 / 0.3 / 0.</w:t>
            </w:r>
            <w:r>
              <w:rPr>
                <w:rFonts w:hint="eastAsia" w:eastAsia="宋体" w:cs="Times New Roman"/>
                <w:sz w:val="21"/>
              </w:rPr>
              <w:t>5</w:t>
            </w:r>
          </w:p>
        </w:tc>
      </w:tr>
      <w:tr w14:paraId="319A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tcBorders>
              <w:top w:val="nil"/>
              <w:left w:val="nil"/>
              <w:bottom w:val="nil"/>
              <w:right w:val="nil"/>
            </w:tcBorders>
          </w:tcPr>
          <w:p w14:paraId="314EAB16">
            <w:pPr>
              <w:spacing w:line="288" w:lineRule="auto"/>
              <w:jc w:val="center"/>
              <w:rPr>
                <w:rFonts w:eastAsia="宋体" w:cs="Times New Roman"/>
                <w:sz w:val="21"/>
                <w:szCs w:val="21"/>
              </w:rPr>
            </w:pPr>
            <w:r>
              <w:rPr>
                <w:rFonts w:eastAsia="宋体" w:cs="Times New Roman"/>
                <w:sz w:val="21"/>
                <w:szCs w:val="21"/>
              </w:rPr>
              <w:t>MAPPO参数（学习率 / rollout长度 / 更新轮数）</w:t>
            </w:r>
          </w:p>
        </w:tc>
        <w:tc>
          <w:tcPr>
            <w:tcW w:w="3311" w:type="dxa"/>
            <w:tcBorders>
              <w:top w:val="nil"/>
              <w:left w:val="nil"/>
              <w:bottom w:val="nil"/>
              <w:right w:val="nil"/>
            </w:tcBorders>
          </w:tcPr>
          <w:p w14:paraId="32062A88">
            <w:pPr>
              <w:spacing w:line="288" w:lineRule="auto"/>
              <w:jc w:val="center"/>
              <w:rPr>
                <w:rFonts w:eastAsia="宋体" w:cs="Times New Roman"/>
                <w:sz w:val="21"/>
              </w:rPr>
            </w:pPr>
            <w:r>
              <w:rPr>
                <w:rFonts w:hint="eastAsia" w:eastAsia="宋体" w:cs="Times New Roman"/>
                <w:sz w:val="21"/>
              </w:rPr>
              <w:t>0.0003 / 128 / 5</w:t>
            </w:r>
          </w:p>
        </w:tc>
      </w:tr>
      <w:tr w14:paraId="760E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tcBorders>
              <w:top w:val="nil"/>
              <w:left w:val="nil"/>
              <w:bottom w:val="nil"/>
              <w:right w:val="nil"/>
            </w:tcBorders>
          </w:tcPr>
          <w:p w14:paraId="430D50FE">
            <w:pPr>
              <w:spacing w:line="288" w:lineRule="auto"/>
              <w:jc w:val="center"/>
              <w:rPr>
                <w:rFonts w:eastAsia="宋体" w:cs="Times New Roman"/>
                <w:sz w:val="21"/>
              </w:rPr>
            </w:pPr>
            <w:r>
              <w:rPr>
                <w:rFonts w:eastAsia="宋体" w:cs="Times New Roman"/>
                <w:sz w:val="21"/>
              </w:rPr>
              <w:t>MAPPO参数（折扣因子</w:t>
            </w:r>
            <m:oMath>
              <m:r>
                <m:rPr/>
                <w:rPr>
                  <w:rFonts w:ascii="Cambria Math" w:hAnsi="Cambria Math" w:eastAsia="宋体" w:cs="Times New Roman"/>
                  <w:sz w:val="21"/>
                </w:rPr>
                <m:t>γ</m:t>
              </m:r>
            </m:oMath>
            <w:r>
              <w:rPr>
                <w:rFonts w:hint="eastAsia" w:eastAsia="宋体" w:cs="Times New Roman"/>
                <w:sz w:val="21"/>
              </w:rPr>
              <w:t xml:space="preserve"> / </w:t>
            </w:r>
            <w:r>
              <w:rPr>
                <w:rFonts w:eastAsia="宋体" w:cs="Times New Roman"/>
                <w:sz w:val="21"/>
              </w:rPr>
              <w:t>GAE参数λ</w:t>
            </w:r>
            <w:r>
              <w:rPr>
                <w:rFonts w:hint="eastAsia" w:eastAsia="宋体" w:cs="Times New Roman"/>
                <w:sz w:val="21"/>
              </w:rPr>
              <w:t xml:space="preserve"> / </w:t>
            </w:r>
          </w:p>
          <w:p w14:paraId="353E92BB">
            <w:pPr>
              <w:spacing w:line="288" w:lineRule="auto"/>
              <w:jc w:val="center"/>
              <w:rPr>
                <w:rFonts w:eastAsia="宋体" w:cs="Times New Roman"/>
                <w:sz w:val="21"/>
              </w:rPr>
            </w:pPr>
            <w:r>
              <w:rPr>
                <w:rFonts w:eastAsia="宋体" w:cs="Times New Roman"/>
                <w:sz w:val="21"/>
              </w:rPr>
              <w:t>截断系数ε / 熵正则系数）</w:t>
            </w:r>
          </w:p>
        </w:tc>
        <w:tc>
          <w:tcPr>
            <w:tcW w:w="3311" w:type="dxa"/>
            <w:tcBorders>
              <w:top w:val="nil"/>
              <w:left w:val="nil"/>
              <w:bottom w:val="nil"/>
              <w:right w:val="nil"/>
            </w:tcBorders>
            <w:vAlign w:val="center"/>
          </w:tcPr>
          <w:p w14:paraId="3C8FDC96">
            <w:pPr>
              <w:spacing w:line="288" w:lineRule="auto"/>
              <w:jc w:val="center"/>
              <w:rPr>
                <w:rFonts w:eastAsia="宋体" w:cs="Times New Roman"/>
                <w:iCs/>
                <w:sz w:val="21"/>
                <w:szCs w:val="21"/>
              </w:rPr>
            </w:pPr>
            <w:r>
              <w:rPr>
                <w:rFonts w:eastAsia="宋体" w:cs="Times New Roman"/>
                <w:iCs/>
                <w:sz w:val="21"/>
                <w:szCs w:val="21"/>
              </w:rPr>
              <w:t>0.99 / 0.95 / 0.2 / 0.01</w:t>
            </w:r>
          </w:p>
        </w:tc>
      </w:tr>
      <w:tr w14:paraId="0AE4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211" w:type="dxa"/>
            <w:tcBorders>
              <w:top w:val="nil"/>
              <w:left w:val="nil"/>
              <w:bottom w:val="single" w:color="auto" w:sz="12" w:space="0"/>
              <w:right w:val="nil"/>
            </w:tcBorders>
          </w:tcPr>
          <w:p w14:paraId="1F225CEA">
            <w:pPr>
              <w:spacing w:line="288" w:lineRule="auto"/>
              <w:jc w:val="center"/>
              <w:rPr>
                <w:rFonts w:eastAsia="宋体" w:cs="Times New Roman"/>
                <w:sz w:val="21"/>
              </w:rPr>
            </w:pPr>
            <w:r>
              <w:rPr>
                <w:rFonts w:eastAsia="宋体" w:cs="Times New Roman"/>
                <w:sz w:val="21"/>
              </w:rPr>
              <w:t>区域模型增量更新学习率</w:t>
            </w:r>
            <m:oMath>
              <m:r>
                <m:rPr/>
                <w:rPr>
                  <w:rFonts w:ascii="Cambria Math" w:hAnsi="Cambria Math" w:eastAsia="宋体" w:cs="Times New Roman"/>
                  <w:sz w:val="21"/>
                </w:rPr>
                <m:t>η</m:t>
              </m:r>
            </m:oMath>
          </w:p>
        </w:tc>
        <w:tc>
          <w:tcPr>
            <w:tcW w:w="3311" w:type="dxa"/>
            <w:tcBorders>
              <w:top w:val="nil"/>
              <w:left w:val="nil"/>
              <w:bottom w:val="single" w:color="auto" w:sz="12" w:space="0"/>
              <w:right w:val="nil"/>
            </w:tcBorders>
            <w:vAlign w:val="center"/>
          </w:tcPr>
          <w:p w14:paraId="04534E02">
            <w:pPr>
              <w:spacing w:line="288" w:lineRule="auto"/>
              <w:jc w:val="center"/>
              <w:rPr>
                <w:rFonts w:eastAsia="宋体" w:cs="Times New Roman"/>
                <w:iCs/>
                <w:sz w:val="21"/>
                <w:szCs w:val="21"/>
              </w:rPr>
            </w:pPr>
            <w:r>
              <w:rPr>
                <w:rFonts w:eastAsia="宋体" w:cs="Times New Roman"/>
                <w:iCs/>
                <w:sz w:val="21"/>
                <w:szCs w:val="21"/>
              </w:rPr>
              <w:t>0.0001</w:t>
            </w:r>
          </w:p>
        </w:tc>
      </w:tr>
    </w:tbl>
    <w:p w14:paraId="5ECFF7FC">
      <w:pPr>
        <w:pStyle w:val="4"/>
      </w:pPr>
      <w:bookmarkStart w:id="112" w:name="_Toc230086399"/>
      <w:r>
        <w:rPr>
          <w:rFonts w:hint="eastAsia"/>
        </w:rPr>
        <w:t>5.4.2 对比文献与CC4竞赛结果</w:t>
      </w:r>
      <w:bookmarkEnd w:id="112"/>
    </w:p>
    <w:p w14:paraId="7559CE9A">
      <w:pPr>
        <w:ind w:firstLine="480" w:firstLineChars="200"/>
      </w:pPr>
      <w:r>
        <w:rPr>
          <w:rFonts w:hint="eastAsia"/>
        </w:rPr>
        <w:t>为验证本文提出的方法在跨域协同检测场景下的有效性，本章选取两篇同样基于CC4环境开展实验的文献方法作为对比，分别为H-MARL Expert</w:t>
      </w:r>
      <w:r>
        <w:rPr>
          <w:vertAlign w:val="superscript"/>
        </w:rPr>
        <w:fldChar w:fldCharType="begin" w:fldLock="1"/>
      </w:r>
      <w:r>
        <w:rPr>
          <w:vertAlign w:val="superscript"/>
        </w:rPr>
        <w:instrText xml:space="preserve"> </w:instrText>
      </w:r>
      <w:r>
        <w:rPr>
          <w:rFonts w:hint="eastAsia"/>
          <w:vertAlign w:val="superscript"/>
        </w:rPr>
        <w:instrText xml:space="preserve">REF _Ref225459363 \r \h</w:instrText>
      </w:r>
      <w:r>
        <w:rPr>
          <w:vertAlign w:val="superscript"/>
        </w:rPr>
        <w:instrText xml:space="preserve">  \* MERGEFORMAT </w:instrText>
      </w:r>
      <w:r>
        <w:rPr>
          <w:vertAlign w:val="superscript"/>
        </w:rPr>
        <w:fldChar w:fldCharType="separate"/>
      </w:r>
      <w:r>
        <w:rPr>
          <w:vertAlign w:val="superscript"/>
        </w:rPr>
        <w:t>[66]</w:t>
      </w:r>
      <w:r>
        <w:rPr>
          <w:vertAlign w:val="superscript"/>
        </w:rPr>
        <w:fldChar w:fldCharType="end"/>
      </w:r>
      <w:r>
        <w:rPr>
          <w:rFonts w:hint="eastAsia"/>
        </w:rPr>
        <w:t>和Single TERLA agent</w:t>
      </w:r>
      <w:r>
        <w:rPr>
          <w:vertAlign w:val="superscript"/>
        </w:rPr>
        <w:fldChar w:fldCharType="begin" w:fldLock="1"/>
      </w:r>
      <w:r>
        <w:rPr>
          <w:vertAlign w:val="superscript"/>
        </w:rPr>
        <w:instrText xml:space="preserve"> </w:instrText>
      </w:r>
      <w:r>
        <w:rPr>
          <w:rFonts w:hint="eastAsia"/>
          <w:vertAlign w:val="superscript"/>
        </w:rPr>
        <w:instrText xml:space="preserve">REF _Ref225866926 \r \h</w:instrText>
      </w:r>
      <w:r>
        <w:rPr>
          <w:vertAlign w:val="superscript"/>
        </w:rPr>
        <w:instrText xml:space="preserve">  \* MERGEFORMAT </w:instrText>
      </w:r>
      <w:r>
        <w:rPr>
          <w:vertAlign w:val="superscript"/>
        </w:rPr>
        <w:fldChar w:fldCharType="separate"/>
      </w:r>
      <w:r>
        <w:rPr>
          <w:vertAlign w:val="superscript"/>
        </w:rPr>
        <w:t>[99]</w:t>
      </w:r>
      <w:r>
        <w:rPr>
          <w:vertAlign w:val="superscript"/>
        </w:rPr>
        <w:fldChar w:fldCharType="end"/>
      </w:r>
      <w:r>
        <w:rPr>
          <w:rFonts w:hint="eastAsia"/>
        </w:rPr>
        <w:t>。其中，H-MARL Expert采用层次化多智能体强化学习框架进行网络防御决策，Single TERLA agent则通过TERLA表征与PPO策略学习实现防御动作选择。这两种方法分别代表了当前CC4环境下较有代表性的两类技术路线，因此本文选取其作为对比方法。</w:t>
      </w:r>
      <w:r>
        <w:t>此外，为进一步</w:t>
      </w:r>
      <w:r>
        <w:rPr>
          <w:rFonts w:hint="eastAsia"/>
        </w:rPr>
        <w:t>评估</w:t>
      </w:r>
      <w:r>
        <w:t>所提方法在CC4环境下</w:t>
      </w:r>
      <w:r>
        <w:rPr>
          <w:rFonts w:hint="eastAsia"/>
        </w:rPr>
        <w:t>的表现</w:t>
      </w:r>
      <w:r>
        <w:t>，后续实验中还将结合CC4竞赛结果进行对比分析，以从竞赛表现角度对方法有效性作进一步验证。</w:t>
      </w:r>
    </w:p>
    <w:p w14:paraId="7622F583">
      <w:pPr>
        <w:ind w:firstLine="480" w:firstLineChars="200"/>
      </w:pPr>
      <w:r>
        <w:rPr>
          <w:rFonts w:hint="eastAsia"/>
        </w:rPr>
        <w:t>1）H-MARL Expert：该方法将网络防御过程划分为高层调度与低层执行两个层面，并采用层次化多智能体强化学习框架进行建模。总体而言，其先将复杂防御任务分解为若干防御子任务，再由高层根据攻击迹象对当前应执行的子任务进行调度，低层策略进一步完成具体动作决策。其中，高层调度部分结合专家规则进行设计，以实现对不同防御子任务的选择。该方法的核心特点是通过层次化结构对复杂防御过程进行分解，并结合规则调度完成协作决策。</w:t>
      </w:r>
    </w:p>
    <w:p w14:paraId="246E26E7">
      <w:pPr>
        <w:ind w:firstLine="480" w:firstLineChars="200"/>
      </w:pPr>
      <w:r>
        <w:rPr>
          <w:rFonts w:hint="eastAsia"/>
        </w:rPr>
        <w:t>2）Single TERLA agent：该方法主要从状态表征与动作表示的角度开展网络防御建模。其首先使用TERLA方法将环境观测编码为固定维度的状态表示，再结合PPO进行策略学习，并将学习得到的策略映射为具有明确语义含义的防御动作。该方法的核心特点是通过统一状态表征与语义动作设计完成防御决策，从而为强化学习方法在网络防御场景中的应用提供支持。</w:t>
      </w:r>
    </w:p>
    <w:p w14:paraId="021F87B5">
      <w:pPr>
        <w:pStyle w:val="4"/>
      </w:pPr>
      <w:bookmarkStart w:id="113" w:name="_Toc230086400"/>
      <w:r>
        <w:rPr>
          <w:rFonts w:hint="eastAsia"/>
        </w:rPr>
        <w:t>5.4.3 实验过程</w:t>
      </w:r>
      <w:bookmarkEnd w:id="113"/>
    </w:p>
    <w:p w14:paraId="003C310F">
      <w:pPr>
        <w:ind w:firstLine="482" w:firstLineChars="200"/>
        <w:rPr>
          <w:b/>
          <w:bCs/>
        </w:rPr>
      </w:pPr>
      <w:r>
        <w:rPr>
          <w:rFonts w:hint="eastAsia"/>
          <w:b/>
          <w:bCs/>
        </w:rPr>
        <w:t>（1）LLM协作计划生成</w:t>
      </w:r>
    </w:p>
    <w:p w14:paraId="3282DF11">
      <w:pPr>
        <w:ind w:firstLine="480" w:firstLineChars="200"/>
      </w:pPr>
      <w:r>
        <w:t>以某一典型时刻的多区域检测结果为例，基于</w:t>
      </w:r>
      <w:r>
        <w:rPr>
          <w:rFonts w:hint="eastAsia"/>
        </w:rPr>
        <w:t>Gemini-3.1大模型</w:t>
      </w:r>
      <w:r>
        <w:t>生成的跨域协作先验计划如图5.2所示。</w:t>
      </w:r>
    </w:p>
    <w:p w14:paraId="12CB47DD">
      <w:pPr>
        <w:jc w:val="center"/>
      </w:pPr>
      <w:r>
        <w:drawing>
          <wp:inline distT="0" distB="0" distL="0" distR="0">
            <wp:extent cx="5241290" cy="1804035"/>
            <wp:effectExtent l="0" t="0" r="0" b="0"/>
            <wp:docPr id="19260386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38680" name="图片 2"/>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a:xfrm>
                      <a:off x="0" y="0"/>
                      <a:ext cx="5258671" cy="1810123"/>
                    </a:xfrm>
                    <a:prstGeom prst="rect">
                      <a:avLst/>
                    </a:prstGeom>
                    <a:noFill/>
                    <a:ln>
                      <a:noFill/>
                    </a:ln>
                  </pic:spPr>
                </pic:pic>
              </a:graphicData>
            </a:graphic>
          </wp:inline>
        </w:drawing>
      </w:r>
    </w:p>
    <w:p w14:paraId="0AFB106B">
      <w:pPr>
        <w:widowControl/>
        <w:spacing w:line="400" w:lineRule="exact"/>
        <w:jc w:val="center"/>
        <w:rPr>
          <w:rFonts w:eastAsia="宋体" w:cs="Times New Roman"/>
          <w:sz w:val="21"/>
          <w:szCs w:val="21"/>
        </w:rPr>
      </w:pPr>
      <w:r>
        <w:rPr>
          <w:rFonts w:hint="eastAsia" w:eastAsia="宋体" w:cs="Times New Roman"/>
          <w:sz w:val="21"/>
          <w:szCs w:val="21"/>
        </w:rPr>
        <w:t>图</w:t>
      </w:r>
      <w:r>
        <w:rPr>
          <w:rFonts w:eastAsia="宋体" w:cs="Times New Roman"/>
          <w:sz w:val="21"/>
          <w:szCs w:val="21"/>
        </w:rPr>
        <w:t>5.</w:t>
      </w:r>
      <w:r>
        <w:rPr>
          <w:rFonts w:hint="eastAsia" w:eastAsia="宋体" w:cs="Times New Roman"/>
          <w:sz w:val="21"/>
          <w:szCs w:val="21"/>
        </w:rPr>
        <w:t>2</w:t>
      </w:r>
      <w:r>
        <w:rPr>
          <w:rFonts w:eastAsia="宋体" w:cs="Times New Roman"/>
          <w:sz w:val="21"/>
          <w:szCs w:val="21"/>
        </w:rPr>
        <w:t xml:space="preserve"> </w:t>
      </w:r>
      <w:r>
        <w:rPr>
          <w:rFonts w:hint="eastAsia" w:eastAsia="宋体" w:cs="Times New Roman"/>
          <w:sz w:val="21"/>
          <w:szCs w:val="21"/>
        </w:rPr>
        <w:t>协作计划生成案例分析</w:t>
      </w:r>
    </w:p>
    <w:p w14:paraId="32B5D3CA">
      <w:pPr>
        <w:ind w:firstLine="480" w:firstLineChars="200"/>
      </w:pPr>
      <w:r>
        <w:t>从图5.2</w:t>
      </w:r>
      <w:r>
        <w:rPr>
          <w:rFonts w:hint="eastAsia"/>
        </w:rPr>
        <w:t>中</w:t>
      </w:r>
      <w:r>
        <w:t>可以看出，LLM在当前时刻并未直接给出统一的强处置方案，而是结合多区域检测证据与阶段推理结果，生成了包含核验与共享的协作计划。其中，region 0的不确定性最高，因此优先触发跨域核验动作；region 1与region 2已出现一定相关异常线索，因而进一步生成由region 1指向region 2的证据定向共享动作；而异常较弱的region 3则暂不触发额外协作动作。该结果表明，所提方法不是对各区域采用相同处理方式，而是能够根据区域的证据差异、当前攻击阶段以及协作约束，对协作动作类型和协作范围进行初步区分。</w:t>
      </w:r>
      <w:r>
        <w:rPr>
          <w:rFonts w:hint="eastAsia"/>
        </w:rPr>
        <w:t>综上所述</w:t>
      </w:r>
      <w:r>
        <w:t>，生成的协作计划与当前多区域检测状态具有较好</w:t>
      </w:r>
      <w:r>
        <w:rPr>
          <w:rFonts w:hint="eastAsia"/>
        </w:rPr>
        <w:t>的</w:t>
      </w:r>
      <w:r>
        <w:t>一致性，既体现了对高不确定区域的优先核验，也体现了对相关区域之间证据联动的考虑，从而能够为后续协作策略学习与动作选择提供较为合理的先验依据。</w:t>
      </w:r>
    </w:p>
    <w:p w14:paraId="412667EC">
      <w:pPr>
        <w:ind w:firstLine="482" w:firstLineChars="200"/>
        <w:rPr>
          <w:b/>
          <w:bCs/>
        </w:rPr>
      </w:pPr>
      <w:r>
        <w:rPr>
          <w:rFonts w:hint="eastAsia"/>
          <w:b/>
          <w:bCs/>
        </w:rPr>
        <w:t>（2）</w:t>
      </w:r>
      <w:r>
        <w:rPr>
          <w:b/>
          <w:bCs/>
        </w:rPr>
        <w:t>MAPPO协作策略学习与选择过程</w:t>
      </w:r>
    </w:p>
    <w:p w14:paraId="2C14BF7D">
      <w:pPr>
        <w:ind w:firstLine="480" w:firstLineChars="200"/>
      </w:pPr>
      <w:r>
        <w:t>为进一步分析图5.2</w:t>
      </w:r>
      <w:r>
        <w:rPr>
          <w:rFonts w:hint="eastAsia"/>
        </w:rPr>
        <w:t>中的</w:t>
      </w:r>
      <w:r>
        <w:t>协作计划在策略学习中的调整过程，本</w:t>
      </w:r>
      <w:r>
        <w:rPr>
          <w:rFonts w:hint="eastAsia"/>
        </w:rPr>
        <w:t>节</w:t>
      </w:r>
      <w:r>
        <w:t>继续以该案例为例，选取与协作</w:t>
      </w:r>
      <w:r>
        <w:rPr>
          <w:rFonts w:hint="eastAsia"/>
        </w:rPr>
        <w:t>计划</w:t>
      </w:r>
      <w:r>
        <w:t>直接相关的两个关键动作，即region</w:t>
      </w:r>
      <w:r>
        <w:rPr>
          <w:rFonts w:hint="eastAsia"/>
        </w:rPr>
        <w:t xml:space="preserve"> </w:t>
      </w:r>
      <w:r>
        <w:t>0的核验动作和region</w:t>
      </w:r>
      <w:r>
        <w:rPr>
          <w:rFonts w:hint="eastAsia"/>
        </w:rPr>
        <w:t xml:space="preserve"> </w:t>
      </w:r>
      <w:r>
        <w:t>1的共享动作，统计其在不同训练轮次下的后验策略概率，结果如表5.</w:t>
      </w:r>
      <w:r>
        <w:rPr>
          <w:rFonts w:hint="eastAsia"/>
        </w:rPr>
        <w:t>2</w:t>
      </w:r>
      <w:r>
        <w:t>所示。</w:t>
      </w:r>
    </w:p>
    <w:p w14:paraId="3136024F">
      <w:pPr>
        <w:spacing w:before="156" w:beforeLines="50" w:line="400" w:lineRule="exact"/>
        <w:jc w:val="center"/>
        <w:rPr>
          <w:rFonts w:eastAsia="宋体" w:cs="Times New Roman"/>
          <w:sz w:val="21"/>
          <w:szCs w:val="21"/>
        </w:rPr>
      </w:pPr>
      <w:r>
        <w:rPr>
          <w:rFonts w:hint="eastAsia" w:eastAsia="宋体" w:cs="Times New Roman"/>
          <w:sz w:val="21"/>
          <w:szCs w:val="21"/>
        </w:rPr>
        <w:t>表</w:t>
      </w:r>
      <w:r>
        <w:rPr>
          <w:rFonts w:eastAsia="宋体" w:cs="Times New Roman"/>
          <w:sz w:val="21"/>
          <w:szCs w:val="21"/>
        </w:rPr>
        <w:t>5.</w:t>
      </w:r>
      <w:r>
        <w:rPr>
          <w:rFonts w:hint="eastAsia" w:eastAsia="宋体" w:cs="Times New Roman"/>
          <w:sz w:val="21"/>
          <w:szCs w:val="21"/>
        </w:rPr>
        <w:t xml:space="preserve">2 </w:t>
      </w:r>
      <w:r>
        <w:rPr>
          <w:rFonts w:eastAsia="宋体" w:cs="Times New Roman"/>
          <w:sz w:val="21"/>
          <w:szCs w:val="21"/>
        </w:rPr>
        <w:t>关键动作后验策略概率随训练轮次变化结果</w:t>
      </w:r>
    </w:p>
    <w:tbl>
      <w:tblPr>
        <w:tblStyle w:val="19"/>
        <w:tblW w:w="0" w:type="auto"/>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8"/>
        <w:gridCol w:w="3402"/>
        <w:gridCol w:w="3260"/>
      </w:tblGrid>
      <w:tr w14:paraId="43070A30">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PrEx>
        <w:trPr>
          <w:jc w:val="center"/>
        </w:trPr>
        <w:tc>
          <w:tcPr>
            <w:tcW w:w="1668" w:type="dxa"/>
            <w:tcBorders>
              <w:top w:val="single" w:color="auto" w:sz="12" w:space="0"/>
              <w:bottom w:val="single" w:color="auto" w:sz="4" w:space="0"/>
            </w:tcBorders>
            <w:vAlign w:val="center"/>
          </w:tcPr>
          <w:p w14:paraId="7BC7DDB3">
            <w:pPr>
              <w:jc w:val="center"/>
              <w:rPr>
                <w:rFonts w:eastAsia="Times New Roman" w:cs="Times New Roman"/>
                <w:sz w:val="21"/>
                <w:szCs w:val="21"/>
              </w:rPr>
            </w:pPr>
            <w:r>
              <w:rPr>
                <w:rFonts w:eastAsia="宋体" w:cs="Times New Roman"/>
                <w:sz w:val="21"/>
                <w:szCs w:val="21"/>
              </w:rPr>
              <w:t>训练轮次</w:t>
            </w:r>
          </w:p>
        </w:tc>
        <w:tc>
          <w:tcPr>
            <w:tcW w:w="3402" w:type="dxa"/>
            <w:tcBorders>
              <w:top w:val="single" w:color="auto" w:sz="12" w:space="0"/>
              <w:bottom w:val="single" w:color="auto" w:sz="4" w:space="0"/>
            </w:tcBorders>
            <w:vAlign w:val="center"/>
          </w:tcPr>
          <w:p w14:paraId="3D910E71">
            <w:pPr>
              <w:jc w:val="center"/>
              <w:rPr>
                <w:rFonts w:cs="Times New Roman" w:eastAsiaTheme="minorEastAsia"/>
                <w:sz w:val="21"/>
                <w:szCs w:val="21"/>
              </w:rPr>
            </w:pPr>
            <w:r>
              <w:rPr>
                <w:rFonts w:cs="Times New Roman" w:eastAsiaTheme="minorEastAsia"/>
                <w:sz w:val="21"/>
                <w:szCs w:val="21"/>
              </w:rPr>
              <w:t>Region</w:t>
            </w:r>
            <w:r>
              <w:rPr>
                <w:rFonts w:hint="eastAsia" w:cs="Times New Roman" w:eastAsiaTheme="minorEastAsia"/>
                <w:sz w:val="21"/>
                <w:szCs w:val="21"/>
              </w:rPr>
              <w:t xml:space="preserve"> </w:t>
            </w:r>
            <w:r>
              <w:rPr>
                <w:rFonts w:cs="Times New Roman" w:eastAsiaTheme="minorEastAsia"/>
                <w:sz w:val="21"/>
                <w:szCs w:val="21"/>
              </w:rPr>
              <w:t>0</w:t>
            </w:r>
            <w:r>
              <w:rPr>
                <w:rFonts w:hint="eastAsia" w:cs="Times New Roman" w:eastAsiaTheme="minorEastAsia"/>
                <w:sz w:val="21"/>
                <w:szCs w:val="21"/>
              </w:rPr>
              <w:t>后验策略概率</w:t>
            </w:r>
          </w:p>
        </w:tc>
        <w:tc>
          <w:tcPr>
            <w:tcW w:w="3260" w:type="dxa"/>
            <w:tcBorders>
              <w:top w:val="single" w:color="auto" w:sz="12" w:space="0"/>
              <w:bottom w:val="single" w:color="auto" w:sz="4" w:space="0"/>
            </w:tcBorders>
            <w:vAlign w:val="center"/>
          </w:tcPr>
          <w:p w14:paraId="00E3ECFB">
            <w:pPr>
              <w:jc w:val="center"/>
              <w:rPr>
                <w:rFonts w:eastAsia="Times New Roman" w:cs="Times New Roman"/>
                <w:sz w:val="21"/>
                <w:szCs w:val="21"/>
              </w:rPr>
            </w:pPr>
            <w:r>
              <w:rPr>
                <w:rFonts w:cs="Times New Roman" w:eastAsiaTheme="minorEastAsia"/>
                <w:sz w:val="21"/>
                <w:szCs w:val="21"/>
              </w:rPr>
              <w:t>Region</w:t>
            </w:r>
            <w:r>
              <w:rPr>
                <w:rFonts w:hint="eastAsia" w:cs="Times New Roman" w:eastAsiaTheme="minorEastAsia"/>
                <w:sz w:val="21"/>
                <w:szCs w:val="21"/>
              </w:rPr>
              <w:t xml:space="preserve"> 1后验策略概率</w:t>
            </w:r>
          </w:p>
        </w:tc>
      </w:tr>
      <w:tr w14:paraId="7E273826">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single" w:color="auto" w:sz="4" w:space="0"/>
            </w:tcBorders>
            <w:vAlign w:val="center"/>
          </w:tcPr>
          <w:p w14:paraId="001EA557">
            <w:pPr>
              <w:jc w:val="center"/>
              <w:rPr>
                <w:rFonts w:cs="Times New Roman" w:eastAsiaTheme="minorEastAsia"/>
                <w:sz w:val="21"/>
                <w:szCs w:val="21"/>
              </w:rPr>
            </w:pPr>
            <w:r>
              <w:rPr>
                <w:rFonts w:cs="Times New Roman" w:eastAsiaTheme="minorEastAsia"/>
                <w:sz w:val="21"/>
                <w:szCs w:val="21"/>
              </w:rPr>
              <w:t>1</w:t>
            </w:r>
          </w:p>
        </w:tc>
        <w:tc>
          <w:tcPr>
            <w:tcW w:w="3402" w:type="dxa"/>
            <w:tcBorders>
              <w:top w:val="single" w:color="auto" w:sz="4" w:space="0"/>
            </w:tcBorders>
            <w:vAlign w:val="center"/>
          </w:tcPr>
          <w:p w14:paraId="32B9A7A3">
            <w:pPr>
              <w:jc w:val="center"/>
              <w:rPr>
                <w:rFonts w:cs="Times New Roman" w:eastAsiaTheme="minorEastAsia"/>
                <w:sz w:val="21"/>
                <w:szCs w:val="21"/>
              </w:rPr>
            </w:pPr>
            <w:r>
              <w:rPr>
                <w:rFonts w:eastAsia="Times New Roman" w:cs="Times New Roman"/>
                <w:sz w:val="21"/>
                <w:szCs w:val="21"/>
              </w:rPr>
              <w:t>P(verify)=0.5</w:t>
            </w:r>
            <w:r>
              <w:rPr>
                <w:rFonts w:hint="eastAsia" w:cs="Times New Roman" w:eastAsiaTheme="minorEastAsia"/>
                <w:sz w:val="21"/>
                <w:szCs w:val="21"/>
              </w:rPr>
              <w:t>4</w:t>
            </w:r>
            <w:r>
              <w:rPr>
                <w:rFonts w:eastAsia="Times New Roman" w:cs="Times New Roman"/>
                <w:sz w:val="21"/>
                <w:szCs w:val="21"/>
              </w:rPr>
              <w:t>，P(noop)=0.4</w:t>
            </w:r>
            <w:r>
              <w:rPr>
                <w:rFonts w:hint="eastAsia" w:cs="Times New Roman" w:eastAsiaTheme="minorEastAsia"/>
                <w:sz w:val="21"/>
                <w:szCs w:val="21"/>
              </w:rPr>
              <w:t>6</w:t>
            </w:r>
          </w:p>
        </w:tc>
        <w:tc>
          <w:tcPr>
            <w:tcW w:w="3260" w:type="dxa"/>
            <w:tcBorders>
              <w:top w:val="single" w:color="auto" w:sz="4" w:space="0"/>
            </w:tcBorders>
            <w:vAlign w:val="center"/>
          </w:tcPr>
          <w:p w14:paraId="1760F86D">
            <w:pPr>
              <w:jc w:val="center"/>
              <w:rPr>
                <w:rFonts w:eastAsia="Times New Roman" w:cs="Times New Roman"/>
                <w:sz w:val="21"/>
                <w:szCs w:val="21"/>
              </w:rPr>
            </w:pPr>
            <w:r>
              <w:rPr>
                <w:rFonts w:eastAsia="Times New Roman" w:cs="Times New Roman"/>
                <w:sz w:val="21"/>
                <w:szCs w:val="21"/>
              </w:rPr>
              <w:t>P(</w:t>
            </w:r>
            <w:r>
              <w:rPr>
                <w:rFonts w:hint="eastAsia" w:cs="Times New Roman" w:eastAsiaTheme="minorEastAsia"/>
                <w:sz w:val="21"/>
                <w:szCs w:val="21"/>
              </w:rPr>
              <w:t>share</w:t>
            </w:r>
            <w:r>
              <w:rPr>
                <w:rFonts w:eastAsia="Times New Roman" w:cs="Times New Roman"/>
                <w:sz w:val="21"/>
                <w:szCs w:val="21"/>
              </w:rPr>
              <w:t>)=0.52，P(noop)=0.48</w:t>
            </w:r>
          </w:p>
        </w:tc>
      </w:tr>
      <w:tr w14:paraId="2684E5CB">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nil"/>
            </w:tcBorders>
            <w:vAlign w:val="center"/>
          </w:tcPr>
          <w:p w14:paraId="41A1FFBE">
            <w:pPr>
              <w:jc w:val="center"/>
              <w:rPr>
                <w:rFonts w:cs="Times New Roman" w:eastAsiaTheme="minorEastAsia"/>
                <w:sz w:val="21"/>
                <w:szCs w:val="21"/>
              </w:rPr>
            </w:pPr>
            <w:r>
              <w:rPr>
                <w:rFonts w:cs="Times New Roman" w:eastAsiaTheme="minorEastAsia"/>
                <w:sz w:val="21"/>
                <w:szCs w:val="21"/>
              </w:rPr>
              <w:t>5</w:t>
            </w:r>
          </w:p>
        </w:tc>
        <w:tc>
          <w:tcPr>
            <w:tcW w:w="3402" w:type="dxa"/>
            <w:tcBorders>
              <w:top w:val="nil"/>
            </w:tcBorders>
            <w:vAlign w:val="center"/>
          </w:tcPr>
          <w:p w14:paraId="7EDCF243">
            <w:pPr>
              <w:jc w:val="center"/>
              <w:rPr>
                <w:rFonts w:cs="Times New Roman" w:eastAsiaTheme="minorEastAsia"/>
                <w:sz w:val="21"/>
                <w:szCs w:val="21"/>
              </w:rPr>
            </w:pPr>
            <w:r>
              <w:rPr>
                <w:rFonts w:eastAsia="Times New Roman" w:cs="Times New Roman"/>
                <w:sz w:val="21"/>
                <w:szCs w:val="21"/>
              </w:rPr>
              <w:t>P(verify)=0.</w:t>
            </w:r>
            <w:r>
              <w:rPr>
                <w:rFonts w:hint="eastAsia" w:cs="Times New Roman" w:eastAsiaTheme="minorEastAsia"/>
                <w:sz w:val="21"/>
                <w:szCs w:val="21"/>
              </w:rPr>
              <w:t>61</w:t>
            </w:r>
            <w:r>
              <w:rPr>
                <w:rFonts w:eastAsia="Times New Roman" w:cs="Times New Roman"/>
                <w:sz w:val="21"/>
                <w:szCs w:val="21"/>
              </w:rPr>
              <w:t>，P(noop)=0.</w:t>
            </w:r>
            <w:r>
              <w:rPr>
                <w:rFonts w:hint="eastAsia" w:cs="Times New Roman" w:eastAsiaTheme="minorEastAsia"/>
                <w:sz w:val="21"/>
                <w:szCs w:val="21"/>
              </w:rPr>
              <w:t>39</w:t>
            </w:r>
          </w:p>
        </w:tc>
        <w:tc>
          <w:tcPr>
            <w:tcW w:w="3260" w:type="dxa"/>
            <w:tcBorders>
              <w:top w:val="nil"/>
            </w:tcBorders>
            <w:vAlign w:val="center"/>
          </w:tcPr>
          <w:p w14:paraId="7D46F729">
            <w:pPr>
              <w:jc w:val="center"/>
              <w:rPr>
                <w:rFonts w:cs="Times New Roman" w:eastAsiaTheme="minorEastAsia"/>
                <w:sz w:val="21"/>
                <w:szCs w:val="21"/>
              </w:rPr>
            </w:pPr>
            <w:r>
              <w:rPr>
                <w:rFonts w:eastAsia="Times New Roman" w:cs="Times New Roman"/>
                <w:sz w:val="21"/>
                <w:szCs w:val="21"/>
              </w:rPr>
              <w:t>P(</w:t>
            </w:r>
            <w:r>
              <w:rPr>
                <w:rFonts w:hint="eastAsia" w:cs="Times New Roman" w:eastAsiaTheme="minorEastAsia"/>
                <w:sz w:val="21"/>
                <w:szCs w:val="21"/>
              </w:rPr>
              <w:t>share</w:t>
            </w:r>
            <w:r>
              <w:rPr>
                <w:rFonts w:eastAsia="Times New Roman" w:cs="Times New Roman"/>
                <w:sz w:val="21"/>
                <w:szCs w:val="21"/>
              </w:rPr>
              <w:t>)=0.</w:t>
            </w:r>
            <w:r>
              <w:rPr>
                <w:rFonts w:hint="eastAsia" w:cs="Times New Roman" w:eastAsiaTheme="minorEastAsia"/>
                <w:sz w:val="21"/>
                <w:szCs w:val="21"/>
              </w:rPr>
              <w:t>62</w:t>
            </w:r>
            <w:r>
              <w:rPr>
                <w:rFonts w:eastAsia="Times New Roman" w:cs="Times New Roman"/>
                <w:sz w:val="21"/>
                <w:szCs w:val="21"/>
              </w:rPr>
              <w:t>，P(noop)=0.</w:t>
            </w:r>
            <w:r>
              <w:rPr>
                <w:rFonts w:hint="eastAsia" w:cs="Times New Roman" w:eastAsiaTheme="minorEastAsia"/>
                <w:sz w:val="21"/>
                <w:szCs w:val="21"/>
              </w:rPr>
              <w:t>38</w:t>
            </w:r>
          </w:p>
        </w:tc>
      </w:tr>
      <w:tr w14:paraId="6BA5925A">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nil"/>
              <w:bottom w:val="single" w:color="auto" w:sz="12" w:space="0"/>
            </w:tcBorders>
            <w:vAlign w:val="center"/>
          </w:tcPr>
          <w:p w14:paraId="53706700">
            <w:pPr>
              <w:jc w:val="center"/>
              <w:rPr>
                <w:rFonts w:cs="Times New Roman" w:eastAsiaTheme="minorEastAsia"/>
                <w:sz w:val="21"/>
                <w:szCs w:val="21"/>
              </w:rPr>
            </w:pPr>
            <w:r>
              <w:rPr>
                <w:rFonts w:cs="Times New Roman" w:eastAsiaTheme="minorEastAsia"/>
                <w:sz w:val="21"/>
                <w:szCs w:val="21"/>
              </w:rPr>
              <w:t>10</w:t>
            </w:r>
          </w:p>
        </w:tc>
        <w:tc>
          <w:tcPr>
            <w:tcW w:w="3402" w:type="dxa"/>
            <w:tcBorders>
              <w:top w:val="nil"/>
              <w:bottom w:val="single" w:color="auto" w:sz="12" w:space="0"/>
            </w:tcBorders>
            <w:vAlign w:val="center"/>
          </w:tcPr>
          <w:p w14:paraId="1A2C4511">
            <w:pPr>
              <w:jc w:val="center"/>
              <w:rPr>
                <w:rFonts w:cs="Times New Roman" w:eastAsiaTheme="minorEastAsia"/>
                <w:sz w:val="21"/>
                <w:szCs w:val="21"/>
              </w:rPr>
            </w:pPr>
            <w:r>
              <w:rPr>
                <w:rFonts w:eastAsia="Times New Roman" w:cs="Times New Roman"/>
                <w:sz w:val="21"/>
                <w:szCs w:val="21"/>
              </w:rPr>
              <w:t>P(verify)=0.</w:t>
            </w:r>
            <w:r>
              <w:rPr>
                <w:rFonts w:hint="eastAsia" w:cs="Times New Roman" w:eastAsiaTheme="minorEastAsia"/>
                <w:sz w:val="21"/>
                <w:szCs w:val="21"/>
              </w:rPr>
              <w:t>67</w:t>
            </w:r>
            <w:r>
              <w:rPr>
                <w:rFonts w:eastAsia="Times New Roman" w:cs="Times New Roman"/>
                <w:sz w:val="21"/>
                <w:szCs w:val="21"/>
              </w:rPr>
              <w:t>，P(noop)=0.</w:t>
            </w:r>
            <w:r>
              <w:rPr>
                <w:rFonts w:hint="eastAsia" w:cs="Times New Roman" w:eastAsiaTheme="minorEastAsia"/>
                <w:sz w:val="21"/>
                <w:szCs w:val="21"/>
              </w:rPr>
              <w:t>33</w:t>
            </w:r>
          </w:p>
        </w:tc>
        <w:tc>
          <w:tcPr>
            <w:tcW w:w="3260" w:type="dxa"/>
            <w:tcBorders>
              <w:top w:val="nil"/>
              <w:bottom w:val="single" w:color="auto" w:sz="12" w:space="0"/>
            </w:tcBorders>
            <w:vAlign w:val="center"/>
          </w:tcPr>
          <w:p w14:paraId="2F625D64">
            <w:pPr>
              <w:jc w:val="center"/>
              <w:rPr>
                <w:rFonts w:cs="Times New Roman" w:eastAsiaTheme="minorEastAsia"/>
                <w:sz w:val="21"/>
                <w:szCs w:val="21"/>
              </w:rPr>
            </w:pPr>
            <w:r>
              <w:rPr>
                <w:rFonts w:eastAsia="Times New Roman" w:cs="Times New Roman"/>
                <w:sz w:val="21"/>
                <w:szCs w:val="21"/>
              </w:rPr>
              <w:t>P(</w:t>
            </w:r>
            <w:r>
              <w:rPr>
                <w:rFonts w:hint="eastAsia" w:cs="Times New Roman" w:eastAsiaTheme="minorEastAsia"/>
                <w:sz w:val="21"/>
                <w:szCs w:val="21"/>
              </w:rPr>
              <w:t>share</w:t>
            </w:r>
            <w:r>
              <w:rPr>
                <w:rFonts w:eastAsia="Times New Roman" w:cs="Times New Roman"/>
                <w:sz w:val="21"/>
                <w:szCs w:val="21"/>
              </w:rPr>
              <w:t>)=0.</w:t>
            </w:r>
            <w:r>
              <w:rPr>
                <w:rFonts w:hint="eastAsia" w:cs="Times New Roman" w:eastAsiaTheme="minorEastAsia"/>
                <w:sz w:val="21"/>
                <w:szCs w:val="21"/>
              </w:rPr>
              <w:t>71</w:t>
            </w:r>
            <w:r>
              <w:rPr>
                <w:rFonts w:eastAsia="Times New Roman" w:cs="Times New Roman"/>
                <w:sz w:val="21"/>
                <w:szCs w:val="21"/>
              </w:rPr>
              <w:t>，P(noop)=0.</w:t>
            </w:r>
            <w:r>
              <w:rPr>
                <w:rFonts w:hint="eastAsia" w:cs="Times New Roman" w:eastAsiaTheme="minorEastAsia"/>
                <w:sz w:val="21"/>
                <w:szCs w:val="21"/>
              </w:rPr>
              <w:t>29</w:t>
            </w:r>
          </w:p>
        </w:tc>
      </w:tr>
    </w:tbl>
    <w:p w14:paraId="3E7D0946">
      <w:pPr>
        <w:spacing w:before="156" w:beforeLines="50"/>
        <w:ind w:firstLine="480" w:firstLineChars="200"/>
      </w:pPr>
      <w:r>
        <w:t>从表5.</w:t>
      </w:r>
      <w:r>
        <w:rPr>
          <w:rFonts w:hint="eastAsia"/>
        </w:rPr>
        <w:t>2中</w:t>
      </w:r>
      <w:r>
        <w:t>可以看出，随着训练轮次增加，region</w:t>
      </w:r>
      <w:r>
        <w:rPr>
          <w:rFonts w:hint="eastAsia"/>
        </w:rPr>
        <w:t xml:space="preserve"> </w:t>
      </w:r>
      <w:r>
        <w:t>0中verify动作的后验策略概率由0.54提升至0.67，region</w:t>
      </w:r>
      <w:r>
        <w:rPr>
          <w:rFonts w:hint="eastAsia"/>
        </w:rPr>
        <w:t xml:space="preserve"> </w:t>
      </w:r>
      <w:r>
        <w:t>1中share动作的后验策略概率由0.52提升至0.71，而对应的noop动作概率均逐步下降。这表明在先验协作计划约束下，MAPPO能够结合环境交互反馈，逐步增强与当前协作目标更一致的动作选择倾向。在此基础上，进一步给出该案例在第10轮训练后的后验策略输出及最终动作选择结果，如图5.3所示。</w:t>
      </w:r>
    </w:p>
    <w:p w14:paraId="3090C221">
      <w:r>
        <w:drawing>
          <wp:inline distT="0" distB="0" distL="0" distR="0">
            <wp:extent cx="5266690" cy="1587500"/>
            <wp:effectExtent l="0" t="0" r="0" b="0"/>
            <wp:docPr id="1541513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13281" name="图片 1"/>
                    <pic:cNvPicPr>
                      <a:picLocks noChangeAspect="1" noChangeArrowheads="1"/>
                    </pic:cNvPicPr>
                  </pic:nvPicPr>
                  <pic:blipFill>
                    <a:blip r:embed="rId773">
                      <a:extLst>
                        <a:ext uri="{28A0092B-C50C-407E-A947-70E740481C1C}">
                          <a14:useLocalDpi xmlns:a14="http://schemas.microsoft.com/office/drawing/2010/main" val="0"/>
                        </a:ext>
                      </a:extLst>
                    </a:blip>
                    <a:srcRect/>
                    <a:stretch>
                      <a:fillRect/>
                    </a:stretch>
                  </pic:blipFill>
                  <pic:spPr>
                    <a:xfrm>
                      <a:off x="0" y="0"/>
                      <a:ext cx="5278580" cy="1591084"/>
                    </a:xfrm>
                    <a:prstGeom prst="rect">
                      <a:avLst/>
                    </a:prstGeom>
                    <a:noFill/>
                    <a:ln>
                      <a:noFill/>
                    </a:ln>
                  </pic:spPr>
                </pic:pic>
              </a:graphicData>
            </a:graphic>
          </wp:inline>
        </w:drawing>
      </w:r>
    </w:p>
    <w:p w14:paraId="3E5D8BD9">
      <w:pPr>
        <w:widowControl/>
        <w:spacing w:line="400" w:lineRule="exact"/>
        <w:jc w:val="center"/>
        <w:rPr>
          <w:rFonts w:eastAsia="宋体" w:cs="Times New Roman"/>
          <w:sz w:val="21"/>
          <w:szCs w:val="21"/>
        </w:rPr>
      </w:pPr>
      <w:r>
        <w:rPr>
          <w:rFonts w:hint="eastAsia" w:eastAsia="宋体" w:cs="Times New Roman"/>
          <w:sz w:val="21"/>
          <w:szCs w:val="21"/>
        </w:rPr>
        <w:t>图</w:t>
      </w:r>
      <w:r>
        <w:rPr>
          <w:rFonts w:eastAsia="宋体" w:cs="Times New Roman"/>
          <w:sz w:val="21"/>
          <w:szCs w:val="21"/>
        </w:rPr>
        <w:t>5.</w:t>
      </w:r>
      <w:r>
        <w:rPr>
          <w:rFonts w:hint="eastAsia" w:eastAsia="宋体" w:cs="Times New Roman"/>
          <w:sz w:val="21"/>
          <w:szCs w:val="21"/>
        </w:rPr>
        <w:t>3</w:t>
      </w:r>
      <w:r>
        <w:rPr>
          <w:rFonts w:eastAsia="宋体" w:cs="Times New Roman"/>
          <w:sz w:val="21"/>
          <w:szCs w:val="21"/>
        </w:rPr>
        <w:t xml:space="preserve"> 协作计划案例的后验策略与动作选择结果</w:t>
      </w:r>
    </w:p>
    <w:p w14:paraId="6CBBEAEE">
      <w:pPr>
        <w:ind w:firstLine="480" w:firstLineChars="200"/>
      </w:pPr>
      <w:r>
        <w:t>从图5.3</w:t>
      </w:r>
      <w:r>
        <w:rPr>
          <w:rFonts w:hint="eastAsia"/>
        </w:rPr>
        <w:t>中</w:t>
      </w:r>
      <w:r>
        <w:t>可以看出，在该案例下，region</w:t>
      </w:r>
      <w:r>
        <w:rPr>
          <w:rFonts w:hint="eastAsia"/>
        </w:rPr>
        <w:t xml:space="preserve"> </w:t>
      </w:r>
      <w:r>
        <w:t>0最终选择verify，region</w:t>
      </w:r>
      <w:r>
        <w:rPr>
          <w:rFonts w:hint="eastAsia"/>
        </w:rPr>
        <w:t xml:space="preserve"> </w:t>
      </w:r>
      <w:r>
        <w:t>1最终选择share(region</w:t>
      </w:r>
      <w:r>
        <w:rPr>
          <w:rFonts w:hint="eastAsia"/>
        </w:rPr>
        <w:t xml:space="preserve"> </w:t>
      </w:r>
      <w:r>
        <w:t>2)，而region</w:t>
      </w:r>
      <w:r>
        <w:rPr>
          <w:rFonts w:hint="eastAsia"/>
        </w:rPr>
        <w:t xml:space="preserve"> </w:t>
      </w:r>
      <w:r>
        <w:t>2和region</w:t>
      </w:r>
      <w:r>
        <w:rPr>
          <w:rFonts w:hint="eastAsia"/>
        </w:rPr>
        <w:t xml:space="preserve"> </w:t>
      </w:r>
      <w:r>
        <w:t>3均保持noop。该结果与图5.2中生成的先验协作计划相对应，表明经过策略学习后，模型能够将先验计划中的核验与共享</w:t>
      </w:r>
      <w:r>
        <w:rPr>
          <w:rFonts w:hint="eastAsia"/>
        </w:rPr>
        <w:t>指向</w:t>
      </w:r>
      <w:r>
        <w:t>进一步转化为具体协同</w:t>
      </w:r>
      <w:r>
        <w:rPr>
          <w:rFonts w:hint="eastAsia"/>
        </w:rPr>
        <w:t>动作</w:t>
      </w:r>
      <w:r>
        <w:t>。其中，region 0当前不确定性较高，因此优先执行跨域核验动作；region 1与region 2之间已出现一定关联线索，因此进一步执行证据定向共享动作。</w:t>
      </w:r>
      <w:r>
        <w:rPr>
          <w:rFonts w:hint="eastAsia"/>
        </w:rPr>
        <w:t>综上所述</w:t>
      </w:r>
      <w:r>
        <w:t>，该案例的后验选择结果与当前多区域检测状态较为一致，也表明所提方法能够在协作先验计划约束</w:t>
      </w:r>
      <w:r>
        <w:rPr>
          <w:rFonts w:hint="eastAsia"/>
        </w:rPr>
        <w:t>下</w:t>
      </w:r>
      <w:r>
        <w:t>形成较为稳定的协同决策</w:t>
      </w:r>
      <w:r>
        <w:rPr>
          <w:rFonts w:hint="eastAsia"/>
        </w:rPr>
        <w:t>策略</w:t>
      </w:r>
      <w:r>
        <w:t>。</w:t>
      </w:r>
    </w:p>
    <w:p w14:paraId="6D902B5D">
      <w:pPr>
        <w:pStyle w:val="4"/>
      </w:pPr>
      <w:bookmarkStart w:id="114" w:name="_Toc230086401"/>
      <w:r>
        <w:rPr>
          <w:rFonts w:hint="eastAsia"/>
        </w:rPr>
        <w:t>5.4.4 协同检测效果验证</w:t>
      </w:r>
      <w:bookmarkEnd w:id="114"/>
    </w:p>
    <w:p w14:paraId="1D04F1A5">
      <w:pPr>
        <w:ind w:firstLine="482" w:firstLineChars="200"/>
        <w:rPr>
          <w:b/>
          <w:bCs/>
        </w:rPr>
      </w:pPr>
      <w:r>
        <w:rPr>
          <w:rFonts w:hint="eastAsia"/>
          <w:b/>
          <w:bCs/>
        </w:rPr>
        <w:t>（1）与现有文献方法对比</w:t>
      </w:r>
    </w:p>
    <w:p w14:paraId="0F3F0BF0">
      <w:r>
        <w:rPr>
          <w:rFonts w:hint="eastAsia"/>
        </w:rPr>
        <w:t xml:space="preserve">    为验证本文方法LMC-APT的有效性，本文将其与现有同样使用CC4环境的文献方法进行对比，其中</w:t>
      </w:r>
      <w:r>
        <w:t>H-MARL Expert</w:t>
      </w:r>
      <w:r>
        <w:rPr>
          <w:rFonts w:hint="eastAsia"/>
        </w:rPr>
        <w:t>与</w:t>
      </w:r>
      <w:r>
        <w:t xml:space="preserve">Single TERLA </w:t>
      </w:r>
      <w:r>
        <w:rPr>
          <w:rFonts w:hint="eastAsia"/>
        </w:rPr>
        <w:t>a</w:t>
      </w:r>
      <w:r>
        <w:t>gent</w:t>
      </w:r>
      <w:r>
        <w:rPr>
          <w:rFonts w:hint="eastAsia"/>
        </w:rPr>
        <w:t>均为各自文献中的最优方法，本文对比了</w:t>
      </w:r>
      <w:r>
        <w:t>H-MARL Expert</w:t>
      </w:r>
      <w:r>
        <w:rPr>
          <w:rFonts w:hint="eastAsia"/>
        </w:rPr>
        <w:t>方法使用的所有测试指标，以全面评估各方法之间的差异，具体实验结果如表5.3所示。</w:t>
      </w:r>
    </w:p>
    <w:p w14:paraId="3DA1398C">
      <w:pPr>
        <w:spacing w:before="156" w:beforeLines="50" w:line="400" w:lineRule="exact"/>
        <w:jc w:val="center"/>
        <w:rPr>
          <w:rFonts w:eastAsia="宋体" w:cs="Times New Roman"/>
          <w:sz w:val="21"/>
          <w:szCs w:val="21"/>
        </w:rPr>
      </w:pPr>
      <w:r>
        <w:rPr>
          <w:rFonts w:hint="eastAsia" w:eastAsia="宋体" w:cs="Times New Roman"/>
          <w:sz w:val="21"/>
          <w:szCs w:val="21"/>
        </w:rPr>
        <w:t>表</w:t>
      </w:r>
      <w:r>
        <w:rPr>
          <w:rFonts w:eastAsia="宋体" w:cs="Times New Roman"/>
          <w:sz w:val="21"/>
          <w:szCs w:val="21"/>
        </w:rPr>
        <w:t>5.</w:t>
      </w:r>
      <w:r>
        <w:rPr>
          <w:rFonts w:hint="eastAsia" w:eastAsia="宋体" w:cs="Times New Roman"/>
          <w:sz w:val="21"/>
          <w:szCs w:val="21"/>
        </w:rPr>
        <w:t>3</w:t>
      </w:r>
      <w:r>
        <w:rPr>
          <w:rFonts w:eastAsia="宋体" w:cs="Times New Roman"/>
          <w:sz w:val="21"/>
          <w:szCs w:val="21"/>
        </w:rPr>
        <w:t xml:space="preserve"> </w:t>
      </w:r>
      <w:r>
        <w:rPr>
          <w:rFonts w:hint="eastAsia" w:eastAsia="宋体" w:cs="Times New Roman"/>
          <w:sz w:val="21"/>
          <w:szCs w:val="21"/>
        </w:rPr>
        <w:t>LMC-APT与其他文献方法对比实验结果</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2226"/>
        <w:gridCol w:w="2035"/>
      </w:tblGrid>
      <w:tr w14:paraId="69DF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single" w:color="auto" w:sz="12" w:space="0"/>
              <w:left w:val="nil"/>
              <w:bottom w:val="single" w:color="auto" w:sz="4" w:space="0"/>
              <w:right w:val="nil"/>
            </w:tcBorders>
          </w:tcPr>
          <w:p w14:paraId="3F26036B">
            <w:pPr>
              <w:spacing w:line="288" w:lineRule="auto"/>
              <w:jc w:val="center"/>
              <w:rPr>
                <w:rFonts w:eastAsia="宋体" w:cs="Times New Roman"/>
                <w:sz w:val="21"/>
                <w:szCs w:val="21"/>
              </w:rPr>
            </w:pPr>
          </w:p>
        </w:tc>
        <w:tc>
          <w:tcPr>
            <w:tcW w:w="2131" w:type="dxa"/>
            <w:tcBorders>
              <w:top w:val="single" w:color="auto" w:sz="12" w:space="0"/>
              <w:left w:val="nil"/>
              <w:bottom w:val="single" w:color="auto" w:sz="4" w:space="0"/>
              <w:right w:val="nil"/>
            </w:tcBorders>
          </w:tcPr>
          <w:p w14:paraId="305DF31E">
            <w:pPr>
              <w:spacing w:line="288" w:lineRule="auto"/>
              <w:jc w:val="center"/>
              <w:rPr>
                <w:rFonts w:eastAsia="宋体" w:cs="Times New Roman"/>
                <w:sz w:val="21"/>
                <w:szCs w:val="21"/>
              </w:rPr>
            </w:pPr>
            <w:r>
              <w:rPr>
                <w:rFonts w:eastAsia="宋体" w:cs="宋体"/>
                <w:kern w:val="0"/>
                <w:sz w:val="21"/>
                <w:szCs w:val="21"/>
              </w:rPr>
              <w:t>H-MARL Expert</w:t>
            </w:r>
            <w:r>
              <w:rPr>
                <w:rFonts w:eastAsia="宋体" w:cs="宋体"/>
                <w:kern w:val="0"/>
                <w:sz w:val="21"/>
                <w:szCs w:val="21"/>
                <w:vertAlign w:val="superscript"/>
              </w:rPr>
              <w:fldChar w:fldCharType="begin" w:fldLock="1"/>
            </w:r>
            <w:r>
              <w:rPr>
                <w:rFonts w:eastAsia="宋体" w:cs="宋体"/>
                <w:kern w:val="0"/>
                <w:sz w:val="21"/>
                <w:szCs w:val="21"/>
                <w:vertAlign w:val="superscript"/>
              </w:rPr>
              <w:instrText xml:space="preserve"> REF _Ref225459363 \r \h  \* MERGEFORMAT </w:instrText>
            </w:r>
            <w:r>
              <w:rPr>
                <w:rFonts w:eastAsia="宋体" w:cs="宋体"/>
                <w:kern w:val="0"/>
                <w:sz w:val="21"/>
                <w:szCs w:val="21"/>
                <w:vertAlign w:val="superscript"/>
              </w:rPr>
              <w:fldChar w:fldCharType="separate"/>
            </w:r>
            <w:r>
              <w:rPr>
                <w:rFonts w:eastAsia="宋体" w:cs="宋体"/>
                <w:kern w:val="0"/>
                <w:sz w:val="21"/>
                <w:szCs w:val="21"/>
                <w:vertAlign w:val="superscript"/>
              </w:rPr>
              <w:t>[66]</w:t>
            </w:r>
            <w:r>
              <w:rPr>
                <w:rFonts w:eastAsia="宋体" w:cs="宋体"/>
                <w:kern w:val="0"/>
                <w:sz w:val="21"/>
                <w:szCs w:val="21"/>
                <w:vertAlign w:val="superscript"/>
              </w:rPr>
              <w:fldChar w:fldCharType="end"/>
            </w:r>
          </w:p>
        </w:tc>
        <w:tc>
          <w:tcPr>
            <w:tcW w:w="2226" w:type="dxa"/>
            <w:tcBorders>
              <w:top w:val="single" w:color="auto" w:sz="12" w:space="0"/>
              <w:left w:val="nil"/>
              <w:bottom w:val="single" w:color="auto" w:sz="4" w:space="0"/>
              <w:right w:val="nil"/>
            </w:tcBorders>
          </w:tcPr>
          <w:p w14:paraId="1F44982C">
            <w:pPr>
              <w:spacing w:line="288" w:lineRule="auto"/>
              <w:jc w:val="center"/>
              <w:rPr>
                <w:rFonts w:eastAsia="宋体" w:cs="Times New Roman"/>
                <w:sz w:val="21"/>
                <w:szCs w:val="21"/>
              </w:rPr>
            </w:pPr>
            <w:r>
              <w:rPr>
                <w:rFonts w:eastAsia="宋体" w:cs="Times New Roman"/>
                <w:sz w:val="21"/>
                <w:szCs w:val="21"/>
              </w:rPr>
              <w:t>Single TERLA agent</w:t>
            </w:r>
            <w:r>
              <w:rPr>
                <w:rFonts w:eastAsia="宋体" w:cs="Times New Roman"/>
                <w:sz w:val="21"/>
                <w:szCs w:val="21"/>
                <w:vertAlign w:val="superscript"/>
              </w:rPr>
              <w:fldChar w:fldCharType="begin" w:fldLock="1"/>
            </w:r>
            <w:r>
              <w:rPr>
                <w:rFonts w:eastAsia="宋体" w:cs="Times New Roman"/>
                <w:sz w:val="21"/>
                <w:szCs w:val="21"/>
                <w:vertAlign w:val="superscript"/>
              </w:rPr>
              <w:instrText xml:space="preserve"> REF _Ref225866926 \r \h  \* MERGEFORMAT </w:instrText>
            </w:r>
            <w:r>
              <w:rPr>
                <w:rFonts w:eastAsia="宋体" w:cs="Times New Roman"/>
                <w:sz w:val="21"/>
                <w:szCs w:val="21"/>
                <w:vertAlign w:val="superscript"/>
              </w:rPr>
              <w:fldChar w:fldCharType="separate"/>
            </w:r>
            <w:r>
              <w:rPr>
                <w:rFonts w:eastAsia="宋体" w:cs="Times New Roman"/>
                <w:sz w:val="21"/>
                <w:szCs w:val="21"/>
                <w:vertAlign w:val="superscript"/>
              </w:rPr>
              <w:t>[99]</w:t>
            </w:r>
            <w:r>
              <w:rPr>
                <w:rFonts w:eastAsia="宋体" w:cs="Times New Roman"/>
                <w:sz w:val="21"/>
                <w:szCs w:val="21"/>
                <w:vertAlign w:val="superscript"/>
              </w:rPr>
              <w:fldChar w:fldCharType="end"/>
            </w:r>
          </w:p>
        </w:tc>
        <w:tc>
          <w:tcPr>
            <w:tcW w:w="2035" w:type="dxa"/>
            <w:tcBorders>
              <w:top w:val="single" w:color="auto" w:sz="12" w:space="0"/>
              <w:left w:val="nil"/>
              <w:bottom w:val="single" w:color="auto" w:sz="4" w:space="0"/>
              <w:right w:val="nil"/>
            </w:tcBorders>
          </w:tcPr>
          <w:p w14:paraId="258E9465">
            <w:pPr>
              <w:spacing w:line="288" w:lineRule="auto"/>
              <w:jc w:val="center"/>
              <w:rPr>
                <w:rFonts w:eastAsia="宋体" w:cs="Times New Roman"/>
                <w:b/>
                <w:bCs/>
                <w:sz w:val="21"/>
                <w:szCs w:val="21"/>
              </w:rPr>
            </w:pPr>
            <w:r>
              <w:rPr>
                <w:rFonts w:hint="eastAsia" w:eastAsia="宋体" w:cs="Times New Roman"/>
                <w:b/>
                <w:bCs/>
                <w:sz w:val="21"/>
                <w:szCs w:val="21"/>
              </w:rPr>
              <w:t>LMC-APT</w:t>
            </w:r>
          </w:p>
        </w:tc>
      </w:tr>
      <w:tr w14:paraId="1E2D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single" w:color="auto" w:sz="4" w:space="0"/>
              <w:left w:val="nil"/>
              <w:bottom w:val="nil"/>
              <w:right w:val="nil"/>
            </w:tcBorders>
          </w:tcPr>
          <w:p w14:paraId="46FB5DD0">
            <w:pPr>
              <w:spacing w:line="288" w:lineRule="auto"/>
              <w:jc w:val="center"/>
              <w:rPr>
                <w:rFonts w:eastAsia="宋体" w:cs="Times New Roman"/>
                <w:sz w:val="21"/>
                <w:szCs w:val="21"/>
              </w:rPr>
            </w:pPr>
            <w:r>
              <w:rPr>
                <w:rFonts w:hint="eastAsia" w:eastAsia="宋体" w:cs="Times New Roman"/>
                <w:sz w:val="21"/>
                <w:szCs w:val="21"/>
              </w:rPr>
              <w:t>回合平均回报</w:t>
            </w:r>
          </w:p>
        </w:tc>
        <w:tc>
          <w:tcPr>
            <w:tcW w:w="2131" w:type="dxa"/>
            <w:tcBorders>
              <w:top w:val="single" w:color="auto" w:sz="4" w:space="0"/>
              <w:left w:val="nil"/>
              <w:bottom w:val="nil"/>
              <w:right w:val="nil"/>
            </w:tcBorders>
          </w:tcPr>
          <w:p w14:paraId="344ACABB">
            <w:pPr>
              <w:spacing w:line="288" w:lineRule="auto"/>
              <w:jc w:val="center"/>
              <w:rPr>
                <w:rFonts w:eastAsia="宋体" w:cs="Times New Roman"/>
                <w:sz w:val="21"/>
                <w:szCs w:val="21"/>
              </w:rPr>
            </w:pPr>
            <w:r>
              <w:rPr>
                <w:rFonts w:hint="eastAsia" w:eastAsia="宋体" w:cs="宋体"/>
                <w:kern w:val="0"/>
                <w:sz w:val="21"/>
                <w:szCs w:val="21"/>
              </w:rPr>
              <w:t>-129.53</w:t>
            </w:r>
          </w:p>
        </w:tc>
        <w:tc>
          <w:tcPr>
            <w:tcW w:w="2226" w:type="dxa"/>
            <w:tcBorders>
              <w:top w:val="single" w:color="auto" w:sz="4" w:space="0"/>
              <w:left w:val="nil"/>
              <w:bottom w:val="nil"/>
              <w:right w:val="nil"/>
            </w:tcBorders>
          </w:tcPr>
          <w:p w14:paraId="34503D6E">
            <w:pPr>
              <w:spacing w:line="288" w:lineRule="auto"/>
              <w:jc w:val="center"/>
              <w:rPr>
                <w:rFonts w:eastAsia="宋体" w:cs="Times New Roman"/>
                <w:sz w:val="21"/>
                <w:szCs w:val="21"/>
              </w:rPr>
            </w:pPr>
            <w:r>
              <w:rPr>
                <w:rFonts w:hint="eastAsia" w:eastAsia="宋体" w:cs="Times New Roman"/>
                <w:sz w:val="21"/>
                <w:szCs w:val="21"/>
              </w:rPr>
              <w:t>-2048</w:t>
            </w:r>
          </w:p>
        </w:tc>
        <w:tc>
          <w:tcPr>
            <w:tcW w:w="2035" w:type="dxa"/>
            <w:tcBorders>
              <w:top w:val="single" w:color="auto" w:sz="4" w:space="0"/>
              <w:left w:val="nil"/>
              <w:bottom w:val="nil"/>
              <w:right w:val="nil"/>
            </w:tcBorders>
          </w:tcPr>
          <w:p w14:paraId="0551621B">
            <w:pPr>
              <w:spacing w:line="288" w:lineRule="auto"/>
              <w:jc w:val="center"/>
              <w:rPr>
                <w:rFonts w:eastAsia="宋体" w:cs="Times New Roman"/>
                <w:b/>
                <w:bCs/>
                <w:sz w:val="21"/>
                <w:szCs w:val="21"/>
              </w:rPr>
            </w:pPr>
            <w:r>
              <w:rPr>
                <w:rFonts w:hint="eastAsia" w:eastAsia="宋体" w:cs="Times New Roman"/>
                <w:b/>
                <w:bCs/>
                <w:sz w:val="21"/>
                <w:szCs w:val="21"/>
              </w:rPr>
              <w:t>-85.60</w:t>
            </w:r>
          </w:p>
        </w:tc>
      </w:tr>
      <w:tr w14:paraId="0044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4E0908B5">
            <w:pPr>
              <w:spacing w:line="288" w:lineRule="auto"/>
              <w:jc w:val="center"/>
              <w:rPr>
                <w:rFonts w:eastAsia="宋体" w:cs="Times New Roman"/>
                <w:sz w:val="21"/>
                <w:szCs w:val="21"/>
              </w:rPr>
            </w:pPr>
            <w:r>
              <w:rPr>
                <w:rFonts w:hint="eastAsia" w:eastAsia="宋体" w:cs="Times New Roman"/>
                <w:sz w:val="21"/>
                <w:szCs w:val="21"/>
              </w:rPr>
              <w:t>回报标准差</w:t>
            </w:r>
          </w:p>
        </w:tc>
        <w:tc>
          <w:tcPr>
            <w:tcW w:w="2131" w:type="dxa"/>
            <w:tcBorders>
              <w:top w:val="nil"/>
              <w:left w:val="nil"/>
              <w:bottom w:val="nil"/>
              <w:right w:val="nil"/>
            </w:tcBorders>
          </w:tcPr>
          <w:p w14:paraId="4B9FDFF2">
            <w:pPr>
              <w:spacing w:line="288" w:lineRule="auto"/>
              <w:jc w:val="center"/>
              <w:rPr>
                <w:rFonts w:eastAsia="宋体" w:cs="Times New Roman"/>
                <w:sz w:val="21"/>
                <w:szCs w:val="21"/>
              </w:rPr>
            </w:pPr>
            <w:r>
              <w:rPr>
                <w:rFonts w:hint="eastAsia" w:eastAsia="宋体" w:cs="Times New Roman"/>
                <w:sz w:val="21"/>
                <w:szCs w:val="21"/>
              </w:rPr>
              <w:t>44.60</w:t>
            </w:r>
          </w:p>
        </w:tc>
        <w:tc>
          <w:tcPr>
            <w:tcW w:w="2226" w:type="dxa"/>
            <w:tcBorders>
              <w:top w:val="nil"/>
              <w:left w:val="nil"/>
              <w:bottom w:val="nil"/>
              <w:right w:val="nil"/>
            </w:tcBorders>
          </w:tcPr>
          <w:p w14:paraId="4F5F18BC">
            <w:pPr>
              <w:spacing w:line="288" w:lineRule="auto"/>
              <w:jc w:val="center"/>
              <w:rPr>
                <w:rFonts w:eastAsia="宋体" w:cs="Times New Roman"/>
                <w:sz w:val="21"/>
                <w:szCs w:val="21"/>
              </w:rPr>
            </w:pPr>
            <w:r>
              <w:rPr>
                <w:rFonts w:hint="eastAsia" w:eastAsia="宋体" w:cs="Times New Roman"/>
                <w:sz w:val="21"/>
                <w:szCs w:val="21"/>
              </w:rPr>
              <w:t>799</w:t>
            </w:r>
          </w:p>
        </w:tc>
        <w:tc>
          <w:tcPr>
            <w:tcW w:w="2035" w:type="dxa"/>
            <w:tcBorders>
              <w:top w:val="nil"/>
              <w:left w:val="nil"/>
              <w:bottom w:val="nil"/>
              <w:right w:val="nil"/>
            </w:tcBorders>
          </w:tcPr>
          <w:p w14:paraId="0E44CBA0">
            <w:pPr>
              <w:spacing w:line="288" w:lineRule="auto"/>
              <w:jc w:val="center"/>
              <w:rPr>
                <w:rFonts w:eastAsia="宋体" w:cs="Times New Roman"/>
                <w:b/>
                <w:bCs/>
                <w:sz w:val="21"/>
                <w:szCs w:val="21"/>
              </w:rPr>
            </w:pPr>
            <w:r>
              <w:rPr>
                <w:rFonts w:hint="eastAsia" w:eastAsia="宋体" w:cs="Times New Roman"/>
                <w:b/>
                <w:bCs/>
                <w:sz w:val="21"/>
                <w:szCs w:val="21"/>
              </w:rPr>
              <w:t>32.15</w:t>
            </w:r>
          </w:p>
        </w:tc>
      </w:tr>
      <w:tr w14:paraId="569E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5ECD21AC">
            <w:pPr>
              <w:spacing w:line="288" w:lineRule="auto"/>
              <w:jc w:val="center"/>
              <w:rPr>
                <w:rFonts w:eastAsia="宋体" w:cs="Times New Roman"/>
                <w:sz w:val="21"/>
                <w:szCs w:val="21"/>
              </w:rPr>
            </w:pPr>
            <w:r>
              <w:rPr>
                <w:rFonts w:hint="eastAsia" w:eastAsia="宋体" w:cs="Times New Roman"/>
                <w:sz w:val="21"/>
                <w:szCs w:val="21"/>
              </w:rPr>
              <w:t>干净主机占比</w:t>
            </w:r>
          </w:p>
        </w:tc>
        <w:tc>
          <w:tcPr>
            <w:tcW w:w="2131" w:type="dxa"/>
            <w:tcBorders>
              <w:top w:val="nil"/>
              <w:left w:val="nil"/>
              <w:bottom w:val="nil"/>
              <w:right w:val="nil"/>
            </w:tcBorders>
          </w:tcPr>
          <w:p w14:paraId="7E91AEC8">
            <w:pPr>
              <w:spacing w:line="288" w:lineRule="auto"/>
              <w:jc w:val="center"/>
              <w:rPr>
                <w:rFonts w:eastAsia="宋体" w:cs="Times New Roman"/>
                <w:sz w:val="21"/>
                <w:szCs w:val="21"/>
              </w:rPr>
            </w:pPr>
            <w:r>
              <w:rPr>
                <w:rFonts w:eastAsia="宋体" w:cs="Times New Roman"/>
                <w:sz w:val="21"/>
                <w:szCs w:val="21"/>
              </w:rPr>
              <w:t>0.8</w:t>
            </w:r>
            <w:r>
              <w:rPr>
                <w:rFonts w:hint="eastAsia" w:eastAsia="宋体" w:cs="Times New Roman"/>
                <w:sz w:val="21"/>
                <w:szCs w:val="21"/>
              </w:rPr>
              <w:t>1</w:t>
            </w:r>
          </w:p>
        </w:tc>
        <w:tc>
          <w:tcPr>
            <w:tcW w:w="2226" w:type="dxa"/>
            <w:tcBorders>
              <w:top w:val="nil"/>
              <w:left w:val="nil"/>
              <w:bottom w:val="nil"/>
              <w:right w:val="nil"/>
            </w:tcBorders>
          </w:tcPr>
          <w:p w14:paraId="35EB1B14">
            <w:pPr>
              <w:spacing w:line="288" w:lineRule="auto"/>
              <w:jc w:val="center"/>
              <w:rPr>
                <w:rFonts w:eastAsia="宋体" w:cs="Times New Roman"/>
                <w:sz w:val="21"/>
                <w:szCs w:val="21"/>
              </w:rPr>
            </w:pPr>
            <w:r>
              <w:rPr>
                <w:rFonts w:eastAsia="宋体" w:cs="Times New Roman"/>
                <w:sz w:val="21"/>
                <w:szCs w:val="21"/>
              </w:rPr>
              <w:t>0.</w:t>
            </w:r>
            <w:r>
              <w:rPr>
                <w:rFonts w:hint="eastAsia" w:eastAsia="宋体" w:cs="Times New Roman"/>
                <w:sz w:val="21"/>
                <w:szCs w:val="21"/>
              </w:rPr>
              <w:t>65</w:t>
            </w:r>
          </w:p>
        </w:tc>
        <w:tc>
          <w:tcPr>
            <w:tcW w:w="2035" w:type="dxa"/>
            <w:tcBorders>
              <w:top w:val="nil"/>
              <w:left w:val="nil"/>
              <w:bottom w:val="nil"/>
              <w:right w:val="nil"/>
            </w:tcBorders>
          </w:tcPr>
          <w:p w14:paraId="177AA1D0">
            <w:pPr>
              <w:spacing w:line="288" w:lineRule="auto"/>
              <w:jc w:val="center"/>
              <w:rPr>
                <w:rFonts w:eastAsia="宋体" w:cs="Times New Roman"/>
                <w:b/>
                <w:bCs/>
                <w:sz w:val="21"/>
                <w:szCs w:val="21"/>
              </w:rPr>
            </w:pPr>
            <w:r>
              <w:rPr>
                <w:rFonts w:eastAsia="宋体" w:cs="Times New Roman"/>
                <w:b/>
                <w:bCs/>
                <w:sz w:val="21"/>
                <w:szCs w:val="21"/>
              </w:rPr>
              <w:t>0.</w:t>
            </w:r>
            <w:r>
              <w:rPr>
                <w:rFonts w:hint="eastAsia" w:eastAsia="宋体" w:cs="Times New Roman"/>
                <w:b/>
                <w:bCs/>
                <w:sz w:val="21"/>
                <w:szCs w:val="21"/>
              </w:rPr>
              <w:t>89</w:t>
            </w:r>
          </w:p>
        </w:tc>
      </w:tr>
      <w:tr w14:paraId="169B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1748BA43">
            <w:pPr>
              <w:spacing w:line="288" w:lineRule="auto"/>
              <w:jc w:val="center"/>
              <w:rPr>
                <w:rFonts w:eastAsia="宋体" w:cs="Times New Roman"/>
                <w:sz w:val="21"/>
                <w:szCs w:val="21"/>
              </w:rPr>
            </w:pPr>
            <w:r>
              <w:rPr>
                <w:rFonts w:hint="eastAsia" w:eastAsia="宋体" w:cs="Times New Roman"/>
                <w:sz w:val="21"/>
                <w:szCs w:val="21"/>
              </w:rPr>
              <w:t>未提权主机占比</w:t>
            </w:r>
          </w:p>
        </w:tc>
        <w:tc>
          <w:tcPr>
            <w:tcW w:w="2131" w:type="dxa"/>
            <w:tcBorders>
              <w:top w:val="nil"/>
              <w:left w:val="nil"/>
              <w:bottom w:val="nil"/>
              <w:right w:val="nil"/>
            </w:tcBorders>
          </w:tcPr>
          <w:p w14:paraId="5C1E4B18">
            <w:pPr>
              <w:spacing w:line="288" w:lineRule="auto"/>
              <w:jc w:val="center"/>
              <w:rPr>
                <w:rFonts w:eastAsia="宋体" w:cs="Times New Roman"/>
                <w:bCs/>
                <w:sz w:val="21"/>
                <w:szCs w:val="21"/>
              </w:rPr>
            </w:pPr>
            <w:r>
              <w:rPr>
                <w:rFonts w:eastAsia="宋体" w:cs="Times New Roman"/>
                <w:bCs/>
                <w:sz w:val="21"/>
                <w:szCs w:val="21"/>
              </w:rPr>
              <w:t>0.9</w:t>
            </w:r>
            <w:r>
              <w:rPr>
                <w:rFonts w:hint="eastAsia" w:eastAsia="宋体" w:cs="Times New Roman"/>
                <w:bCs/>
                <w:sz w:val="21"/>
                <w:szCs w:val="21"/>
              </w:rPr>
              <w:t>9</w:t>
            </w:r>
          </w:p>
        </w:tc>
        <w:tc>
          <w:tcPr>
            <w:tcW w:w="2226" w:type="dxa"/>
            <w:tcBorders>
              <w:top w:val="nil"/>
              <w:left w:val="nil"/>
              <w:bottom w:val="nil"/>
              <w:right w:val="nil"/>
            </w:tcBorders>
          </w:tcPr>
          <w:p w14:paraId="1133BEC0">
            <w:pPr>
              <w:spacing w:line="288" w:lineRule="auto"/>
              <w:jc w:val="center"/>
              <w:rPr>
                <w:rFonts w:eastAsia="宋体" w:cs="Times New Roman"/>
                <w:bCs/>
                <w:sz w:val="21"/>
                <w:szCs w:val="21"/>
              </w:rPr>
            </w:pPr>
            <w:r>
              <w:rPr>
                <w:rFonts w:eastAsia="宋体" w:cs="Times New Roman"/>
                <w:bCs/>
                <w:sz w:val="21"/>
                <w:szCs w:val="21"/>
              </w:rPr>
              <w:t>0.9</w:t>
            </w:r>
            <w:r>
              <w:rPr>
                <w:rFonts w:hint="eastAsia" w:eastAsia="宋体" w:cs="Times New Roman"/>
                <w:bCs/>
                <w:sz w:val="21"/>
                <w:szCs w:val="21"/>
              </w:rPr>
              <w:t>1</w:t>
            </w:r>
          </w:p>
        </w:tc>
        <w:tc>
          <w:tcPr>
            <w:tcW w:w="2035" w:type="dxa"/>
            <w:tcBorders>
              <w:top w:val="nil"/>
              <w:left w:val="nil"/>
              <w:bottom w:val="nil"/>
              <w:right w:val="nil"/>
            </w:tcBorders>
          </w:tcPr>
          <w:p w14:paraId="092975DD">
            <w:pPr>
              <w:spacing w:line="288" w:lineRule="auto"/>
              <w:jc w:val="center"/>
              <w:rPr>
                <w:rFonts w:eastAsia="宋体" w:cs="Times New Roman"/>
                <w:bCs/>
                <w:sz w:val="21"/>
                <w:szCs w:val="21"/>
              </w:rPr>
            </w:pPr>
            <w:r>
              <w:rPr>
                <w:rFonts w:hint="eastAsia" w:eastAsia="宋体" w:cs="Times New Roman"/>
                <w:bCs/>
                <w:sz w:val="21"/>
                <w:szCs w:val="21"/>
              </w:rPr>
              <w:t>0</w:t>
            </w:r>
            <w:r>
              <w:rPr>
                <w:rFonts w:eastAsia="宋体" w:cs="Times New Roman"/>
                <w:bCs/>
                <w:sz w:val="21"/>
                <w:szCs w:val="21"/>
              </w:rPr>
              <w:t>.9</w:t>
            </w:r>
            <w:r>
              <w:rPr>
                <w:rFonts w:hint="eastAsia" w:eastAsia="宋体" w:cs="Times New Roman"/>
                <w:bCs/>
                <w:sz w:val="21"/>
                <w:szCs w:val="21"/>
              </w:rPr>
              <w:t>9</w:t>
            </w:r>
          </w:p>
        </w:tc>
      </w:tr>
      <w:tr w14:paraId="003F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603B8F14">
            <w:pPr>
              <w:spacing w:line="288" w:lineRule="auto"/>
              <w:jc w:val="center"/>
              <w:rPr>
                <w:rFonts w:eastAsia="宋体" w:cs="Times New Roman"/>
                <w:sz w:val="21"/>
                <w:szCs w:val="21"/>
              </w:rPr>
            </w:pPr>
            <w:r>
              <w:rPr>
                <w:rFonts w:hint="eastAsia" w:eastAsia="宋体" w:cs="Times New Roman"/>
                <w:sz w:val="21"/>
                <w:szCs w:val="21"/>
              </w:rPr>
              <w:t>平均恢复时间</w:t>
            </w:r>
          </w:p>
        </w:tc>
        <w:tc>
          <w:tcPr>
            <w:tcW w:w="2131" w:type="dxa"/>
            <w:tcBorders>
              <w:top w:val="nil"/>
              <w:left w:val="nil"/>
              <w:bottom w:val="nil"/>
              <w:right w:val="nil"/>
            </w:tcBorders>
          </w:tcPr>
          <w:p w14:paraId="67ECDE63">
            <w:pPr>
              <w:spacing w:line="288" w:lineRule="auto"/>
              <w:jc w:val="center"/>
              <w:rPr>
                <w:rFonts w:eastAsia="宋体" w:cs="Times New Roman"/>
                <w:bCs/>
                <w:sz w:val="21"/>
                <w:szCs w:val="21"/>
              </w:rPr>
            </w:pPr>
            <w:r>
              <w:rPr>
                <w:rFonts w:eastAsia="宋体" w:cs="宋体"/>
                <w:kern w:val="0"/>
                <w:sz w:val="21"/>
                <w:szCs w:val="21"/>
              </w:rPr>
              <w:t>44.76</w:t>
            </w:r>
          </w:p>
        </w:tc>
        <w:tc>
          <w:tcPr>
            <w:tcW w:w="2226" w:type="dxa"/>
            <w:tcBorders>
              <w:top w:val="nil"/>
              <w:left w:val="nil"/>
              <w:bottom w:val="nil"/>
              <w:right w:val="nil"/>
            </w:tcBorders>
          </w:tcPr>
          <w:p w14:paraId="051C59EE">
            <w:pPr>
              <w:spacing w:line="288" w:lineRule="auto"/>
              <w:jc w:val="center"/>
              <w:rPr>
                <w:rFonts w:eastAsia="宋体" w:cs="Times New Roman"/>
                <w:bCs/>
                <w:sz w:val="21"/>
                <w:szCs w:val="21"/>
              </w:rPr>
            </w:pPr>
            <w:r>
              <w:rPr>
                <w:rFonts w:hint="eastAsia" w:eastAsia="宋体" w:cs="Times New Roman"/>
                <w:bCs/>
                <w:sz w:val="21"/>
                <w:szCs w:val="21"/>
              </w:rPr>
              <w:t>58.35</w:t>
            </w:r>
          </w:p>
        </w:tc>
        <w:tc>
          <w:tcPr>
            <w:tcW w:w="2035" w:type="dxa"/>
            <w:tcBorders>
              <w:top w:val="nil"/>
              <w:left w:val="nil"/>
              <w:bottom w:val="nil"/>
              <w:right w:val="nil"/>
            </w:tcBorders>
          </w:tcPr>
          <w:p w14:paraId="2BB2AA65">
            <w:pPr>
              <w:spacing w:line="288" w:lineRule="auto"/>
              <w:jc w:val="center"/>
              <w:rPr>
                <w:rFonts w:eastAsia="宋体" w:cs="Times New Roman"/>
                <w:b/>
                <w:bCs/>
                <w:sz w:val="21"/>
                <w:szCs w:val="21"/>
              </w:rPr>
            </w:pPr>
            <w:r>
              <w:rPr>
                <w:rFonts w:hint="eastAsia" w:eastAsia="宋体" w:cs="宋体"/>
                <w:b/>
                <w:bCs/>
                <w:kern w:val="0"/>
                <w:sz w:val="21"/>
                <w:szCs w:val="21"/>
              </w:rPr>
              <w:t>25</w:t>
            </w:r>
            <w:r>
              <w:rPr>
                <w:rFonts w:eastAsia="宋体" w:cs="宋体"/>
                <w:b/>
                <w:bCs/>
                <w:kern w:val="0"/>
                <w:sz w:val="21"/>
                <w:szCs w:val="21"/>
              </w:rPr>
              <w:t>.50</w:t>
            </w:r>
          </w:p>
        </w:tc>
      </w:tr>
      <w:tr w14:paraId="3DEB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28F313C7">
            <w:pPr>
              <w:spacing w:line="288" w:lineRule="auto"/>
              <w:jc w:val="center"/>
              <w:rPr>
                <w:rFonts w:eastAsia="宋体" w:cs="Times New Roman"/>
                <w:sz w:val="21"/>
                <w:szCs w:val="21"/>
              </w:rPr>
            </w:pPr>
            <w:r>
              <w:rPr>
                <w:rFonts w:hint="eastAsia" w:eastAsia="宋体" w:cs="Times New Roman"/>
                <w:sz w:val="21"/>
                <w:szCs w:val="21"/>
              </w:rPr>
              <w:t>有效恢复次数</w:t>
            </w:r>
          </w:p>
        </w:tc>
        <w:tc>
          <w:tcPr>
            <w:tcW w:w="2131" w:type="dxa"/>
            <w:tcBorders>
              <w:top w:val="nil"/>
              <w:left w:val="nil"/>
              <w:bottom w:val="nil"/>
              <w:right w:val="nil"/>
            </w:tcBorders>
          </w:tcPr>
          <w:p w14:paraId="104A832D">
            <w:pPr>
              <w:spacing w:line="288" w:lineRule="auto"/>
              <w:jc w:val="center"/>
              <w:rPr>
                <w:rFonts w:eastAsia="宋体" w:cs="Times New Roman"/>
                <w:bCs/>
                <w:sz w:val="21"/>
                <w:szCs w:val="21"/>
              </w:rPr>
            </w:pPr>
            <w:r>
              <w:rPr>
                <w:rFonts w:hint="eastAsia" w:eastAsia="宋体" w:cs="Times New Roman"/>
                <w:bCs/>
                <w:sz w:val="21"/>
                <w:szCs w:val="21"/>
              </w:rPr>
              <w:t>6.07</w:t>
            </w:r>
          </w:p>
        </w:tc>
        <w:tc>
          <w:tcPr>
            <w:tcW w:w="2226" w:type="dxa"/>
            <w:tcBorders>
              <w:top w:val="nil"/>
              <w:left w:val="nil"/>
              <w:bottom w:val="nil"/>
              <w:right w:val="nil"/>
            </w:tcBorders>
          </w:tcPr>
          <w:p w14:paraId="15971AF5">
            <w:pPr>
              <w:spacing w:line="288" w:lineRule="auto"/>
              <w:jc w:val="center"/>
              <w:rPr>
                <w:rFonts w:eastAsia="宋体" w:cs="Times New Roman"/>
                <w:bCs/>
                <w:sz w:val="21"/>
                <w:szCs w:val="21"/>
              </w:rPr>
            </w:pPr>
            <w:r>
              <w:rPr>
                <w:rFonts w:hint="eastAsia" w:eastAsia="宋体" w:cs="Times New Roman"/>
                <w:bCs/>
                <w:sz w:val="21"/>
                <w:szCs w:val="21"/>
              </w:rPr>
              <w:t>5.20</w:t>
            </w:r>
          </w:p>
        </w:tc>
        <w:tc>
          <w:tcPr>
            <w:tcW w:w="2035" w:type="dxa"/>
            <w:tcBorders>
              <w:top w:val="nil"/>
              <w:left w:val="nil"/>
              <w:bottom w:val="nil"/>
              <w:right w:val="nil"/>
            </w:tcBorders>
          </w:tcPr>
          <w:p w14:paraId="60F1F907">
            <w:pPr>
              <w:spacing w:line="288" w:lineRule="auto"/>
              <w:jc w:val="center"/>
              <w:rPr>
                <w:rFonts w:eastAsia="宋体" w:cs="Times New Roman"/>
                <w:b/>
                <w:sz w:val="21"/>
                <w:szCs w:val="21"/>
              </w:rPr>
            </w:pPr>
            <w:r>
              <w:rPr>
                <w:rFonts w:hint="eastAsia" w:eastAsia="宋体" w:cs="Times New Roman"/>
                <w:b/>
                <w:sz w:val="21"/>
                <w:szCs w:val="21"/>
              </w:rPr>
              <w:t>6.65</w:t>
            </w:r>
          </w:p>
        </w:tc>
      </w:tr>
      <w:tr w14:paraId="645E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091210CB">
            <w:pPr>
              <w:spacing w:line="288" w:lineRule="auto"/>
              <w:jc w:val="center"/>
              <w:rPr>
                <w:rFonts w:eastAsia="宋体" w:cs="Times New Roman"/>
                <w:sz w:val="21"/>
                <w:szCs w:val="21"/>
              </w:rPr>
            </w:pPr>
            <w:r>
              <w:rPr>
                <w:rFonts w:hint="eastAsia" w:eastAsia="宋体" w:cs="Times New Roman"/>
                <w:sz w:val="21"/>
                <w:szCs w:val="21"/>
              </w:rPr>
              <w:t>无效恢复次数</w:t>
            </w:r>
          </w:p>
        </w:tc>
        <w:tc>
          <w:tcPr>
            <w:tcW w:w="2131" w:type="dxa"/>
            <w:tcBorders>
              <w:top w:val="nil"/>
              <w:left w:val="nil"/>
              <w:bottom w:val="nil"/>
              <w:right w:val="nil"/>
            </w:tcBorders>
          </w:tcPr>
          <w:p w14:paraId="151AFF42">
            <w:pPr>
              <w:spacing w:line="288" w:lineRule="auto"/>
              <w:jc w:val="center"/>
              <w:rPr>
                <w:rFonts w:eastAsia="宋体" w:cs="Times New Roman"/>
                <w:bCs/>
                <w:sz w:val="21"/>
                <w:szCs w:val="21"/>
              </w:rPr>
            </w:pPr>
            <w:r>
              <w:rPr>
                <w:rFonts w:hint="eastAsia" w:eastAsia="宋体" w:cs="Times New Roman"/>
                <w:bCs/>
                <w:sz w:val="21"/>
                <w:szCs w:val="21"/>
              </w:rPr>
              <w:t>2.20</w:t>
            </w:r>
          </w:p>
        </w:tc>
        <w:tc>
          <w:tcPr>
            <w:tcW w:w="2226" w:type="dxa"/>
            <w:tcBorders>
              <w:top w:val="nil"/>
              <w:left w:val="nil"/>
              <w:bottom w:val="nil"/>
              <w:right w:val="nil"/>
            </w:tcBorders>
          </w:tcPr>
          <w:p w14:paraId="47BF53B4">
            <w:pPr>
              <w:spacing w:line="288" w:lineRule="auto"/>
              <w:jc w:val="center"/>
              <w:rPr>
                <w:rFonts w:eastAsia="宋体" w:cs="Times New Roman"/>
                <w:bCs/>
                <w:sz w:val="21"/>
                <w:szCs w:val="21"/>
              </w:rPr>
            </w:pPr>
            <w:r>
              <w:rPr>
                <w:rFonts w:hint="eastAsia" w:eastAsia="宋体" w:cs="Times New Roman"/>
                <w:bCs/>
                <w:sz w:val="21"/>
                <w:szCs w:val="21"/>
              </w:rPr>
              <w:t>5.75</w:t>
            </w:r>
          </w:p>
        </w:tc>
        <w:tc>
          <w:tcPr>
            <w:tcW w:w="2035" w:type="dxa"/>
            <w:tcBorders>
              <w:top w:val="nil"/>
              <w:left w:val="nil"/>
              <w:bottom w:val="nil"/>
              <w:right w:val="nil"/>
            </w:tcBorders>
          </w:tcPr>
          <w:p w14:paraId="11FAFA3C">
            <w:pPr>
              <w:spacing w:line="288" w:lineRule="auto"/>
              <w:jc w:val="center"/>
              <w:rPr>
                <w:rFonts w:eastAsia="宋体" w:cs="Times New Roman"/>
                <w:b/>
                <w:sz w:val="21"/>
                <w:szCs w:val="21"/>
              </w:rPr>
            </w:pPr>
            <w:r>
              <w:rPr>
                <w:rFonts w:hint="eastAsia" w:eastAsia="宋体" w:cs="Times New Roman"/>
                <w:b/>
                <w:sz w:val="21"/>
                <w:szCs w:val="21"/>
              </w:rPr>
              <w:t>1.81</w:t>
            </w:r>
          </w:p>
        </w:tc>
      </w:tr>
      <w:tr w14:paraId="5D4C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single" w:color="auto" w:sz="12" w:space="0"/>
              <w:right w:val="nil"/>
            </w:tcBorders>
          </w:tcPr>
          <w:p w14:paraId="17A59433">
            <w:pPr>
              <w:spacing w:line="288" w:lineRule="auto"/>
              <w:jc w:val="center"/>
              <w:rPr>
                <w:rFonts w:eastAsia="宋体" w:cs="Times New Roman"/>
                <w:sz w:val="21"/>
                <w:szCs w:val="21"/>
              </w:rPr>
            </w:pPr>
            <w:r>
              <w:rPr>
                <w:rFonts w:hint="eastAsia" w:eastAsia="宋体" w:cs="Times New Roman"/>
                <w:sz w:val="21"/>
                <w:szCs w:val="21"/>
              </w:rPr>
              <w:t>恢复精确率</w:t>
            </w:r>
          </w:p>
        </w:tc>
        <w:tc>
          <w:tcPr>
            <w:tcW w:w="2131" w:type="dxa"/>
            <w:tcBorders>
              <w:top w:val="nil"/>
              <w:left w:val="nil"/>
              <w:bottom w:val="single" w:color="auto" w:sz="12" w:space="0"/>
              <w:right w:val="nil"/>
            </w:tcBorders>
          </w:tcPr>
          <w:p w14:paraId="463336C1">
            <w:pPr>
              <w:spacing w:line="288" w:lineRule="auto"/>
              <w:jc w:val="center"/>
              <w:rPr>
                <w:rFonts w:eastAsia="宋体" w:cs="Times New Roman"/>
                <w:bCs/>
                <w:sz w:val="21"/>
                <w:szCs w:val="21"/>
              </w:rPr>
            </w:pPr>
            <w:r>
              <w:rPr>
                <w:rFonts w:hint="eastAsia" w:eastAsia="宋体" w:cs="Times New Roman"/>
                <w:bCs/>
                <w:sz w:val="21"/>
                <w:szCs w:val="21"/>
              </w:rPr>
              <w:t>0.73</w:t>
            </w:r>
          </w:p>
        </w:tc>
        <w:tc>
          <w:tcPr>
            <w:tcW w:w="2226" w:type="dxa"/>
            <w:tcBorders>
              <w:top w:val="nil"/>
              <w:left w:val="nil"/>
              <w:bottom w:val="single" w:color="auto" w:sz="12" w:space="0"/>
              <w:right w:val="nil"/>
            </w:tcBorders>
          </w:tcPr>
          <w:p w14:paraId="35C855DE">
            <w:pPr>
              <w:spacing w:line="288" w:lineRule="auto"/>
              <w:jc w:val="center"/>
              <w:rPr>
                <w:rFonts w:eastAsia="宋体" w:cs="Times New Roman"/>
                <w:bCs/>
                <w:sz w:val="21"/>
                <w:szCs w:val="21"/>
              </w:rPr>
            </w:pPr>
            <w:r>
              <w:rPr>
                <w:rFonts w:hint="eastAsia" w:eastAsia="宋体" w:cs="Times New Roman"/>
                <w:bCs/>
                <w:sz w:val="21"/>
                <w:szCs w:val="21"/>
              </w:rPr>
              <w:t>0.47</w:t>
            </w:r>
          </w:p>
        </w:tc>
        <w:tc>
          <w:tcPr>
            <w:tcW w:w="2035" w:type="dxa"/>
            <w:tcBorders>
              <w:top w:val="nil"/>
              <w:left w:val="nil"/>
              <w:bottom w:val="single" w:color="auto" w:sz="12" w:space="0"/>
              <w:right w:val="nil"/>
            </w:tcBorders>
          </w:tcPr>
          <w:p w14:paraId="6192F1A0">
            <w:pPr>
              <w:spacing w:line="288" w:lineRule="auto"/>
              <w:jc w:val="center"/>
              <w:rPr>
                <w:rFonts w:eastAsia="宋体" w:cs="Times New Roman"/>
                <w:b/>
                <w:sz w:val="21"/>
                <w:szCs w:val="21"/>
              </w:rPr>
            </w:pPr>
            <w:r>
              <w:rPr>
                <w:rFonts w:hint="eastAsia" w:eastAsia="宋体" w:cs="Times New Roman"/>
                <w:b/>
                <w:sz w:val="21"/>
                <w:szCs w:val="21"/>
              </w:rPr>
              <w:t>0.79</w:t>
            </w:r>
          </w:p>
        </w:tc>
      </w:tr>
    </w:tbl>
    <w:p w14:paraId="79D4CEEE">
      <w:pPr>
        <w:spacing w:before="156" w:beforeLines="50" w:line="400" w:lineRule="exact"/>
        <w:jc w:val="center"/>
        <w:rPr>
          <w:rFonts w:eastAsia="宋体" w:cs="Times New Roman"/>
          <w:sz w:val="21"/>
          <w:szCs w:val="21"/>
        </w:rPr>
      </w:pPr>
      <w:r>
        <w:rPr>
          <w:rFonts w:hint="eastAsia" w:eastAsia="宋体" w:cs="Times New Roman"/>
          <w:sz w:val="21"/>
          <w:szCs w:val="21"/>
        </w:rPr>
        <w:t>续表</w:t>
      </w:r>
      <w:r>
        <w:rPr>
          <w:rFonts w:eastAsia="宋体" w:cs="Times New Roman"/>
          <w:sz w:val="21"/>
          <w:szCs w:val="21"/>
        </w:rPr>
        <w:t>5.</w:t>
      </w:r>
      <w:r>
        <w:rPr>
          <w:rFonts w:hint="eastAsia" w:eastAsia="宋体" w:cs="Times New Roman"/>
          <w:sz w:val="21"/>
          <w:szCs w:val="21"/>
        </w:rPr>
        <w:t>3</w:t>
      </w:r>
      <w:r>
        <w:rPr>
          <w:rFonts w:eastAsia="宋体" w:cs="Times New Roman"/>
          <w:sz w:val="21"/>
          <w:szCs w:val="21"/>
        </w:rPr>
        <w:t xml:space="preserve"> </w:t>
      </w:r>
      <w:r>
        <w:rPr>
          <w:rFonts w:hint="eastAsia" w:eastAsia="宋体" w:cs="Times New Roman"/>
          <w:sz w:val="21"/>
          <w:szCs w:val="21"/>
        </w:rPr>
        <w:t>LMC-APT与其他文献方法对比实验结果</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2226"/>
        <w:gridCol w:w="2035"/>
      </w:tblGrid>
      <w:tr w14:paraId="1D70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single" w:color="auto" w:sz="12" w:space="0"/>
              <w:left w:val="nil"/>
              <w:bottom w:val="single" w:color="auto" w:sz="4" w:space="0"/>
              <w:right w:val="nil"/>
            </w:tcBorders>
          </w:tcPr>
          <w:p w14:paraId="491D247C">
            <w:pPr>
              <w:spacing w:line="288" w:lineRule="auto"/>
              <w:jc w:val="center"/>
              <w:rPr>
                <w:rFonts w:eastAsia="宋体" w:cs="Times New Roman"/>
                <w:sz w:val="21"/>
                <w:szCs w:val="21"/>
              </w:rPr>
            </w:pPr>
          </w:p>
        </w:tc>
        <w:tc>
          <w:tcPr>
            <w:tcW w:w="2131" w:type="dxa"/>
            <w:tcBorders>
              <w:top w:val="single" w:color="auto" w:sz="12" w:space="0"/>
              <w:left w:val="nil"/>
              <w:bottom w:val="single" w:color="auto" w:sz="4" w:space="0"/>
              <w:right w:val="nil"/>
            </w:tcBorders>
          </w:tcPr>
          <w:p w14:paraId="7E0D8E80">
            <w:pPr>
              <w:spacing w:line="288" w:lineRule="auto"/>
              <w:jc w:val="center"/>
              <w:rPr>
                <w:rFonts w:eastAsia="宋体" w:cs="Times New Roman"/>
                <w:sz w:val="21"/>
                <w:szCs w:val="21"/>
              </w:rPr>
            </w:pPr>
            <w:r>
              <w:rPr>
                <w:rFonts w:eastAsia="宋体" w:cs="宋体"/>
                <w:kern w:val="0"/>
                <w:sz w:val="21"/>
                <w:szCs w:val="21"/>
              </w:rPr>
              <w:t>H-MARL Expert</w:t>
            </w:r>
            <w:r>
              <w:rPr>
                <w:rFonts w:eastAsia="宋体" w:cs="宋体"/>
                <w:kern w:val="0"/>
                <w:sz w:val="21"/>
                <w:szCs w:val="21"/>
                <w:vertAlign w:val="superscript"/>
              </w:rPr>
              <w:fldChar w:fldCharType="begin" w:fldLock="1"/>
            </w:r>
            <w:r>
              <w:rPr>
                <w:rFonts w:eastAsia="宋体" w:cs="宋体"/>
                <w:kern w:val="0"/>
                <w:sz w:val="21"/>
                <w:szCs w:val="21"/>
                <w:vertAlign w:val="superscript"/>
              </w:rPr>
              <w:instrText xml:space="preserve"> REF _Ref225459363 \r \h  \* MERGEFORMAT </w:instrText>
            </w:r>
            <w:r>
              <w:rPr>
                <w:rFonts w:eastAsia="宋体" w:cs="宋体"/>
                <w:kern w:val="0"/>
                <w:sz w:val="21"/>
                <w:szCs w:val="21"/>
                <w:vertAlign w:val="superscript"/>
              </w:rPr>
              <w:fldChar w:fldCharType="separate"/>
            </w:r>
            <w:r>
              <w:rPr>
                <w:rFonts w:eastAsia="宋体" w:cs="宋体"/>
                <w:kern w:val="0"/>
                <w:sz w:val="21"/>
                <w:szCs w:val="21"/>
                <w:vertAlign w:val="superscript"/>
              </w:rPr>
              <w:t>[66]</w:t>
            </w:r>
            <w:r>
              <w:rPr>
                <w:rFonts w:eastAsia="宋体" w:cs="宋体"/>
                <w:kern w:val="0"/>
                <w:sz w:val="21"/>
                <w:szCs w:val="21"/>
                <w:vertAlign w:val="superscript"/>
              </w:rPr>
              <w:fldChar w:fldCharType="end"/>
            </w:r>
          </w:p>
        </w:tc>
        <w:tc>
          <w:tcPr>
            <w:tcW w:w="2226" w:type="dxa"/>
            <w:tcBorders>
              <w:top w:val="single" w:color="auto" w:sz="12" w:space="0"/>
              <w:left w:val="nil"/>
              <w:bottom w:val="single" w:color="auto" w:sz="4" w:space="0"/>
              <w:right w:val="nil"/>
            </w:tcBorders>
          </w:tcPr>
          <w:p w14:paraId="6920B318">
            <w:pPr>
              <w:spacing w:line="288" w:lineRule="auto"/>
              <w:jc w:val="center"/>
              <w:rPr>
                <w:rFonts w:eastAsia="宋体" w:cs="Times New Roman"/>
                <w:sz w:val="21"/>
                <w:szCs w:val="21"/>
              </w:rPr>
            </w:pPr>
            <w:r>
              <w:rPr>
                <w:rFonts w:eastAsia="宋体" w:cs="Times New Roman"/>
                <w:sz w:val="21"/>
                <w:szCs w:val="21"/>
              </w:rPr>
              <w:t>Single TERLA agent</w:t>
            </w:r>
            <w:r>
              <w:rPr>
                <w:rFonts w:eastAsia="宋体" w:cs="Times New Roman"/>
                <w:sz w:val="21"/>
                <w:szCs w:val="21"/>
                <w:vertAlign w:val="superscript"/>
              </w:rPr>
              <w:fldChar w:fldCharType="begin" w:fldLock="1"/>
            </w:r>
            <w:r>
              <w:rPr>
                <w:rFonts w:eastAsia="宋体" w:cs="Times New Roman"/>
                <w:sz w:val="21"/>
                <w:szCs w:val="21"/>
                <w:vertAlign w:val="superscript"/>
              </w:rPr>
              <w:instrText xml:space="preserve"> REF _Ref225866926 \r \h  \* MERGEFORMAT </w:instrText>
            </w:r>
            <w:r>
              <w:rPr>
                <w:rFonts w:eastAsia="宋体" w:cs="Times New Roman"/>
                <w:sz w:val="21"/>
                <w:szCs w:val="21"/>
                <w:vertAlign w:val="superscript"/>
              </w:rPr>
              <w:fldChar w:fldCharType="separate"/>
            </w:r>
            <w:r>
              <w:rPr>
                <w:rFonts w:eastAsia="宋体" w:cs="Times New Roman"/>
                <w:sz w:val="21"/>
                <w:szCs w:val="21"/>
                <w:vertAlign w:val="superscript"/>
              </w:rPr>
              <w:t>[99]</w:t>
            </w:r>
            <w:r>
              <w:rPr>
                <w:rFonts w:eastAsia="宋体" w:cs="Times New Roman"/>
                <w:sz w:val="21"/>
                <w:szCs w:val="21"/>
                <w:vertAlign w:val="superscript"/>
              </w:rPr>
              <w:fldChar w:fldCharType="end"/>
            </w:r>
          </w:p>
        </w:tc>
        <w:tc>
          <w:tcPr>
            <w:tcW w:w="2035" w:type="dxa"/>
            <w:tcBorders>
              <w:top w:val="single" w:color="auto" w:sz="12" w:space="0"/>
              <w:left w:val="nil"/>
              <w:bottom w:val="single" w:color="auto" w:sz="4" w:space="0"/>
              <w:right w:val="nil"/>
            </w:tcBorders>
          </w:tcPr>
          <w:p w14:paraId="26837D75">
            <w:pPr>
              <w:spacing w:line="288" w:lineRule="auto"/>
              <w:jc w:val="center"/>
              <w:rPr>
                <w:rFonts w:eastAsia="宋体" w:cs="Times New Roman"/>
                <w:b/>
                <w:bCs/>
                <w:sz w:val="21"/>
                <w:szCs w:val="21"/>
              </w:rPr>
            </w:pPr>
            <w:r>
              <w:rPr>
                <w:rFonts w:hint="eastAsia" w:eastAsia="宋体" w:cs="Times New Roman"/>
                <w:b/>
                <w:bCs/>
                <w:sz w:val="21"/>
                <w:szCs w:val="21"/>
              </w:rPr>
              <w:t>LMC-APT</w:t>
            </w:r>
          </w:p>
        </w:tc>
      </w:tr>
      <w:tr w14:paraId="5CF01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nil"/>
              <w:right w:val="nil"/>
            </w:tcBorders>
          </w:tcPr>
          <w:p w14:paraId="06CC1378">
            <w:pPr>
              <w:spacing w:line="288" w:lineRule="auto"/>
              <w:jc w:val="center"/>
              <w:rPr>
                <w:rFonts w:eastAsia="宋体" w:cs="Times New Roman"/>
                <w:sz w:val="21"/>
                <w:szCs w:val="21"/>
              </w:rPr>
            </w:pPr>
            <w:r>
              <w:rPr>
                <w:rFonts w:hint="eastAsia" w:eastAsia="宋体" w:cs="Times New Roman"/>
                <w:sz w:val="21"/>
                <w:szCs w:val="21"/>
              </w:rPr>
              <w:t>恢复误差率</w:t>
            </w:r>
          </w:p>
        </w:tc>
        <w:tc>
          <w:tcPr>
            <w:tcW w:w="2131" w:type="dxa"/>
            <w:tcBorders>
              <w:top w:val="nil"/>
              <w:left w:val="nil"/>
              <w:bottom w:val="nil"/>
              <w:right w:val="nil"/>
            </w:tcBorders>
          </w:tcPr>
          <w:p w14:paraId="5E139DEF">
            <w:pPr>
              <w:spacing w:line="288" w:lineRule="auto"/>
              <w:jc w:val="center"/>
              <w:rPr>
                <w:rFonts w:eastAsia="宋体" w:cs="Times New Roman"/>
                <w:bCs/>
                <w:sz w:val="21"/>
                <w:szCs w:val="21"/>
              </w:rPr>
            </w:pPr>
            <w:r>
              <w:rPr>
                <w:rFonts w:hint="eastAsia" w:eastAsia="宋体" w:cs="Times New Roman"/>
                <w:bCs/>
                <w:sz w:val="21"/>
                <w:szCs w:val="21"/>
              </w:rPr>
              <w:t>0.27</w:t>
            </w:r>
          </w:p>
        </w:tc>
        <w:tc>
          <w:tcPr>
            <w:tcW w:w="2226" w:type="dxa"/>
            <w:tcBorders>
              <w:top w:val="nil"/>
              <w:left w:val="nil"/>
              <w:bottom w:val="nil"/>
              <w:right w:val="nil"/>
            </w:tcBorders>
          </w:tcPr>
          <w:p w14:paraId="319ED4A2">
            <w:pPr>
              <w:spacing w:line="288" w:lineRule="auto"/>
              <w:jc w:val="center"/>
              <w:rPr>
                <w:rFonts w:eastAsia="宋体" w:cs="Times New Roman"/>
                <w:bCs/>
                <w:sz w:val="21"/>
                <w:szCs w:val="21"/>
              </w:rPr>
            </w:pPr>
            <w:r>
              <w:rPr>
                <w:rFonts w:hint="eastAsia" w:eastAsia="宋体" w:cs="Times New Roman"/>
                <w:bCs/>
                <w:sz w:val="21"/>
                <w:szCs w:val="21"/>
              </w:rPr>
              <w:t>0.53</w:t>
            </w:r>
          </w:p>
        </w:tc>
        <w:tc>
          <w:tcPr>
            <w:tcW w:w="2035" w:type="dxa"/>
            <w:tcBorders>
              <w:top w:val="nil"/>
              <w:left w:val="nil"/>
              <w:bottom w:val="nil"/>
              <w:right w:val="nil"/>
            </w:tcBorders>
          </w:tcPr>
          <w:p w14:paraId="35501987">
            <w:pPr>
              <w:spacing w:line="288" w:lineRule="auto"/>
              <w:jc w:val="center"/>
              <w:rPr>
                <w:rFonts w:eastAsia="宋体" w:cs="Times New Roman"/>
                <w:b/>
                <w:sz w:val="21"/>
                <w:szCs w:val="21"/>
              </w:rPr>
            </w:pPr>
            <w:r>
              <w:rPr>
                <w:rFonts w:hint="eastAsia" w:eastAsia="宋体" w:cs="Times New Roman"/>
                <w:b/>
                <w:sz w:val="21"/>
                <w:szCs w:val="21"/>
              </w:rPr>
              <w:t>0.21</w:t>
            </w:r>
          </w:p>
        </w:tc>
      </w:tr>
      <w:tr w14:paraId="7ACA0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130" w:type="dxa"/>
            <w:tcBorders>
              <w:top w:val="nil"/>
              <w:left w:val="nil"/>
              <w:bottom w:val="single" w:color="auto" w:sz="12" w:space="0"/>
              <w:right w:val="nil"/>
            </w:tcBorders>
          </w:tcPr>
          <w:p w14:paraId="02EB6724">
            <w:pPr>
              <w:spacing w:line="288" w:lineRule="auto"/>
              <w:jc w:val="center"/>
              <w:rPr>
                <w:rFonts w:eastAsia="宋体" w:cs="Times New Roman"/>
                <w:sz w:val="21"/>
                <w:szCs w:val="21"/>
              </w:rPr>
            </w:pPr>
            <w:r>
              <w:rPr>
                <w:rFonts w:hint="eastAsia" w:eastAsia="宋体" w:cs="Times New Roman"/>
                <w:sz w:val="21"/>
                <w:szCs w:val="21"/>
              </w:rPr>
              <w:t>红方影响次数</w:t>
            </w:r>
          </w:p>
        </w:tc>
        <w:tc>
          <w:tcPr>
            <w:tcW w:w="2131" w:type="dxa"/>
            <w:tcBorders>
              <w:top w:val="nil"/>
              <w:left w:val="nil"/>
              <w:bottom w:val="single" w:color="auto" w:sz="12" w:space="0"/>
              <w:right w:val="nil"/>
            </w:tcBorders>
          </w:tcPr>
          <w:p w14:paraId="1BE08CD9">
            <w:pPr>
              <w:spacing w:line="288" w:lineRule="auto"/>
              <w:jc w:val="center"/>
              <w:rPr>
                <w:rFonts w:eastAsia="宋体" w:cs="Times New Roman"/>
                <w:bCs/>
                <w:sz w:val="21"/>
                <w:szCs w:val="21"/>
              </w:rPr>
            </w:pPr>
            <w:r>
              <w:rPr>
                <w:rFonts w:hint="eastAsia" w:eastAsia="宋体" w:cs="Times New Roman"/>
                <w:bCs/>
                <w:sz w:val="21"/>
                <w:szCs w:val="21"/>
              </w:rPr>
              <w:t>0.88</w:t>
            </w:r>
          </w:p>
        </w:tc>
        <w:tc>
          <w:tcPr>
            <w:tcW w:w="2226" w:type="dxa"/>
            <w:tcBorders>
              <w:top w:val="nil"/>
              <w:left w:val="nil"/>
              <w:bottom w:val="single" w:color="auto" w:sz="12" w:space="0"/>
              <w:right w:val="nil"/>
            </w:tcBorders>
          </w:tcPr>
          <w:p w14:paraId="1088203A">
            <w:pPr>
              <w:spacing w:line="288" w:lineRule="auto"/>
              <w:jc w:val="center"/>
              <w:rPr>
                <w:rFonts w:eastAsia="宋体" w:cs="Times New Roman"/>
                <w:bCs/>
                <w:sz w:val="21"/>
                <w:szCs w:val="21"/>
              </w:rPr>
            </w:pPr>
            <w:r>
              <w:rPr>
                <w:rFonts w:hint="eastAsia" w:eastAsia="宋体" w:cs="Times New Roman"/>
                <w:bCs/>
                <w:sz w:val="21"/>
                <w:szCs w:val="21"/>
              </w:rPr>
              <w:t>3.75</w:t>
            </w:r>
          </w:p>
        </w:tc>
        <w:tc>
          <w:tcPr>
            <w:tcW w:w="2035" w:type="dxa"/>
            <w:tcBorders>
              <w:top w:val="nil"/>
              <w:left w:val="nil"/>
              <w:bottom w:val="single" w:color="auto" w:sz="12" w:space="0"/>
              <w:right w:val="nil"/>
            </w:tcBorders>
          </w:tcPr>
          <w:p w14:paraId="51490ECF">
            <w:pPr>
              <w:spacing w:line="288" w:lineRule="auto"/>
              <w:jc w:val="center"/>
              <w:rPr>
                <w:rFonts w:eastAsia="宋体" w:cs="Times New Roman"/>
                <w:b/>
                <w:sz w:val="21"/>
                <w:szCs w:val="21"/>
              </w:rPr>
            </w:pPr>
            <w:r>
              <w:rPr>
                <w:rFonts w:hint="eastAsia" w:eastAsia="宋体" w:cs="Times New Roman"/>
                <w:b/>
                <w:sz w:val="21"/>
                <w:szCs w:val="21"/>
              </w:rPr>
              <w:t>0.85</w:t>
            </w:r>
          </w:p>
        </w:tc>
      </w:tr>
    </w:tbl>
    <w:p w14:paraId="1CB5459B">
      <w:pPr>
        <w:ind w:firstLine="480" w:firstLineChars="200"/>
      </w:pPr>
      <w:r>
        <w:rPr>
          <w:rFonts w:hint="eastAsia"/>
        </w:rPr>
        <w:t>从表5.3中可以看出，本文提出的LMC-APT方法相较于现有文献方法取得了更优的检测性能，具体分析如下：</w:t>
      </w:r>
    </w:p>
    <w:p w14:paraId="161BFD59">
      <w:pPr>
        <w:ind w:firstLine="480" w:firstLineChars="200"/>
      </w:pPr>
      <w:r>
        <w:rPr>
          <w:rFonts w:hint="eastAsia"/>
        </w:rPr>
        <w:t>1）从整体结果来看，本文方法在回合平均回报、回报标准差、干净主机占比、平均恢复时间、恢复精确率等指标均取得最优结果，</w:t>
      </w:r>
      <w:r>
        <w:t>表明其综合检测效果更优</w:t>
      </w:r>
      <w:r>
        <w:rPr>
          <w:rFonts w:hint="eastAsia"/>
        </w:rPr>
        <w:t>。其中，更高的平均回报证明了本文方法整体性能与收益更优，回报标准差更低证明了本文方法稳定性更好。</w:t>
      </w:r>
    </w:p>
    <w:p w14:paraId="30B6A28A">
      <w:pPr>
        <w:ind w:firstLine="480" w:firstLineChars="200"/>
      </w:pPr>
      <w:r>
        <w:rPr>
          <w:rFonts w:hint="eastAsia"/>
        </w:rPr>
        <w:t>2）与</w:t>
      </w:r>
      <w:r>
        <w:t>H-MARL Expert</w:t>
      </w:r>
      <w:r>
        <w:rPr>
          <w:rFonts w:hint="eastAsia"/>
        </w:rPr>
        <w:t>相比，本文方法在未提权主机占比及红方影响次数指标上与其表现接近，而其余指标均更具优势。这说明相较于“层次化策略及规则调度”方法，本文首先构建各区域有效的检测方法，并引入LLM协作规划与MARL协作决策与联合优化，可以更有效地实现多区域的APT攻击检测。</w:t>
      </w:r>
    </w:p>
    <w:p w14:paraId="2F21209D">
      <w:pPr>
        <w:ind w:firstLine="480" w:firstLineChars="200"/>
      </w:pPr>
      <w:r>
        <w:rPr>
          <w:rFonts w:hint="eastAsia"/>
        </w:rPr>
        <w:t>3）与</w:t>
      </w:r>
      <w:r>
        <w:t xml:space="preserve">Single TERLA </w:t>
      </w:r>
      <w:r>
        <w:rPr>
          <w:rFonts w:hint="eastAsia"/>
        </w:rPr>
        <w:t>a</w:t>
      </w:r>
      <w:r>
        <w:t>gent</w:t>
      </w:r>
      <w:r>
        <w:rPr>
          <w:rFonts w:hint="eastAsia"/>
        </w:rPr>
        <w:t>相比，本文方法所有指标均表现更优，这说明仅使用“表征学习及单智能体强化学习策略”在多区域场景下难以实现有效检测。相比之下，本文方法提出单区域有效的检测方法，然后引入证据共享与协作规划，并通过多智能体协作决策与联合优化将规划落实并有效执行，从而能够取得更有效且稳定的协同检测效果。</w:t>
      </w:r>
    </w:p>
    <w:p w14:paraId="56FCDC66">
      <w:pPr>
        <w:ind w:firstLine="480" w:firstLineChars="200"/>
      </w:pPr>
      <w:r>
        <w:rPr>
          <w:rFonts w:hint="eastAsia"/>
        </w:rPr>
        <w:t>综上所述，相较于其他文献方法，本文方法LMC-APT的检测性能最优，这是因为各区域具备良好的前瞻评估与及早检测能力，并通过LLM协作规划及MARL协作决策与联合优化进一步提升了整个区域的协作能力与检测效果，验证了本文方法针对多区域APT攻击检测的优势与良好性能。</w:t>
      </w:r>
    </w:p>
    <w:p w14:paraId="215CBADE">
      <w:pPr>
        <w:ind w:firstLine="482" w:firstLineChars="200"/>
        <w:rPr>
          <w:b/>
          <w:bCs/>
        </w:rPr>
      </w:pPr>
      <w:r>
        <w:rPr>
          <w:rFonts w:hint="eastAsia"/>
          <w:b/>
          <w:bCs/>
        </w:rPr>
        <w:t>（2）与官方竞赛结果对比</w:t>
      </w:r>
    </w:p>
    <w:p w14:paraId="3262FA5D">
      <w:pPr>
        <w:ind w:firstLine="480" w:firstLineChars="200"/>
      </w:pPr>
      <w:r>
        <w:rPr>
          <w:rFonts w:hint="eastAsia"/>
        </w:rPr>
        <w:t>为进一步评估本文提出方法的有效性，本文将其与CC4环境的官方竞赛结果进行对比。由于官方只公布了各位参赛者方法的回合平均回报结果，因此本文暂选取该指标作为对比标准。官方的竞赛结果如图5.4所示。</w:t>
      </w:r>
    </w:p>
    <w:p w14:paraId="2841C788">
      <w:pPr>
        <w:pStyle w:val="40"/>
      </w:pPr>
      <w:r>
        <w:drawing>
          <wp:inline distT="0" distB="0" distL="0" distR="0">
            <wp:extent cx="5263515" cy="2088515"/>
            <wp:effectExtent l="0" t="0" r="0" b="0"/>
            <wp:docPr id="129999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4926" name="图片 1"/>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a:xfrm>
                      <a:off x="0" y="0"/>
                      <a:ext cx="5263515" cy="2088515"/>
                    </a:xfrm>
                    <a:prstGeom prst="rect">
                      <a:avLst/>
                    </a:prstGeom>
                    <a:noFill/>
                    <a:ln>
                      <a:noFill/>
                    </a:ln>
                  </pic:spPr>
                </pic:pic>
              </a:graphicData>
            </a:graphic>
          </wp:inline>
        </w:drawing>
      </w:r>
    </w:p>
    <w:p w14:paraId="2B736AAF">
      <w:pPr>
        <w:widowControl/>
        <w:spacing w:line="400" w:lineRule="exact"/>
        <w:jc w:val="center"/>
        <w:rPr>
          <w:rFonts w:eastAsia="宋体" w:cs="Times New Roman"/>
          <w:sz w:val="21"/>
          <w:szCs w:val="21"/>
        </w:rPr>
      </w:pPr>
      <w:r>
        <w:rPr>
          <w:rFonts w:hint="eastAsia" w:eastAsia="宋体" w:cs="Times New Roman"/>
          <w:sz w:val="21"/>
          <w:szCs w:val="21"/>
        </w:rPr>
        <w:t>图</w:t>
      </w:r>
      <w:r>
        <w:rPr>
          <w:rFonts w:eastAsia="宋体" w:cs="Times New Roman"/>
          <w:sz w:val="21"/>
          <w:szCs w:val="21"/>
        </w:rPr>
        <w:t>5.</w:t>
      </w:r>
      <w:r>
        <w:rPr>
          <w:rFonts w:hint="eastAsia" w:eastAsia="宋体" w:cs="Times New Roman"/>
          <w:sz w:val="21"/>
          <w:szCs w:val="21"/>
        </w:rPr>
        <w:t>4</w:t>
      </w:r>
      <w:r>
        <w:rPr>
          <w:rFonts w:eastAsia="宋体" w:cs="Times New Roman"/>
          <w:sz w:val="21"/>
          <w:szCs w:val="21"/>
        </w:rPr>
        <w:t xml:space="preserve"> </w:t>
      </w:r>
      <w:r>
        <w:rPr>
          <w:rFonts w:hint="eastAsia" w:eastAsia="宋体" w:cs="Times New Roman"/>
          <w:sz w:val="21"/>
          <w:szCs w:val="21"/>
        </w:rPr>
        <w:t>CC4环境的官方竞赛结果</w:t>
      </w:r>
    </w:p>
    <w:p w14:paraId="281CF4CB">
      <w:pPr>
        <w:ind w:firstLine="480" w:firstLineChars="200"/>
      </w:pPr>
      <w:r>
        <w:rPr>
          <w:rFonts w:hint="eastAsia"/>
        </w:rPr>
        <w:t>从图5.4可以看出，在该竞赛中最优的回合平均回报为-113.81，而本文方法的回合平均回报为-85.60，相比现有方法平均回报提升了28.21，为目前该实验环境中已知的最优平均回报，这体现了本文方法在该环境下具有良好的防御与检测能力，证明了本文方法的有效性。</w:t>
      </w:r>
    </w:p>
    <w:p w14:paraId="7C4DDC2C">
      <w:pPr>
        <w:ind w:firstLine="482" w:firstLineChars="200"/>
        <w:rPr>
          <w:b/>
          <w:bCs/>
        </w:rPr>
      </w:pPr>
      <w:r>
        <w:rPr>
          <w:rFonts w:hint="eastAsia"/>
          <w:b/>
          <w:bCs/>
        </w:rPr>
        <w:t>（3）与基线模型对比</w:t>
      </w:r>
    </w:p>
    <w:p w14:paraId="5204756D">
      <w:pPr>
        <w:ind w:firstLine="480"/>
      </w:pPr>
      <w:r>
        <w:rPr>
          <w:rFonts w:hint="eastAsia"/>
        </w:rPr>
        <w:t>为验证本文方法LMC-APT在APT检测方面的有效性，并分析LLM协作规划与MARL联合优化各自的贡献，本文设计了其与基线模型的对比实验，其中对基线模型定义如下：No-Collab为第四章各区域的最终检测方法，无各区域之间协作检测；Plan-Only为只在此基础上增加LLM协作规划部分，不涉及多智能体协作决策与MAPPO联合优化部分；MARL-Dec为只在No-Collab基础上增加多智能体协作决策与MAPPO联合优化方法，不采用LLM进行协作规划；LMC-APT是本章最终方法，即同时包含LLM协作规划及多智能体协作决策与MAPPO联合优化部分。实验结果如表5.4所示。</w:t>
      </w:r>
    </w:p>
    <w:p w14:paraId="37C88F78">
      <w:pPr>
        <w:spacing w:line="400" w:lineRule="exact"/>
        <w:jc w:val="center"/>
        <w:rPr>
          <w:rFonts w:eastAsia="宋体" w:cs="Times New Roman"/>
          <w:sz w:val="21"/>
          <w:szCs w:val="21"/>
        </w:rPr>
      </w:pPr>
      <w:r>
        <w:rPr>
          <w:rFonts w:hint="eastAsia" w:eastAsia="宋体" w:cs="Times New Roman"/>
          <w:sz w:val="21"/>
          <w:szCs w:val="21"/>
        </w:rPr>
        <w:t>表</w:t>
      </w:r>
      <w:r>
        <w:rPr>
          <w:rFonts w:eastAsia="宋体" w:cs="Times New Roman"/>
          <w:sz w:val="21"/>
          <w:szCs w:val="21"/>
        </w:rPr>
        <w:t>5.</w:t>
      </w:r>
      <w:r>
        <w:rPr>
          <w:rFonts w:hint="eastAsia" w:eastAsia="宋体" w:cs="Times New Roman"/>
          <w:sz w:val="21"/>
          <w:szCs w:val="21"/>
        </w:rPr>
        <w:t>4</w:t>
      </w:r>
      <w:r>
        <w:rPr>
          <w:rFonts w:eastAsia="宋体" w:cs="Times New Roman"/>
          <w:sz w:val="21"/>
          <w:szCs w:val="21"/>
        </w:rPr>
        <w:t xml:space="preserve"> </w:t>
      </w:r>
      <w:r>
        <w:rPr>
          <w:rFonts w:hint="eastAsia" w:eastAsia="宋体" w:cs="Times New Roman"/>
          <w:sz w:val="21"/>
          <w:szCs w:val="21"/>
        </w:rPr>
        <w:t>LMC-APT与基线模型对比实验结果</w:t>
      </w:r>
    </w:p>
    <w:tbl>
      <w:tblPr>
        <w:tblStyle w:val="19"/>
        <w:tblW w:w="83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5"/>
        <w:gridCol w:w="1479"/>
        <w:gridCol w:w="1664"/>
        <w:gridCol w:w="2033"/>
        <w:gridCol w:w="1481"/>
      </w:tblGrid>
      <w:tr w14:paraId="5372AF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12" w:space="0"/>
              <w:bottom w:val="single" w:color="auto" w:sz="4" w:space="0"/>
            </w:tcBorders>
          </w:tcPr>
          <w:p w14:paraId="2AB7EBE4">
            <w:pPr>
              <w:spacing w:line="288" w:lineRule="auto"/>
              <w:jc w:val="center"/>
              <w:rPr>
                <w:rFonts w:eastAsia="宋体" w:cs="Times New Roman"/>
                <w:sz w:val="21"/>
              </w:rPr>
            </w:pPr>
          </w:p>
        </w:tc>
        <w:tc>
          <w:tcPr>
            <w:tcW w:w="1479" w:type="dxa"/>
            <w:tcBorders>
              <w:top w:val="single" w:color="auto" w:sz="12" w:space="0"/>
              <w:bottom w:val="single" w:color="auto" w:sz="4" w:space="0"/>
            </w:tcBorders>
          </w:tcPr>
          <w:p w14:paraId="6CE1634A">
            <w:pPr>
              <w:spacing w:line="288" w:lineRule="auto"/>
              <w:jc w:val="center"/>
              <w:rPr>
                <w:rFonts w:eastAsia="宋体" w:cs="Times New Roman"/>
                <w:sz w:val="21"/>
              </w:rPr>
            </w:pPr>
            <w:r>
              <w:rPr>
                <w:rFonts w:hint="eastAsia" w:eastAsia="宋体" w:cs="Times New Roman"/>
                <w:sz w:val="21"/>
                <w:szCs w:val="21"/>
              </w:rPr>
              <w:t>平均回报</w:t>
            </w:r>
          </w:p>
        </w:tc>
        <w:tc>
          <w:tcPr>
            <w:tcW w:w="1664" w:type="dxa"/>
            <w:tcBorders>
              <w:top w:val="single" w:color="auto" w:sz="12" w:space="0"/>
              <w:bottom w:val="single" w:color="auto" w:sz="4" w:space="0"/>
            </w:tcBorders>
          </w:tcPr>
          <w:p w14:paraId="1DAB0971">
            <w:pPr>
              <w:spacing w:line="288" w:lineRule="auto"/>
              <w:jc w:val="center"/>
              <w:rPr>
                <w:rFonts w:eastAsia="宋体" w:cs="Times New Roman"/>
                <w:sz w:val="21"/>
              </w:rPr>
            </w:pPr>
            <w:r>
              <w:rPr>
                <w:rFonts w:hint="eastAsia" w:eastAsia="宋体" w:cs="Times New Roman"/>
                <w:sz w:val="21"/>
                <w:szCs w:val="21"/>
              </w:rPr>
              <w:t>回报标准差</w:t>
            </w:r>
          </w:p>
        </w:tc>
        <w:tc>
          <w:tcPr>
            <w:tcW w:w="2033" w:type="dxa"/>
            <w:tcBorders>
              <w:top w:val="single" w:color="auto" w:sz="12" w:space="0"/>
              <w:bottom w:val="single" w:color="auto" w:sz="4" w:space="0"/>
            </w:tcBorders>
          </w:tcPr>
          <w:p w14:paraId="4595FBC2">
            <w:pPr>
              <w:spacing w:line="288" w:lineRule="auto"/>
              <w:jc w:val="center"/>
              <w:rPr>
                <w:rFonts w:eastAsia="宋体" w:cs="Times New Roman"/>
                <w:sz w:val="21"/>
              </w:rPr>
            </w:pPr>
            <w:r>
              <w:rPr>
                <w:rFonts w:hint="eastAsia" w:eastAsia="宋体" w:cs="Times New Roman"/>
                <w:sz w:val="21"/>
                <w:szCs w:val="21"/>
              </w:rPr>
              <w:t>平均恢复时间</w:t>
            </w:r>
          </w:p>
        </w:tc>
        <w:tc>
          <w:tcPr>
            <w:tcW w:w="1481" w:type="dxa"/>
            <w:tcBorders>
              <w:top w:val="single" w:color="auto" w:sz="12" w:space="0"/>
              <w:bottom w:val="single" w:color="auto" w:sz="4" w:space="0"/>
            </w:tcBorders>
          </w:tcPr>
          <w:p w14:paraId="25E814CC">
            <w:pPr>
              <w:spacing w:line="288" w:lineRule="auto"/>
              <w:jc w:val="center"/>
              <w:rPr>
                <w:rFonts w:eastAsia="宋体" w:cs="Times New Roman"/>
                <w:sz w:val="21"/>
              </w:rPr>
            </w:pPr>
            <w:r>
              <w:rPr>
                <w:rFonts w:hint="eastAsia" w:eastAsia="宋体" w:cs="Times New Roman"/>
                <w:sz w:val="21"/>
                <w:szCs w:val="21"/>
              </w:rPr>
              <w:t>恢复精确率</w:t>
            </w:r>
          </w:p>
        </w:tc>
      </w:tr>
      <w:tr w14:paraId="38E0F6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4" w:space="0"/>
            </w:tcBorders>
          </w:tcPr>
          <w:p w14:paraId="71BDCFFB">
            <w:pPr>
              <w:spacing w:line="288" w:lineRule="auto"/>
              <w:jc w:val="center"/>
              <w:rPr>
                <w:rFonts w:eastAsia="宋体" w:cs="Times New Roman"/>
                <w:sz w:val="21"/>
              </w:rPr>
            </w:pPr>
            <w:r>
              <w:rPr>
                <w:rFonts w:hint="eastAsia" w:eastAsia="宋体" w:cs="宋体"/>
                <w:kern w:val="0"/>
                <w:sz w:val="21"/>
                <w:szCs w:val="21"/>
              </w:rPr>
              <w:t>No-Collab</w:t>
            </w:r>
          </w:p>
        </w:tc>
        <w:tc>
          <w:tcPr>
            <w:tcW w:w="1479" w:type="dxa"/>
            <w:tcBorders>
              <w:top w:val="single" w:color="auto" w:sz="4" w:space="0"/>
            </w:tcBorders>
          </w:tcPr>
          <w:p w14:paraId="19E0CA8B">
            <w:pPr>
              <w:spacing w:line="288" w:lineRule="auto"/>
              <w:jc w:val="center"/>
              <w:rPr>
                <w:rFonts w:eastAsia="宋体" w:cs="Times New Roman"/>
                <w:sz w:val="21"/>
              </w:rPr>
            </w:pPr>
            <w:r>
              <w:rPr>
                <w:rFonts w:hint="eastAsia" w:eastAsia="Times New Roman"/>
                <w:sz w:val="21"/>
                <w:szCs w:val="21"/>
              </w:rPr>
              <w:t>-125.65</w:t>
            </w:r>
          </w:p>
        </w:tc>
        <w:tc>
          <w:tcPr>
            <w:tcW w:w="1664" w:type="dxa"/>
            <w:tcBorders>
              <w:top w:val="single" w:color="auto" w:sz="4" w:space="0"/>
            </w:tcBorders>
          </w:tcPr>
          <w:p w14:paraId="5FC701CC">
            <w:pPr>
              <w:spacing w:line="288" w:lineRule="auto"/>
              <w:jc w:val="center"/>
              <w:rPr>
                <w:rFonts w:eastAsia="宋体" w:cs="Times New Roman"/>
                <w:sz w:val="21"/>
              </w:rPr>
            </w:pPr>
            <w:r>
              <w:rPr>
                <w:rFonts w:hint="eastAsia" w:eastAsia="Times New Roman"/>
                <w:sz w:val="21"/>
                <w:szCs w:val="21"/>
              </w:rPr>
              <w:t>50.32</w:t>
            </w:r>
          </w:p>
        </w:tc>
        <w:tc>
          <w:tcPr>
            <w:tcW w:w="2033" w:type="dxa"/>
            <w:tcBorders>
              <w:top w:val="single" w:color="auto" w:sz="4" w:space="0"/>
            </w:tcBorders>
          </w:tcPr>
          <w:p w14:paraId="709CDE00">
            <w:pPr>
              <w:spacing w:line="288" w:lineRule="auto"/>
              <w:jc w:val="center"/>
              <w:rPr>
                <w:rFonts w:eastAsia="宋体" w:cs="Times New Roman"/>
                <w:sz w:val="21"/>
              </w:rPr>
            </w:pPr>
            <w:r>
              <w:rPr>
                <w:rFonts w:hint="eastAsia" w:eastAsia="Times New Roman"/>
                <w:sz w:val="21"/>
                <w:szCs w:val="21"/>
              </w:rPr>
              <w:t>42.87</w:t>
            </w:r>
          </w:p>
        </w:tc>
        <w:tc>
          <w:tcPr>
            <w:tcW w:w="1481" w:type="dxa"/>
            <w:tcBorders>
              <w:top w:val="single" w:color="auto" w:sz="4" w:space="0"/>
            </w:tcBorders>
          </w:tcPr>
          <w:p w14:paraId="4CFD9F9C">
            <w:pPr>
              <w:spacing w:line="288" w:lineRule="auto"/>
              <w:jc w:val="center"/>
              <w:rPr>
                <w:rFonts w:eastAsia="宋体" w:cs="Times New Roman"/>
                <w:sz w:val="21"/>
              </w:rPr>
            </w:pPr>
            <w:r>
              <w:rPr>
                <w:rFonts w:hint="eastAsia" w:eastAsia="Times New Roman"/>
                <w:sz w:val="21"/>
                <w:szCs w:val="21"/>
              </w:rPr>
              <w:t>0.63</w:t>
            </w:r>
          </w:p>
        </w:tc>
      </w:tr>
      <w:tr w14:paraId="0CBA2A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294AE932">
            <w:pPr>
              <w:spacing w:line="288" w:lineRule="auto"/>
              <w:jc w:val="center"/>
              <w:rPr>
                <w:rFonts w:eastAsia="宋体" w:cs="Times New Roman"/>
                <w:sz w:val="21"/>
              </w:rPr>
            </w:pPr>
            <w:r>
              <w:rPr>
                <w:rFonts w:hint="eastAsia" w:eastAsia="宋体" w:cs="Times New Roman"/>
                <w:sz w:val="21"/>
              </w:rPr>
              <w:t>Plan-Only</w:t>
            </w:r>
          </w:p>
        </w:tc>
        <w:tc>
          <w:tcPr>
            <w:tcW w:w="1479" w:type="dxa"/>
          </w:tcPr>
          <w:p w14:paraId="39E0F2AA">
            <w:pPr>
              <w:spacing w:line="288" w:lineRule="auto"/>
              <w:jc w:val="center"/>
              <w:rPr>
                <w:rFonts w:eastAsia="宋体" w:cs="Times New Roman"/>
                <w:sz w:val="21"/>
              </w:rPr>
            </w:pPr>
            <w:r>
              <w:rPr>
                <w:rFonts w:hint="eastAsia" w:eastAsia="Times New Roman"/>
                <w:sz w:val="21"/>
                <w:szCs w:val="21"/>
              </w:rPr>
              <w:t>-97.69</w:t>
            </w:r>
          </w:p>
        </w:tc>
        <w:tc>
          <w:tcPr>
            <w:tcW w:w="1664" w:type="dxa"/>
          </w:tcPr>
          <w:p w14:paraId="05CA32E3">
            <w:pPr>
              <w:spacing w:line="288" w:lineRule="auto"/>
              <w:jc w:val="center"/>
              <w:rPr>
                <w:rFonts w:eastAsia="宋体" w:cs="Times New Roman"/>
                <w:b/>
                <w:bCs/>
                <w:sz w:val="21"/>
              </w:rPr>
            </w:pPr>
            <w:r>
              <w:rPr>
                <w:rFonts w:hint="eastAsia" w:eastAsia="Times New Roman"/>
                <w:sz w:val="21"/>
                <w:szCs w:val="21"/>
              </w:rPr>
              <w:t>3</w:t>
            </w:r>
            <w:r>
              <w:rPr>
                <w:rFonts w:hint="eastAsia" w:eastAsiaTheme="minorEastAsia"/>
                <w:sz w:val="21"/>
                <w:szCs w:val="21"/>
              </w:rPr>
              <w:t>9</w:t>
            </w:r>
            <w:r>
              <w:rPr>
                <w:rFonts w:hint="eastAsia" w:eastAsia="Times New Roman"/>
                <w:sz w:val="21"/>
                <w:szCs w:val="21"/>
              </w:rPr>
              <w:t>.42</w:t>
            </w:r>
          </w:p>
        </w:tc>
        <w:tc>
          <w:tcPr>
            <w:tcW w:w="2033" w:type="dxa"/>
          </w:tcPr>
          <w:p w14:paraId="390EDAC0">
            <w:pPr>
              <w:spacing w:line="288" w:lineRule="auto"/>
              <w:jc w:val="center"/>
              <w:rPr>
                <w:rFonts w:eastAsia="宋体" w:cs="Times New Roman"/>
                <w:sz w:val="21"/>
              </w:rPr>
            </w:pPr>
            <w:r>
              <w:rPr>
                <w:rFonts w:hint="eastAsia" w:eastAsia="Times New Roman"/>
                <w:sz w:val="21"/>
                <w:szCs w:val="21"/>
              </w:rPr>
              <w:t>29.83</w:t>
            </w:r>
          </w:p>
        </w:tc>
        <w:tc>
          <w:tcPr>
            <w:tcW w:w="1481" w:type="dxa"/>
          </w:tcPr>
          <w:p w14:paraId="09EAB8A4">
            <w:pPr>
              <w:spacing w:line="288" w:lineRule="auto"/>
              <w:jc w:val="center"/>
              <w:rPr>
                <w:rFonts w:eastAsia="宋体" w:cs="Times New Roman"/>
                <w:sz w:val="21"/>
              </w:rPr>
            </w:pPr>
            <w:r>
              <w:rPr>
                <w:rFonts w:hint="eastAsia" w:eastAsia="Times New Roman"/>
                <w:sz w:val="21"/>
                <w:szCs w:val="21"/>
              </w:rPr>
              <w:t>0.73</w:t>
            </w:r>
          </w:p>
        </w:tc>
      </w:tr>
      <w:tr w14:paraId="77FD08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5D00D9D7">
            <w:pPr>
              <w:spacing w:line="288" w:lineRule="auto"/>
              <w:jc w:val="center"/>
              <w:rPr>
                <w:rFonts w:eastAsia="宋体" w:cs="Times New Roman"/>
                <w:sz w:val="21"/>
              </w:rPr>
            </w:pPr>
            <w:r>
              <w:rPr>
                <w:rFonts w:hint="eastAsia" w:eastAsia="宋体" w:cs="Times New Roman"/>
                <w:sz w:val="21"/>
                <w:szCs w:val="21"/>
              </w:rPr>
              <w:t>MARL-Dec</w:t>
            </w:r>
          </w:p>
        </w:tc>
        <w:tc>
          <w:tcPr>
            <w:tcW w:w="1479" w:type="dxa"/>
          </w:tcPr>
          <w:p w14:paraId="04B1F808">
            <w:pPr>
              <w:spacing w:line="288" w:lineRule="auto"/>
              <w:jc w:val="center"/>
              <w:rPr>
                <w:rFonts w:eastAsia="宋体" w:cs="Times New Roman"/>
                <w:sz w:val="21"/>
              </w:rPr>
            </w:pPr>
            <w:r>
              <w:rPr>
                <w:rFonts w:hint="eastAsia" w:eastAsia="Times New Roman"/>
                <w:sz w:val="21"/>
                <w:szCs w:val="21"/>
              </w:rPr>
              <w:t>-10</w:t>
            </w:r>
            <w:r>
              <w:rPr>
                <w:rFonts w:hint="eastAsia" w:eastAsiaTheme="minorEastAsia"/>
                <w:sz w:val="21"/>
                <w:szCs w:val="21"/>
              </w:rPr>
              <w:t>3</w:t>
            </w:r>
            <w:r>
              <w:rPr>
                <w:rFonts w:hint="eastAsia" w:eastAsia="Times New Roman"/>
                <w:sz w:val="21"/>
                <w:szCs w:val="21"/>
              </w:rPr>
              <w:t>.38</w:t>
            </w:r>
          </w:p>
        </w:tc>
        <w:tc>
          <w:tcPr>
            <w:tcW w:w="1664" w:type="dxa"/>
          </w:tcPr>
          <w:p w14:paraId="3A85061A">
            <w:pPr>
              <w:spacing w:line="288" w:lineRule="auto"/>
              <w:jc w:val="center"/>
              <w:rPr>
                <w:rFonts w:eastAsia="宋体" w:cs="Times New Roman"/>
                <w:sz w:val="21"/>
              </w:rPr>
            </w:pPr>
            <w:r>
              <w:rPr>
                <w:rFonts w:hint="eastAsia" w:eastAsia="Times New Roman"/>
                <w:sz w:val="21"/>
                <w:szCs w:val="21"/>
              </w:rPr>
              <w:t>3</w:t>
            </w:r>
            <w:r>
              <w:rPr>
                <w:rFonts w:hint="eastAsia" w:eastAsiaTheme="minorEastAsia"/>
                <w:sz w:val="21"/>
                <w:szCs w:val="21"/>
              </w:rPr>
              <w:t>8</w:t>
            </w:r>
            <w:r>
              <w:rPr>
                <w:rFonts w:hint="eastAsia" w:eastAsia="Times New Roman"/>
                <w:sz w:val="21"/>
                <w:szCs w:val="21"/>
              </w:rPr>
              <w:t>.14</w:t>
            </w:r>
          </w:p>
        </w:tc>
        <w:tc>
          <w:tcPr>
            <w:tcW w:w="2033" w:type="dxa"/>
          </w:tcPr>
          <w:p w14:paraId="1C47D9F5">
            <w:pPr>
              <w:spacing w:line="288" w:lineRule="auto"/>
              <w:jc w:val="center"/>
              <w:rPr>
                <w:rFonts w:eastAsia="宋体" w:cs="Times New Roman"/>
                <w:sz w:val="21"/>
              </w:rPr>
            </w:pPr>
            <w:r>
              <w:rPr>
                <w:rFonts w:hint="eastAsia" w:eastAsia="Times New Roman"/>
                <w:sz w:val="21"/>
                <w:szCs w:val="21"/>
              </w:rPr>
              <w:t>33.17</w:t>
            </w:r>
          </w:p>
        </w:tc>
        <w:tc>
          <w:tcPr>
            <w:tcW w:w="1481" w:type="dxa"/>
          </w:tcPr>
          <w:p w14:paraId="0B813C90">
            <w:pPr>
              <w:spacing w:line="288" w:lineRule="auto"/>
              <w:jc w:val="center"/>
              <w:rPr>
                <w:rFonts w:eastAsia="宋体" w:cs="Times New Roman"/>
                <w:sz w:val="21"/>
              </w:rPr>
            </w:pPr>
            <w:r>
              <w:rPr>
                <w:rFonts w:hint="eastAsia" w:eastAsia="Times New Roman"/>
                <w:sz w:val="21"/>
                <w:szCs w:val="21"/>
              </w:rPr>
              <w:t>0.71</w:t>
            </w:r>
          </w:p>
        </w:tc>
      </w:tr>
      <w:tr w14:paraId="30631F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30E75E59">
            <w:pPr>
              <w:spacing w:line="288" w:lineRule="auto"/>
              <w:jc w:val="center"/>
              <w:rPr>
                <w:rFonts w:eastAsia="宋体" w:cs="Times New Roman"/>
                <w:b/>
                <w:bCs/>
                <w:sz w:val="21"/>
                <w:szCs w:val="21"/>
              </w:rPr>
            </w:pPr>
            <w:r>
              <w:rPr>
                <w:rFonts w:hint="eastAsia" w:eastAsia="宋体" w:cs="Times New Roman"/>
                <w:b/>
                <w:bCs/>
                <w:sz w:val="21"/>
                <w:szCs w:val="21"/>
              </w:rPr>
              <w:t>LMC-APT</w:t>
            </w:r>
          </w:p>
        </w:tc>
        <w:tc>
          <w:tcPr>
            <w:tcW w:w="1479" w:type="dxa"/>
          </w:tcPr>
          <w:p w14:paraId="371B4F34">
            <w:pPr>
              <w:spacing w:line="288" w:lineRule="auto"/>
              <w:jc w:val="center"/>
              <w:rPr>
                <w:rFonts w:eastAsia="Times New Roman" w:cs="Times New Roman"/>
                <w:b/>
                <w:bCs/>
                <w:sz w:val="21"/>
                <w:szCs w:val="21"/>
              </w:rPr>
            </w:pPr>
            <w:r>
              <w:rPr>
                <w:rFonts w:hint="eastAsia" w:eastAsia="Times New Roman" w:cs="Times New Roman"/>
                <w:b/>
                <w:bCs/>
                <w:sz w:val="21"/>
                <w:szCs w:val="21"/>
              </w:rPr>
              <w:t>-85.60</w:t>
            </w:r>
          </w:p>
        </w:tc>
        <w:tc>
          <w:tcPr>
            <w:tcW w:w="1664" w:type="dxa"/>
          </w:tcPr>
          <w:p w14:paraId="2DBA53AF">
            <w:pPr>
              <w:spacing w:line="288" w:lineRule="auto"/>
              <w:jc w:val="center"/>
              <w:rPr>
                <w:rFonts w:eastAsia="Times New Roman" w:cs="Times New Roman"/>
                <w:sz w:val="21"/>
                <w:szCs w:val="21"/>
              </w:rPr>
            </w:pPr>
            <w:r>
              <w:rPr>
                <w:rFonts w:hint="eastAsia" w:eastAsia="Times New Roman" w:cs="Times New Roman"/>
                <w:b/>
                <w:bCs/>
                <w:sz w:val="21"/>
                <w:szCs w:val="21"/>
              </w:rPr>
              <w:t>32.15</w:t>
            </w:r>
          </w:p>
        </w:tc>
        <w:tc>
          <w:tcPr>
            <w:tcW w:w="2033" w:type="dxa"/>
          </w:tcPr>
          <w:p w14:paraId="60293996">
            <w:pPr>
              <w:spacing w:line="288" w:lineRule="auto"/>
              <w:jc w:val="center"/>
              <w:rPr>
                <w:rFonts w:eastAsia="Times New Roman" w:cs="宋体"/>
                <w:b/>
                <w:bCs/>
                <w:kern w:val="0"/>
                <w:sz w:val="21"/>
                <w:szCs w:val="21"/>
              </w:rPr>
            </w:pPr>
            <w:r>
              <w:rPr>
                <w:rFonts w:hint="eastAsia" w:eastAsia="Times New Roman" w:cs="宋体"/>
                <w:b/>
                <w:bCs/>
                <w:kern w:val="0"/>
                <w:sz w:val="21"/>
                <w:szCs w:val="21"/>
              </w:rPr>
              <w:t>25</w:t>
            </w:r>
            <w:r>
              <w:rPr>
                <w:rFonts w:eastAsia="Times New Roman" w:cs="宋体"/>
                <w:b/>
                <w:bCs/>
                <w:kern w:val="0"/>
                <w:sz w:val="21"/>
                <w:szCs w:val="21"/>
              </w:rPr>
              <w:t>.50</w:t>
            </w:r>
          </w:p>
        </w:tc>
        <w:tc>
          <w:tcPr>
            <w:tcW w:w="1481" w:type="dxa"/>
          </w:tcPr>
          <w:p w14:paraId="2893279B">
            <w:pPr>
              <w:spacing w:line="288" w:lineRule="auto"/>
              <w:jc w:val="center"/>
              <w:rPr>
                <w:rFonts w:eastAsia="Times New Roman" w:cs="Times New Roman"/>
                <w:b/>
                <w:sz w:val="21"/>
                <w:szCs w:val="21"/>
              </w:rPr>
            </w:pPr>
            <w:r>
              <w:rPr>
                <w:rFonts w:hint="eastAsia" w:eastAsia="Times New Roman" w:cs="Times New Roman"/>
                <w:b/>
                <w:sz w:val="21"/>
                <w:szCs w:val="21"/>
              </w:rPr>
              <w:t>0.79</w:t>
            </w:r>
          </w:p>
        </w:tc>
      </w:tr>
    </w:tbl>
    <w:p w14:paraId="3C341D5F">
      <w:pPr>
        <w:spacing w:before="156" w:beforeLines="50"/>
        <w:ind w:firstLine="480" w:firstLineChars="200"/>
      </w:pPr>
      <w:r>
        <w:rPr>
          <w:rFonts w:hint="eastAsia"/>
        </w:rPr>
        <w:t>根据上述实验结果，具体分析如下：</w:t>
      </w:r>
    </w:p>
    <w:p w14:paraId="36578F04">
      <w:pPr>
        <w:ind w:firstLine="480" w:firstLineChars="200"/>
      </w:pPr>
      <w:r>
        <w:rPr>
          <w:rFonts w:hint="eastAsia"/>
        </w:rPr>
        <w:t>1）Plan-Only与MARL-Dec的检测性能均优于无协作方法No-Collab。这证明了LLM协作规划及MARL协作决策与联合优化均能够提升方法检测性能。</w:t>
      </w:r>
    </w:p>
    <w:p w14:paraId="58166D8F">
      <w:pPr>
        <w:ind w:firstLine="480" w:firstLineChars="200"/>
      </w:pPr>
      <w:r>
        <w:rPr>
          <w:rFonts w:hint="eastAsia"/>
        </w:rPr>
        <w:t>2）Plan-Only多数指标均优于MARL-Dec方法，这表示LLM协作规划相较于MARL协作决策与联合优化贡献更大一些，此结果证明了高质量先验规划的重要性，若只依赖后验决策优化不足以使模型达到足够好的检测性能，这印证了本文创新方法的必要性与有效性。然而，MARL协作决策与联合优化的回报标准差略低，这证明了其在策略稳定性方面略有优势，体现了联合优化对稳定协作行为的积极作用。因此，若将二者结合，则能够进一步提升方法的检测性能。</w:t>
      </w:r>
    </w:p>
    <w:p w14:paraId="6F75F05F">
      <w:pPr>
        <w:ind w:firstLine="480" w:firstLineChars="200"/>
      </w:pPr>
      <w:r>
        <w:rPr>
          <w:rFonts w:hint="eastAsia"/>
        </w:rPr>
        <w:t>3）LMC-APT的检测性能均优于Plan-Only及MARL-Dec模型。这证明了</w:t>
      </w:r>
      <w:r>
        <w:t>将LLM协作规划</w:t>
      </w:r>
      <w:r>
        <w:rPr>
          <w:rFonts w:hint="eastAsia"/>
        </w:rPr>
        <w:t>及MARL</w:t>
      </w:r>
      <w:r>
        <w:t>协作决策</w:t>
      </w:r>
      <w:r>
        <w:rPr>
          <w:rFonts w:hint="eastAsia"/>
        </w:rPr>
        <w:t>与</w:t>
      </w:r>
      <w:r>
        <w:t>MAPPO联合优化相结合</w:t>
      </w:r>
      <w:r>
        <w:rPr>
          <w:rFonts w:hint="eastAsia"/>
        </w:rPr>
        <w:t>，能够</w:t>
      </w:r>
      <w:r>
        <w:t>进一步提升模型</w:t>
      </w:r>
      <w:r>
        <w:rPr>
          <w:rFonts w:hint="eastAsia"/>
        </w:rPr>
        <w:t>检测</w:t>
      </w:r>
      <w:r>
        <w:t>性能，说明二者具有较好的互补性，结合后能够更充分发挥协同检测优势。</w:t>
      </w:r>
    </w:p>
    <w:p w14:paraId="0B66A829">
      <w:pPr>
        <w:ind w:firstLine="480" w:firstLineChars="200"/>
      </w:pPr>
      <w:r>
        <w:rPr>
          <w:rFonts w:hint="eastAsia"/>
        </w:rPr>
        <w:t>综上所述，与无协作的检测方法No-Collab相比，在整个区域引入LLM协作规划或MARL协作决策与联合优化均能够提升模型的检测性能；而将两者结合后，模型的检测性能进一步提升，且各项指标均表现最优，这证明了本文提出的方法及各部分的有效性。</w:t>
      </w:r>
    </w:p>
    <w:p w14:paraId="38472978">
      <w:pPr>
        <w:ind w:firstLine="482" w:firstLineChars="200"/>
        <w:rPr>
          <w:b/>
          <w:bCs/>
        </w:rPr>
      </w:pPr>
      <w:r>
        <w:rPr>
          <w:rFonts w:hint="eastAsia"/>
          <w:b/>
          <w:bCs/>
        </w:rPr>
        <w:t>（4）不同LLM模型有效性对比</w:t>
      </w:r>
    </w:p>
    <w:p w14:paraId="5CE7688C">
      <w:pPr>
        <w:ind w:firstLine="480" w:firstLineChars="200"/>
      </w:pPr>
      <w:r>
        <w:t>为比较</w:t>
      </w:r>
      <w:r>
        <w:rPr>
          <w:rFonts w:hint="eastAsia"/>
        </w:rPr>
        <w:t>使用</w:t>
      </w:r>
      <w:r>
        <w:t>不同LLM模型</w:t>
      </w:r>
      <w:r>
        <w:rPr>
          <w:rFonts w:hint="eastAsia"/>
        </w:rPr>
        <w:t>生成协作计划</w:t>
      </w:r>
      <w:r>
        <w:t>对本文协同检测方法整体性能的影响，本文在其余实验条件保持一致的情况下，分别接入Qwen-3.5、GPT-5.2和Gemini-3.1进行对比实验，</w:t>
      </w:r>
      <w:r>
        <w:rPr>
          <w:rFonts w:hint="eastAsia"/>
        </w:rPr>
        <w:t>其</w:t>
      </w:r>
      <w:r>
        <w:t>结果如表5.</w:t>
      </w:r>
      <w:r>
        <w:rPr>
          <w:rFonts w:hint="eastAsia"/>
        </w:rPr>
        <w:t>5</w:t>
      </w:r>
      <w:r>
        <w:t>所示。</w:t>
      </w:r>
    </w:p>
    <w:p w14:paraId="5B86D445">
      <w:pPr>
        <w:spacing w:line="400" w:lineRule="exact"/>
        <w:jc w:val="center"/>
        <w:rPr>
          <w:rFonts w:eastAsia="宋体" w:cs="Times New Roman"/>
          <w:sz w:val="21"/>
          <w:szCs w:val="21"/>
        </w:rPr>
      </w:pPr>
      <w:r>
        <w:rPr>
          <w:rFonts w:hint="eastAsia" w:eastAsia="宋体" w:cs="Times New Roman"/>
          <w:sz w:val="21"/>
          <w:szCs w:val="21"/>
        </w:rPr>
        <w:t>表5.5</w:t>
      </w:r>
      <w:r>
        <w:rPr>
          <w:rFonts w:eastAsia="宋体" w:cs="Times New Roman"/>
          <w:sz w:val="21"/>
          <w:szCs w:val="21"/>
        </w:rPr>
        <w:t xml:space="preserve"> </w:t>
      </w:r>
      <w:r>
        <w:rPr>
          <w:rFonts w:hint="eastAsia" w:eastAsia="宋体" w:cs="Times New Roman"/>
          <w:sz w:val="21"/>
          <w:szCs w:val="21"/>
        </w:rPr>
        <w:t>使用不同大模型的对比实验结果</w:t>
      </w:r>
    </w:p>
    <w:tbl>
      <w:tblPr>
        <w:tblStyle w:val="19"/>
        <w:tblW w:w="832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5"/>
        <w:gridCol w:w="1479"/>
        <w:gridCol w:w="1664"/>
        <w:gridCol w:w="2033"/>
        <w:gridCol w:w="1481"/>
      </w:tblGrid>
      <w:tr w14:paraId="105E78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12" w:space="0"/>
              <w:bottom w:val="single" w:color="auto" w:sz="4" w:space="0"/>
            </w:tcBorders>
          </w:tcPr>
          <w:p w14:paraId="5E8A4A55">
            <w:pPr>
              <w:spacing w:line="288" w:lineRule="auto"/>
              <w:jc w:val="center"/>
              <w:rPr>
                <w:rFonts w:eastAsia="宋体" w:cs="Times New Roman"/>
                <w:sz w:val="21"/>
              </w:rPr>
            </w:pPr>
          </w:p>
        </w:tc>
        <w:tc>
          <w:tcPr>
            <w:tcW w:w="1479" w:type="dxa"/>
            <w:tcBorders>
              <w:top w:val="single" w:color="auto" w:sz="12" w:space="0"/>
              <w:bottom w:val="single" w:color="auto" w:sz="4" w:space="0"/>
            </w:tcBorders>
          </w:tcPr>
          <w:p w14:paraId="7A5294F6">
            <w:pPr>
              <w:spacing w:line="288" w:lineRule="auto"/>
              <w:jc w:val="center"/>
              <w:rPr>
                <w:rFonts w:eastAsia="宋体" w:cs="Times New Roman"/>
                <w:sz w:val="21"/>
              </w:rPr>
            </w:pPr>
            <w:r>
              <w:rPr>
                <w:rFonts w:hint="eastAsia" w:eastAsia="宋体" w:cs="Times New Roman"/>
                <w:sz w:val="21"/>
                <w:szCs w:val="21"/>
              </w:rPr>
              <w:t>平均回报</w:t>
            </w:r>
          </w:p>
        </w:tc>
        <w:tc>
          <w:tcPr>
            <w:tcW w:w="1664" w:type="dxa"/>
            <w:tcBorders>
              <w:top w:val="single" w:color="auto" w:sz="12" w:space="0"/>
              <w:bottom w:val="single" w:color="auto" w:sz="4" w:space="0"/>
            </w:tcBorders>
          </w:tcPr>
          <w:p w14:paraId="4D29ABC2">
            <w:pPr>
              <w:spacing w:line="288" w:lineRule="auto"/>
              <w:jc w:val="center"/>
              <w:rPr>
                <w:rFonts w:eastAsia="宋体" w:cs="Times New Roman"/>
                <w:sz w:val="21"/>
              </w:rPr>
            </w:pPr>
            <w:r>
              <w:rPr>
                <w:rFonts w:hint="eastAsia" w:eastAsia="宋体" w:cs="Times New Roman"/>
                <w:sz w:val="21"/>
                <w:szCs w:val="21"/>
              </w:rPr>
              <w:t>回报标准差</w:t>
            </w:r>
          </w:p>
        </w:tc>
        <w:tc>
          <w:tcPr>
            <w:tcW w:w="2033" w:type="dxa"/>
            <w:tcBorders>
              <w:top w:val="single" w:color="auto" w:sz="12" w:space="0"/>
              <w:bottom w:val="single" w:color="auto" w:sz="4" w:space="0"/>
            </w:tcBorders>
          </w:tcPr>
          <w:p w14:paraId="52AF1E32">
            <w:pPr>
              <w:spacing w:line="288" w:lineRule="auto"/>
              <w:jc w:val="center"/>
              <w:rPr>
                <w:rFonts w:eastAsia="宋体" w:cs="Times New Roman"/>
                <w:sz w:val="21"/>
              </w:rPr>
            </w:pPr>
            <w:r>
              <w:rPr>
                <w:rFonts w:hint="eastAsia" w:eastAsia="宋体" w:cs="Times New Roman"/>
                <w:sz w:val="21"/>
                <w:szCs w:val="21"/>
              </w:rPr>
              <w:t>平均恢复时间</w:t>
            </w:r>
          </w:p>
        </w:tc>
        <w:tc>
          <w:tcPr>
            <w:tcW w:w="1481" w:type="dxa"/>
            <w:tcBorders>
              <w:top w:val="single" w:color="auto" w:sz="12" w:space="0"/>
              <w:bottom w:val="single" w:color="auto" w:sz="4" w:space="0"/>
            </w:tcBorders>
          </w:tcPr>
          <w:p w14:paraId="23265382">
            <w:pPr>
              <w:spacing w:line="288" w:lineRule="auto"/>
              <w:jc w:val="center"/>
              <w:rPr>
                <w:rFonts w:eastAsia="宋体" w:cs="Times New Roman"/>
                <w:sz w:val="21"/>
              </w:rPr>
            </w:pPr>
            <w:r>
              <w:rPr>
                <w:rFonts w:hint="eastAsia" w:eastAsia="宋体" w:cs="Times New Roman"/>
                <w:sz w:val="21"/>
                <w:szCs w:val="21"/>
              </w:rPr>
              <w:t>恢复精确率</w:t>
            </w:r>
          </w:p>
        </w:tc>
      </w:tr>
      <w:tr w14:paraId="594B4F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Borders>
              <w:top w:val="single" w:color="auto" w:sz="4" w:space="0"/>
            </w:tcBorders>
          </w:tcPr>
          <w:p w14:paraId="1351AF48">
            <w:pPr>
              <w:spacing w:line="288" w:lineRule="auto"/>
              <w:jc w:val="center"/>
              <w:rPr>
                <w:rFonts w:eastAsia="宋体" w:cs="Times New Roman"/>
                <w:sz w:val="21"/>
              </w:rPr>
            </w:pPr>
            <w:r>
              <w:rPr>
                <w:rFonts w:hint="eastAsia" w:eastAsia="宋体" w:cs="宋体"/>
                <w:kern w:val="0"/>
                <w:sz w:val="21"/>
                <w:szCs w:val="21"/>
              </w:rPr>
              <w:t>Qwen-3.5</w:t>
            </w:r>
          </w:p>
        </w:tc>
        <w:tc>
          <w:tcPr>
            <w:tcW w:w="1479" w:type="dxa"/>
            <w:tcBorders>
              <w:top w:val="single" w:color="auto" w:sz="4" w:space="0"/>
            </w:tcBorders>
          </w:tcPr>
          <w:p w14:paraId="3FBE23D0">
            <w:pPr>
              <w:spacing w:line="288" w:lineRule="auto"/>
              <w:jc w:val="center"/>
              <w:rPr>
                <w:rFonts w:eastAsia="宋体" w:cs="Times New Roman"/>
                <w:sz w:val="21"/>
              </w:rPr>
            </w:pPr>
            <w:r>
              <w:rPr>
                <w:rFonts w:hint="eastAsia" w:eastAsia="宋体" w:cs="Times New Roman"/>
                <w:sz w:val="21"/>
              </w:rPr>
              <w:t>-96.24</w:t>
            </w:r>
          </w:p>
        </w:tc>
        <w:tc>
          <w:tcPr>
            <w:tcW w:w="1664" w:type="dxa"/>
            <w:tcBorders>
              <w:top w:val="single" w:color="auto" w:sz="4" w:space="0"/>
            </w:tcBorders>
          </w:tcPr>
          <w:p w14:paraId="7C70C76A">
            <w:pPr>
              <w:spacing w:line="288" w:lineRule="auto"/>
              <w:jc w:val="center"/>
              <w:rPr>
                <w:rFonts w:eastAsia="宋体" w:cs="Times New Roman"/>
                <w:sz w:val="21"/>
              </w:rPr>
            </w:pPr>
            <w:r>
              <w:rPr>
                <w:rFonts w:hint="eastAsia" w:eastAsia="宋体" w:cs="Times New Roman"/>
                <w:sz w:val="21"/>
              </w:rPr>
              <w:t>37.18</w:t>
            </w:r>
          </w:p>
        </w:tc>
        <w:tc>
          <w:tcPr>
            <w:tcW w:w="2033" w:type="dxa"/>
            <w:tcBorders>
              <w:top w:val="single" w:color="auto" w:sz="4" w:space="0"/>
            </w:tcBorders>
          </w:tcPr>
          <w:p w14:paraId="0D9F1A15">
            <w:pPr>
              <w:spacing w:line="288" w:lineRule="auto"/>
              <w:jc w:val="center"/>
              <w:rPr>
                <w:rFonts w:eastAsia="宋体" w:cs="Times New Roman"/>
                <w:sz w:val="21"/>
              </w:rPr>
            </w:pPr>
            <w:r>
              <w:rPr>
                <w:rFonts w:hint="eastAsia" w:eastAsia="宋体" w:cs="Times New Roman"/>
                <w:sz w:val="21"/>
              </w:rPr>
              <w:t>33.90</w:t>
            </w:r>
          </w:p>
        </w:tc>
        <w:tc>
          <w:tcPr>
            <w:tcW w:w="1481" w:type="dxa"/>
            <w:tcBorders>
              <w:top w:val="single" w:color="auto" w:sz="4" w:space="0"/>
            </w:tcBorders>
          </w:tcPr>
          <w:p w14:paraId="2BB852C0">
            <w:pPr>
              <w:spacing w:line="288" w:lineRule="auto"/>
              <w:jc w:val="center"/>
              <w:rPr>
                <w:rFonts w:eastAsia="宋体" w:cs="Times New Roman"/>
                <w:sz w:val="21"/>
              </w:rPr>
            </w:pPr>
            <w:r>
              <w:rPr>
                <w:rFonts w:hint="eastAsia" w:eastAsia="宋体" w:cs="Times New Roman"/>
                <w:sz w:val="21"/>
              </w:rPr>
              <w:t>0.72</w:t>
            </w:r>
          </w:p>
        </w:tc>
      </w:tr>
      <w:tr w14:paraId="17FA9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392DA4EC">
            <w:pPr>
              <w:spacing w:line="288" w:lineRule="auto"/>
              <w:jc w:val="center"/>
              <w:rPr>
                <w:rFonts w:eastAsia="宋体" w:cs="Times New Roman"/>
                <w:sz w:val="21"/>
              </w:rPr>
            </w:pPr>
            <w:r>
              <w:rPr>
                <w:rFonts w:hint="eastAsia" w:eastAsia="宋体" w:cs="Times New Roman"/>
                <w:sz w:val="21"/>
              </w:rPr>
              <w:t>GPT-5.2</w:t>
            </w:r>
          </w:p>
        </w:tc>
        <w:tc>
          <w:tcPr>
            <w:tcW w:w="1479" w:type="dxa"/>
          </w:tcPr>
          <w:p w14:paraId="271CBFD0">
            <w:pPr>
              <w:spacing w:line="288" w:lineRule="auto"/>
              <w:jc w:val="center"/>
              <w:rPr>
                <w:rFonts w:eastAsia="宋体" w:cs="Times New Roman"/>
                <w:sz w:val="21"/>
              </w:rPr>
            </w:pPr>
            <w:r>
              <w:rPr>
                <w:rFonts w:hint="eastAsia" w:eastAsia="宋体" w:cs="Times New Roman"/>
                <w:sz w:val="21"/>
              </w:rPr>
              <w:t>-89.56</w:t>
            </w:r>
          </w:p>
        </w:tc>
        <w:tc>
          <w:tcPr>
            <w:tcW w:w="1664" w:type="dxa"/>
          </w:tcPr>
          <w:p w14:paraId="14F74C62">
            <w:pPr>
              <w:spacing w:line="288" w:lineRule="auto"/>
              <w:jc w:val="center"/>
              <w:rPr>
                <w:rFonts w:eastAsia="宋体" w:cs="Times New Roman"/>
                <w:b/>
                <w:bCs/>
                <w:sz w:val="21"/>
              </w:rPr>
            </w:pPr>
            <w:r>
              <w:rPr>
                <w:rFonts w:hint="eastAsia" w:eastAsia="宋体" w:cs="Times New Roman"/>
                <w:b/>
                <w:bCs/>
                <w:sz w:val="21"/>
              </w:rPr>
              <w:t>30.86</w:t>
            </w:r>
          </w:p>
        </w:tc>
        <w:tc>
          <w:tcPr>
            <w:tcW w:w="2033" w:type="dxa"/>
          </w:tcPr>
          <w:p w14:paraId="6E39F975">
            <w:pPr>
              <w:spacing w:line="288" w:lineRule="auto"/>
              <w:jc w:val="center"/>
              <w:rPr>
                <w:rFonts w:eastAsia="宋体" w:cs="Times New Roman"/>
                <w:sz w:val="21"/>
              </w:rPr>
            </w:pPr>
            <w:r>
              <w:rPr>
                <w:rFonts w:hint="eastAsia" w:eastAsia="宋体" w:cs="Times New Roman"/>
                <w:sz w:val="21"/>
              </w:rPr>
              <w:t>28.63</w:t>
            </w:r>
          </w:p>
        </w:tc>
        <w:tc>
          <w:tcPr>
            <w:tcW w:w="1481" w:type="dxa"/>
          </w:tcPr>
          <w:p w14:paraId="4123DDA3">
            <w:pPr>
              <w:spacing w:line="288" w:lineRule="auto"/>
              <w:jc w:val="center"/>
              <w:rPr>
                <w:rFonts w:eastAsia="宋体" w:cs="Times New Roman"/>
                <w:sz w:val="21"/>
              </w:rPr>
            </w:pPr>
            <w:r>
              <w:rPr>
                <w:rFonts w:hint="eastAsia" w:eastAsia="宋体" w:cs="Times New Roman"/>
                <w:sz w:val="21"/>
              </w:rPr>
              <w:t>0.78</w:t>
            </w:r>
          </w:p>
        </w:tc>
      </w:tr>
      <w:tr w14:paraId="5FFF7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5" w:type="dxa"/>
          </w:tcPr>
          <w:p w14:paraId="02BA37A8">
            <w:pPr>
              <w:spacing w:line="288" w:lineRule="auto"/>
              <w:jc w:val="center"/>
              <w:rPr>
                <w:rFonts w:eastAsia="宋体" w:cs="Times New Roman"/>
                <w:b/>
                <w:bCs/>
                <w:sz w:val="21"/>
              </w:rPr>
            </w:pPr>
            <w:r>
              <w:rPr>
                <w:rFonts w:hint="eastAsia" w:eastAsia="宋体" w:cs="Times New Roman"/>
                <w:b/>
                <w:bCs/>
                <w:sz w:val="21"/>
                <w:szCs w:val="21"/>
              </w:rPr>
              <w:t>Gemini-3.1</w:t>
            </w:r>
          </w:p>
        </w:tc>
        <w:tc>
          <w:tcPr>
            <w:tcW w:w="1479" w:type="dxa"/>
          </w:tcPr>
          <w:p w14:paraId="3CF5EB3E">
            <w:pPr>
              <w:spacing w:line="288" w:lineRule="auto"/>
              <w:jc w:val="center"/>
              <w:rPr>
                <w:rFonts w:eastAsia="宋体" w:cs="Times New Roman"/>
                <w:sz w:val="21"/>
              </w:rPr>
            </w:pPr>
            <w:r>
              <w:rPr>
                <w:rFonts w:hint="eastAsia" w:eastAsia="Times New Roman" w:cs="Times New Roman"/>
                <w:b/>
                <w:bCs/>
                <w:sz w:val="21"/>
                <w:szCs w:val="21"/>
              </w:rPr>
              <w:t>-85.60</w:t>
            </w:r>
          </w:p>
        </w:tc>
        <w:tc>
          <w:tcPr>
            <w:tcW w:w="1664" w:type="dxa"/>
          </w:tcPr>
          <w:p w14:paraId="414E80BE">
            <w:pPr>
              <w:spacing w:line="288" w:lineRule="auto"/>
              <w:jc w:val="center"/>
              <w:rPr>
                <w:rFonts w:eastAsia="宋体" w:cs="Times New Roman"/>
                <w:sz w:val="21"/>
              </w:rPr>
            </w:pPr>
            <w:r>
              <w:rPr>
                <w:rFonts w:hint="eastAsia" w:eastAsia="Times New Roman" w:cs="Times New Roman"/>
                <w:sz w:val="21"/>
                <w:szCs w:val="21"/>
              </w:rPr>
              <w:t>32.15</w:t>
            </w:r>
          </w:p>
        </w:tc>
        <w:tc>
          <w:tcPr>
            <w:tcW w:w="2033" w:type="dxa"/>
          </w:tcPr>
          <w:p w14:paraId="7BADD3FC">
            <w:pPr>
              <w:spacing w:line="288" w:lineRule="auto"/>
              <w:jc w:val="center"/>
              <w:rPr>
                <w:rFonts w:eastAsia="宋体" w:cs="Times New Roman"/>
                <w:sz w:val="21"/>
              </w:rPr>
            </w:pPr>
            <w:r>
              <w:rPr>
                <w:rFonts w:hint="eastAsia" w:eastAsia="Times New Roman" w:cs="宋体"/>
                <w:b/>
                <w:bCs/>
                <w:kern w:val="0"/>
                <w:sz w:val="21"/>
                <w:szCs w:val="21"/>
              </w:rPr>
              <w:t>25</w:t>
            </w:r>
            <w:r>
              <w:rPr>
                <w:rFonts w:eastAsia="Times New Roman" w:cs="宋体"/>
                <w:b/>
                <w:bCs/>
                <w:kern w:val="0"/>
                <w:sz w:val="21"/>
                <w:szCs w:val="21"/>
              </w:rPr>
              <w:t>.50</w:t>
            </w:r>
          </w:p>
        </w:tc>
        <w:tc>
          <w:tcPr>
            <w:tcW w:w="1481" w:type="dxa"/>
          </w:tcPr>
          <w:p w14:paraId="56AA5804">
            <w:pPr>
              <w:spacing w:line="288" w:lineRule="auto"/>
              <w:jc w:val="center"/>
              <w:rPr>
                <w:rFonts w:eastAsia="宋体" w:cs="Times New Roman"/>
                <w:sz w:val="21"/>
              </w:rPr>
            </w:pPr>
            <w:r>
              <w:rPr>
                <w:rFonts w:hint="eastAsia" w:eastAsia="Times New Roman" w:cs="Times New Roman"/>
                <w:b/>
                <w:sz w:val="21"/>
                <w:szCs w:val="21"/>
              </w:rPr>
              <w:t>0.79</w:t>
            </w:r>
          </w:p>
        </w:tc>
      </w:tr>
    </w:tbl>
    <w:p w14:paraId="7087B676">
      <w:pPr>
        <w:spacing w:before="156" w:beforeLines="50"/>
        <w:ind w:firstLine="480" w:firstLineChars="200"/>
      </w:pPr>
      <w:r>
        <w:t>从表5.</w:t>
      </w:r>
      <w:r>
        <w:rPr>
          <w:rFonts w:hint="eastAsia"/>
        </w:rPr>
        <w:t>5中</w:t>
      </w:r>
      <w:r>
        <w:t>可以看出，</w:t>
      </w:r>
      <w:r>
        <w:rPr>
          <w:rFonts w:hint="eastAsia"/>
        </w:rPr>
        <w:t>使用</w:t>
      </w:r>
      <w:r>
        <w:t>不同LLM模型会对本文方法的协同检测效果产生一定影响。其中，Gemini-3.1在平均回报、平均恢复时间和恢复精确率三个指标上表现最好，</w:t>
      </w:r>
      <w:r>
        <w:rPr>
          <w:rFonts w:hint="eastAsia"/>
        </w:rPr>
        <w:t>表明</w:t>
      </w:r>
      <w:r>
        <w:t>其生成的协作计划</w:t>
      </w:r>
      <w:r>
        <w:rPr>
          <w:rFonts w:hint="eastAsia"/>
        </w:rPr>
        <w:t>的整体</w:t>
      </w:r>
      <w:r>
        <w:t>协同决策</w:t>
      </w:r>
      <w:r>
        <w:rPr>
          <w:rFonts w:hint="eastAsia"/>
        </w:rPr>
        <w:t>效果最优，证明了</w:t>
      </w:r>
      <w:r>
        <w:t>本文选用Gemini-3.1</w:t>
      </w:r>
      <w:r>
        <w:rPr>
          <w:rFonts w:hint="eastAsia"/>
        </w:rPr>
        <w:t>以生成协作计划的有效性</w:t>
      </w:r>
      <w:r>
        <w:t>。</w:t>
      </w:r>
    </w:p>
    <w:p w14:paraId="455133B0">
      <w:pPr>
        <w:pStyle w:val="4"/>
      </w:pPr>
      <w:bookmarkStart w:id="115" w:name="_Toc230086402"/>
      <w:r>
        <w:rPr>
          <w:rFonts w:hint="eastAsia"/>
        </w:rPr>
        <w:t>5.4.5 提前预警能力验证</w:t>
      </w:r>
      <w:bookmarkEnd w:id="115"/>
    </w:p>
    <w:p w14:paraId="0B31BDB5">
      <w:pPr>
        <w:ind w:firstLine="482" w:firstLineChars="200"/>
        <w:rPr>
          <w:b/>
          <w:bCs/>
        </w:rPr>
      </w:pPr>
      <w:r>
        <w:rPr>
          <w:rFonts w:hint="eastAsia"/>
          <w:b/>
          <w:bCs/>
        </w:rPr>
        <w:t>（1）与现有文献方法对比</w:t>
      </w:r>
    </w:p>
    <w:p w14:paraId="24F5175D">
      <w:pPr>
        <w:ind w:firstLine="480" w:firstLineChars="200"/>
      </w:pPr>
      <w:r>
        <w:t>为验证本文方法在提前预警</w:t>
      </w:r>
      <w:r>
        <w:rPr>
          <w:rFonts w:hint="eastAsia"/>
        </w:rPr>
        <w:t>性能方面</w:t>
      </w:r>
      <w:r>
        <w:t>相较现有文献方法的优势，本文将LMC-APT与两种文献方法在平均提前预警步数指标上进行对比，</w:t>
      </w:r>
      <w:r>
        <w:rPr>
          <w:rFonts w:hint="eastAsia"/>
        </w:rPr>
        <w:t>其</w:t>
      </w:r>
      <w:r>
        <w:t>结果如图5.</w:t>
      </w:r>
      <w:r>
        <w:rPr>
          <w:rFonts w:hint="eastAsia"/>
        </w:rPr>
        <w:t>5</w:t>
      </w:r>
      <w:r>
        <w:t>所示。</w:t>
      </w:r>
    </w:p>
    <w:p w14:paraId="68478BAA">
      <w:pPr>
        <w:jc w:val="center"/>
      </w:pPr>
      <w:r>
        <w:drawing>
          <wp:inline distT="0" distB="0" distL="0" distR="0">
            <wp:extent cx="3354070" cy="1894840"/>
            <wp:effectExtent l="0" t="0" r="0" b="0"/>
            <wp:docPr id="18220966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6675" name="图片 3"/>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a:xfrm>
                      <a:off x="0" y="0"/>
                      <a:ext cx="3354070" cy="1894840"/>
                    </a:xfrm>
                    <a:prstGeom prst="rect">
                      <a:avLst/>
                    </a:prstGeom>
                    <a:noFill/>
                    <a:ln>
                      <a:noFill/>
                    </a:ln>
                  </pic:spPr>
                </pic:pic>
              </a:graphicData>
            </a:graphic>
          </wp:inline>
        </w:drawing>
      </w:r>
    </w:p>
    <w:p w14:paraId="7E84E38B">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5.5</w:t>
      </w:r>
      <w:r>
        <w:rPr>
          <w:rFonts w:cs="Times New Roman"/>
          <w:sz w:val="21"/>
          <w:szCs w:val="21"/>
        </w:rPr>
        <w:t xml:space="preserve"> </w:t>
      </w:r>
      <w:r>
        <w:rPr>
          <w:rFonts w:hint="eastAsia" w:cs="Times New Roman"/>
          <w:sz w:val="21"/>
          <w:szCs w:val="21"/>
        </w:rPr>
        <w:t>与其他文献方法的对比结果</w:t>
      </w:r>
    </w:p>
    <w:p w14:paraId="10049F8F">
      <w:pPr>
        <w:ind w:firstLine="480" w:firstLineChars="200"/>
      </w:pPr>
      <w:r>
        <w:t>从图5.</w:t>
      </w:r>
      <w:r>
        <w:rPr>
          <w:rFonts w:hint="eastAsia"/>
        </w:rPr>
        <w:t>5中</w:t>
      </w:r>
      <w:r>
        <w:t>可以看出，LMC-APT的平均提前预警步数</w:t>
      </w:r>
      <w:r>
        <w:rPr>
          <w:rFonts w:hint="eastAsia"/>
        </w:rPr>
        <w:t>相比现有方法提升了38.77步</w:t>
      </w:r>
      <w:r>
        <w:t>，</w:t>
      </w:r>
      <w:r>
        <w:rPr>
          <w:rFonts w:hint="eastAsia"/>
        </w:rPr>
        <w:t>表明</w:t>
      </w:r>
      <w:r>
        <w:t>本文所引入的协作先验计划、证据校验与多智能体协同决策，能够更有效地提升跨区域场景下的提前预警性能。</w:t>
      </w:r>
    </w:p>
    <w:p w14:paraId="1C69E1CE">
      <w:pPr>
        <w:ind w:firstLine="482" w:firstLineChars="200"/>
        <w:rPr>
          <w:b/>
          <w:bCs/>
        </w:rPr>
      </w:pPr>
      <w:r>
        <w:rPr>
          <w:rFonts w:hint="eastAsia"/>
          <w:b/>
          <w:bCs/>
        </w:rPr>
        <w:t>（2）与基线模型对比</w:t>
      </w:r>
    </w:p>
    <w:p w14:paraId="25085FCC">
      <w:pPr>
        <w:ind w:firstLine="480" w:firstLineChars="200"/>
      </w:pPr>
      <w:r>
        <w:t>为验证本文方法在提前预警方面相较基线模型的优势，本文将LMC-APT与No-Collab、Plan-Only及MARL-Dec三种基线模型在平均提前预警步数指标上进行对比，</w:t>
      </w:r>
      <w:r>
        <w:rPr>
          <w:rFonts w:hint="eastAsia"/>
        </w:rPr>
        <w:t>其</w:t>
      </w:r>
      <w:r>
        <w:t>结果如图5.</w:t>
      </w:r>
      <w:r>
        <w:rPr>
          <w:rFonts w:hint="eastAsia"/>
        </w:rPr>
        <w:t>6</w:t>
      </w:r>
      <w:r>
        <w:t>所示。</w:t>
      </w:r>
    </w:p>
    <w:p w14:paraId="4D4FE548">
      <w:pPr>
        <w:jc w:val="center"/>
      </w:pPr>
      <w:r>
        <w:drawing>
          <wp:inline distT="0" distB="0" distL="0" distR="0">
            <wp:extent cx="3357880" cy="1909445"/>
            <wp:effectExtent l="0" t="0" r="0" b="0"/>
            <wp:docPr id="9829136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13624" name="图片 11"/>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a:xfrm>
                      <a:off x="0" y="0"/>
                      <a:ext cx="3357880" cy="1909445"/>
                    </a:xfrm>
                    <a:prstGeom prst="rect">
                      <a:avLst/>
                    </a:prstGeom>
                    <a:noFill/>
                    <a:ln>
                      <a:noFill/>
                    </a:ln>
                  </pic:spPr>
                </pic:pic>
              </a:graphicData>
            </a:graphic>
          </wp:inline>
        </w:drawing>
      </w:r>
    </w:p>
    <w:p w14:paraId="0D1BE2A3">
      <w:pPr>
        <w:widowControl/>
        <w:tabs>
          <w:tab w:val="center" w:pos="4152"/>
          <w:tab w:val="right" w:pos="8306"/>
        </w:tabs>
        <w:spacing w:after="156" w:afterLines="50" w:line="400" w:lineRule="exact"/>
        <w:jc w:val="center"/>
        <w:rPr>
          <w:rFonts w:cs="Times New Roman"/>
          <w:sz w:val="21"/>
          <w:szCs w:val="21"/>
        </w:rPr>
      </w:pPr>
      <w:r>
        <w:rPr>
          <w:rFonts w:cs="Times New Roman"/>
          <w:sz w:val="21"/>
          <w:szCs w:val="21"/>
        </w:rPr>
        <w:t>图</w:t>
      </w:r>
      <w:r>
        <w:rPr>
          <w:rFonts w:hint="eastAsia" w:cs="Times New Roman"/>
          <w:sz w:val="21"/>
          <w:szCs w:val="21"/>
        </w:rPr>
        <w:t>5.6</w:t>
      </w:r>
      <w:r>
        <w:rPr>
          <w:rFonts w:cs="Times New Roman"/>
          <w:sz w:val="21"/>
          <w:szCs w:val="21"/>
        </w:rPr>
        <w:t xml:space="preserve"> </w:t>
      </w:r>
      <w:r>
        <w:rPr>
          <w:rFonts w:hint="eastAsia" w:cs="Times New Roman"/>
          <w:sz w:val="21"/>
          <w:szCs w:val="21"/>
        </w:rPr>
        <w:t>与基线模型的对比结果</w:t>
      </w:r>
    </w:p>
    <w:p w14:paraId="01D234C6">
      <w:pPr>
        <w:ind w:firstLine="480" w:firstLineChars="200"/>
      </w:pPr>
      <w:r>
        <w:t>从图5.</w:t>
      </w:r>
      <w:r>
        <w:rPr>
          <w:rFonts w:hint="eastAsia"/>
        </w:rPr>
        <w:t>6中</w:t>
      </w:r>
      <w:r>
        <w:t>可以看出，LMC-APT的平均提前预警步数最高，优于其余基线模型。相比之下，No-Collab的结果最低，表明仅依赖域内检测难以充分利用跨区域关联信息；Plan-Only与MARL-Dec均较No-Collab有所提升，</w:t>
      </w:r>
      <w:r>
        <w:rPr>
          <w:rFonts w:hint="eastAsia"/>
        </w:rPr>
        <w:t>表明</w:t>
      </w:r>
      <w:r>
        <w:t>协作先验计划与多智能体协同决策均有助于提前预警性能的提升。总体来看，二者结合后的LMC-APT</w:t>
      </w:r>
      <w:r>
        <w:rPr>
          <w:rFonts w:hint="eastAsia"/>
        </w:rPr>
        <w:t>结果最优</w:t>
      </w:r>
      <w:r>
        <w:t>，</w:t>
      </w:r>
      <w:r>
        <w:rPr>
          <w:rFonts w:hint="eastAsia"/>
        </w:rPr>
        <w:t>证明了</w:t>
      </w:r>
      <w:r>
        <w:t>本文方法在跨区域场景下</w:t>
      </w:r>
      <w:r>
        <w:rPr>
          <w:rFonts w:hint="eastAsia"/>
        </w:rPr>
        <w:t>具有良好的提前预警能力</w:t>
      </w:r>
      <w:r>
        <w:t>。</w:t>
      </w:r>
    </w:p>
    <w:p w14:paraId="783F5430">
      <w:pPr>
        <w:ind w:firstLine="482" w:firstLineChars="200"/>
        <w:rPr>
          <w:b/>
          <w:bCs/>
        </w:rPr>
      </w:pPr>
      <w:r>
        <w:rPr>
          <w:rFonts w:hint="eastAsia"/>
          <w:b/>
          <w:bCs/>
        </w:rPr>
        <w:t>（3）不同LLM模型有效性对比</w:t>
      </w:r>
    </w:p>
    <w:p w14:paraId="45879829">
      <w:pPr>
        <w:ind w:firstLine="480" w:firstLineChars="200"/>
      </w:pPr>
      <w:r>
        <w:t>在保持</w:t>
      </w:r>
      <w:r>
        <w:rPr>
          <w:rFonts w:hint="eastAsia"/>
        </w:rPr>
        <w:t>其他</w:t>
      </w:r>
      <w:r>
        <w:t>实验条件一致的</w:t>
      </w:r>
      <w:r>
        <w:rPr>
          <w:rFonts w:hint="eastAsia"/>
        </w:rPr>
        <w:t>情况</w:t>
      </w:r>
      <w:r>
        <w:t>下，本文比较了</w:t>
      </w:r>
      <w:r>
        <w:rPr>
          <w:rFonts w:hint="eastAsia"/>
        </w:rPr>
        <w:t>使用</w:t>
      </w:r>
      <w:r>
        <w:t>不同LLM模型</w:t>
      </w:r>
      <w:r>
        <w:rPr>
          <w:rFonts w:hint="eastAsia"/>
        </w:rPr>
        <w:t>生成协作计划</w:t>
      </w:r>
      <w:r>
        <w:t>对提前预警性能的影响。使用Qwen-3.5、GPT-5.2和Gemini-3.1生成协作计划时，</w:t>
      </w:r>
      <w:r>
        <w:rPr>
          <w:rFonts w:hint="eastAsia"/>
        </w:rPr>
        <w:t>其</w:t>
      </w:r>
      <w:r>
        <w:t>平均提前预警步数分别为65.23、71.82和76.55。由此可以看出，不同LLM模型会对本文方法的提前预警能力产生一定影响，其中Gemini-3.1对跨区域攻击的提前识别更为</w:t>
      </w:r>
      <w:r>
        <w:rPr>
          <w:rFonts w:hint="eastAsia"/>
        </w:rPr>
        <w:t>有效</w:t>
      </w:r>
      <w:r>
        <w:t>，</w:t>
      </w:r>
      <w:r>
        <w:rPr>
          <w:rFonts w:hint="eastAsia"/>
        </w:rPr>
        <w:t>证明了</w:t>
      </w:r>
      <w:r>
        <w:t>本文选用Gemini-3.1</w:t>
      </w:r>
      <w:r>
        <w:rPr>
          <w:rFonts w:hint="eastAsia"/>
        </w:rPr>
        <w:t>的</w:t>
      </w:r>
      <w:r>
        <w:t>合理性。</w:t>
      </w:r>
    </w:p>
    <w:p w14:paraId="489C214E">
      <w:pPr>
        <w:pStyle w:val="4"/>
      </w:pPr>
      <w:bookmarkStart w:id="116" w:name="_Toc230086403"/>
      <w:r>
        <w:rPr>
          <w:rFonts w:hint="eastAsia"/>
        </w:rPr>
        <w:t>5.4.6 消融实验</w:t>
      </w:r>
      <w:bookmarkEnd w:id="116"/>
    </w:p>
    <w:p w14:paraId="28B678B7">
      <w:pPr>
        <w:ind w:firstLine="480" w:firstLineChars="200"/>
      </w:pPr>
      <w:r>
        <w:rPr>
          <w:rFonts w:hint="eastAsia"/>
        </w:rPr>
        <w:t>为验证本文所提出的每个部分的有效性，本文设计了消融实验，各方法的含义如下：LWM-RL为第四章各区域的最终检测方法，LMC-APT1在LWM-RL的基础上增加了</w:t>
      </w:r>
      <w:r>
        <w:t>区域间证据共享机制</w:t>
      </w:r>
      <w:r>
        <w:rPr>
          <w:rFonts w:hint="eastAsia"/>
        </w:rPr>
        <w:t>，LMC-APT2在LMC-APT1的基础上增加了LLM对各区域检测进行协作规划，LMC-APT3在LMC-APT2的基础上增加了协作规划的在线规则校验，LMC-APT则在LMC-APT3的基础上进一步引入了多智能体协作决策与联合优化，即本章所提出的最终方法。实验结果如表5.6所示。</w:t>
      </w:r>
    </w:p>
    <w:p w14:paraId="7B41D3FA">
      <w:pPr>
        <w:spacing w:line="400" w:lineRule="exact"/>
        <w:jc w:val="center"/>
        <w:rPr>
          <w:rFonts w:eastAsia="宋体" w:cs="Times New Roman"/>
          <w:sz w:val="21"/>
          <w:szCs w:val="21"/>
        </w:rPr>
      </w:pPr>
      <w:r>
        <w:rPr>
          <w:rFonts w:hint="eastAsia" w:eastAsia="宋体" w:cs="Times New Roman"/>
          <w:sz w:val="21"/>
          <w:szCs w:val="21"/>
        </w:rPr>
        <w:t>表</w:t>
      </w:r>
      <w:r>
        <w:rPr>
          <w:rFonts w:eastAsia="宋体" w:cs="Times New Roman"/>
          <w:sz w:val="21"/>
          <w:szCs w:val="21"/>
        </w:rPr>
        <w:t>5.</w:t>
      </w:r>
      <w:r>
        <w:rPr>
          <w:rFonts w:hint="eastAsia" w:eastAsia="宋体" w:cs="Times New Roman"/>
          <w:sz w:val="21"/>
          <w:szCs w:val="21"/>
        </w:rPr>
        <w:t>6</w:t>
      </w:r>
      <w:r>
        <w:rPr>
          <w:rFonts w:eastAsia="宋体" w:cs="Times New Roman"/>
          <w:sz w:val="21"/>
          <w:szCs w:val="21"/>
        </w:rPr>
        <w:t xml:space="preserve"> </w:t>
      </w:r>
      <w:r>
        <w:rPr>
          <w:rFonts w:hint="eastAsia" w:eastAsia="宋体" w:cs="Times New Roman"/>
          <w:sz w:val="21"/>
          <w:szCs w:val="21"/>
        </w:rPr>
        <w:t>LMC-APT方法的消融实验结果</w:t>
      </w:r>
    </w:p>
    <w:tbl>
      <w:tblPr>
        <w:tblStyle w:val="19"/>
        <w:tblW w:w="850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1134"/>
        <w:gridCol w:w="1276"/>
        <w:gridCol w:w="1559"/>
        <w:gridCol w:w="1276"/>
        <w:gridCol w:w="1984"/>
      </w:tblGrid>
      <w:tr w14:paraId="21F1F9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12" w:space="0"/>
              <w:bottom w:val="single" w:color="auto" w:sz="4" w:space="0"/>
            </w:tcBorders>
          </w:tcPr>
          <w:p w14:paraId="276E134F">
            <w:pPr>
              <w:spacing w:line="288" w:lineRule="auto"/>
              <w:jc w:val="center"/>
              <w:rPr>
                <w:rFonts w:eastAsia="宋体" w:cs="Times New Roman"/>
                <w:sz w:val="21"/>
              </w:rPr>
            </w:pPr>
          </w:p>
        </w:tc>
        <w:tc>
          <w:tcPr>
            <w:tcW w:w="1134" w:type="dxa"/>
            <w:tcBorders>
              <w:top w:val="single" w:color="auto" w:sz="12" w:space="0"/>
              <w:bottom w:val="single" w:color="auto" w:sz="4" w:space="0"/>
            </w:tcBorders>
          </w:tcPr>
          <w:p w14:paraId="44E79058">
            <w:pPr>
              <w:spacing w:line="288" w:lineRule="auto"/>
              <w:jc w:val="center"/>
              <w:rPr>
                <w:rFonts w:eastAsia="宋体" w:cs="Times New Roman"/>
                <w:sz w:val="21"/>
              </w:rPr>
            </w:pPr>
            <w:r>
              <w:rPr>
                <w:rFonts w:hint="eastAsia" w:eastAsia="宋体" w:cs="Times New Roman"/>
                <w:sz w:val="21"/>
                <w:szCs w:val="21"/>
              </w:rPr>
              <w:t>平均回报</w:t>
            </w:r>
          </w:p>
        </w:tc>
        <w:tc>
          <w:tcPr>
            <w:tcW w:w="1276" w:type="dxa"/>
            <w:tcBorders>
              <w:top w:val="single" w:color="auto" w:sz="12" w:space="0"/>
              <w:bottom w:val="single" w:color="auto" w:sz="4" w:space="0"/>
            </w:tcBorders>
          </w:tcPr>
          <w:p w14:paraId="02996739">
            <w:pPr>
              <w:spacing w:line="288" w:lineRule="auto"/>
              <w:jc w:val="center"/>
              <w:rPr>
                <w:rFonts w:eastAsia="宋体" w:cs="Times New Roman"/>
                <w:sz w:val="21"/>
              </w:rPr>
            </w:pPr>
            <w:r>
              <w:rPr>
                <w:rFonts w:hint="eastAsia" w:eastAsia="宋体" w:cs="Times New Roman"/>
                <w:sz w:val="21"/>
                <w:szCs w:val="21"/>
              </w:rPr>
              <w:t>回报标准差</w:t>
            </w:r>
          </w:p>
        </w:tc>
        <w:tc>
          <w:tcPr>
            <w:tcW w:w="1559" w:type="dxa"/>
            <w:tcBorders>
              <w:top w:val="single" w:color="auto" w:sz="12" w:space="0"/>
              <w:bottom w:val="single" w:color="auto" w:sz="4" w:space="0"/>
            </w:tcBorders>
          </w:tcPr>
          <w:p w14:paraId="5219B4B9">
            <w:pPr>
              <w:spacing w:line="288" w:lineRule="auto"/>
              <w:jc w:val="center"/>
              <w:rPr>
                <w:rFonts w:eastAsia="宋体" w:cs="Times New Roman"/>
                <w:sz w:val="21"/>
              </w:rPr>
            </w:pPr>
            <w:r>
              <w:rPr>
                <w:rFonts w:hint="eastAsia" w:eastAsia="宋体" w:cs="Times New Roman"/>
                <w:sz w:val="21"/>
                <w:szCs w:val="21"/>
              </w:rPr>
              <w:t>平均恢复时间</w:t>
            </w:r>
          </w:p>
        </w:tc>
        <w:tc>
          <w:tcPr>
            <w:tcW w:w="1276" w:type="dxa"/>
            <w:tcBorders>
              <w:top w:val="single" w:color="auto" w:sz="12" w:space="0"/>
              <w:bottom w:val="single" w:color="auto" w:sz="4" w:space="0"/>
            </w:tcBorders>
          </w:tcPr>
          <w:p w14:paraId="3F36EDD5">
            <w:pPr>
              <w:spacing w:line="288" w:lineRule="auto"/>
              <w:jc w:val="center"/>
              <w:rPr>
                <w:rFonts w:eastAsia="宋体" w:cs="Times New Roman"/>
                <w:sz w:val="21"/>
              </w:rPr>
            </w:pPr>
            <w:r>
              <w:rPr>
                <w:rFonts w:hint="eastAsia" w:eastAsia="宋体" w:cs="Times New Roman"/>
                <w:sz w:val="21"/>
                <w:szCs w:val="21"/>
              </w:rPr>
              <w:t>恢复精确率</w:t>
            </w:r>
          </w:p>
        </w:tc>
        <w:tc>
          <w:tcPr>
            <w:tcW w:w="1984" w:type="dxa"/>
            <w:tcBorders>
              <w:top w:val="single" w:color="auto" w:sz="12" w:space="0"/>
              <w:bottom w:val="single" w:color="auto" w:sz="4" w:space="0"/>
            </w:tcBorders>
          </w:tcPr>
          <w:p w14:paraId="394EDFF1">
            <w:pPr>
              <w:spacing w:line="288" w:lineRule="auto"/>
              <w:jc w:val="center"/>
              <w:rPr>
                <w:rFonts w:eastAsia="宋体" w:cs="Times New Roman"/>
                <w:sz w:val="21"/>
              </w:rPr>
            </w:pPr>
            <w:r>
              <w:rPr>
                <w:rFonts w:hint="eastAsia" w:eastAsia="宋体" w:cs="Times New Roman"/>
                <w:sz w:val="21"/>
                <w:szCs w:val="21"/>
              </w:rPr>
              <w:t>平均预警提前步数</w:t>
            </w:r>
          </w:p>
        </w:tc>
      </w:tr>
      <w:tr w14:paraId="3DF46B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Borders>
              <w:top w:val="single" w:color="auto" w:sz="4" w:space="0"/>
            </w:tcBorders>
          </w:tcPr>
          <w:p w14:paraId="5AEBE254">
            <w:pPr>
              <w:spacing w:line="288" w:lineRule="auto"/>
              <w:jc w:val="center"/>
              <w:rPr>
                <w:rFonts w:eastAsia="宋体" w:cs="Times New Roman"/>
                <w:sz w:val="21"/>
              </w:rPr>
            </w:pPr>
            <w:r>
              <w:rPr>
                <w:rFonts w:hint="eastAsia" w:eastAsia="宋体" w:cs="宋体"/>
                <w:kern w:val="0"/>
                <w:sz w:val="21"/>
                <w:szCs w:val="21"/>
              </w:rPr>
              <w:t>LWM-RL</w:t>
            </w:r>
          </w:p>
        </w:tc>
        <w:tc>
          <w:tcPr>
            <w:tcW w:w="1134" w:type="dxa"/>
            <w:tcBorders>
              <w:top w:val="single" w:color="auto" w:sz="4" w:space="0"/>
            </w:tcBorders>
          </w:tcPr>
          <w:p w14:paraId="2656875C">
            <w:pPr>
              <w:spacing w:line="288" w:lineRule="auto"/>
              <w:jc w:val="center"/>
              <w:rPr>
                <w:rFonts w:eastAsia="宋体" w:cs="Times New Roman"/>
                <w:sz w:val="21"/>
                <w:szCs w:val="21"/>
              </w:rPr>
            </w:pPr>
            <w:r>
              <w:rPr>
                <w:rFonts w:hint="eastAsia" w:eastAsia="Times New Roman"/>
                <w:sz w:val="21"/>
                <w:szCs w:val="21"/>
              </w:rPr>
              <w:t>-125.65</w:t>
            </w:r>
          </w:p>
        </w:tc>
        <w:tc>
          <w:tcPr>
            <w:tcW w:w="1276" w:type="dxa"/>
            <w:tcBorders>
              <w:top w:val="single" w:color="auto" w:sz="4" w:space="0"/>
            </w:tcBorders>
          </w:tcPr>
          <w:p w14:paraId="60939BE7">
            <w:pPr>
              <w:spacing w:line="288" w:lineRule="auto"/>
              <w:jc w:val="center"/>
              <w:rPr>
                <w:rFonts w:eastAsia="宋体" w:cs="Times New Roman"/>
                <w:sz w:val="21"/>
                <w:szCs w:val="21"/>
              </w:rPr>
            </w:pPr>
            <w:r>
              <w:rPr>
                <w:rFonts w:hint="eastAsia" w:eastAsia="Times New Roman"/>
                <w:sz w:val="21"/>
                <w:szCs w:val="21"/>
              </w:rPr>
              <w:t>50.32</w:t>
            </w:r>
          </w:p>
        </w:tc>
        <w:tc>
          <w:tcPr>
            <w:tcW w:w="1559" w:type="dxa"/>
            <w:tcBorders>
              <w:top w:val="single" w:color="auto" w:sz="4" w:space="0"/>
            </w:tcBorders>
          </w:tcPr>
          <w:p w14:paraId="19D0D1B3">
            <w:pPr>
              <w:spacing w:line="288" w:lineRule="auto"/>
              <w:jc w:val="center"/>
              <w:rPr>
                <w:rFonts w:eastAsia="宋体" w:cs="Times New Roman"/>
                <w:sz w:val="21"/>
                <w:szCs w:val="21"/>
              </w:rPr>
            </w:pPr>
            <w:r>
              <w:rPr>
                <w:rFonts w:hint="eastAsia" w:eastAsia="Times New Roman"/>
                <w:sz w:val="21"/>
                <w:szCs w:val="21"/>
              </w:rPr>
              <w:t>42.87</w:t>
            </w:r>
          </w:p>
        </w:tc>
        <w:tc>
          <w:tcPr>
            <w:tcW w:w="1276" w:type="dxa"/>
            <w:tcBorders>
              <w:top w:val="single" w:color="auto" w:sz="4" w:space="0"/>
            </w:tcBorders>
          </w:tcPr>
          <w:p w14:paraId="7B097F43">
            <w:pPr>
              <w:spacing w:line="288" w:lineRule="auto"/>
              <w:jc w:val="center"/>
              <w:rPr>
                <w:rFonts w:eastAsia="宋体" w:cs="Times New Roman"/>
                <w:sz w:val="21"/>
                <w:szCs w:val="21"/>
              </w:rPr>
            </w:pPr>
            <w:r>
              <w:rPr>
                <w:rFonts w:hint="eastAsia" w:eastAsia="Times New Roman"/>
                <w:sz w:val="21"/>
                <w:szCs w:val="21"/>
              </w:rPr>
              <w:t>0.63</w:t>
            </w:r>
          </w:p>
        </w:tc>
        <w:tc>
          <w:tcPr>
            <w:tcW w:w="1984" w:type="dxa"/>
            <w:tcBorders>
              <w:top w:val="single" w:color="auto" w:sz="4" w:space="0"/>
            </w:tcBorders>
          </w:tcPr>
          <w:p w14:paraId="3664393B">
            <w:pPr>
              <w:spacing w:line="288" w:lineRule="auto"/>
              <w:jc w:val="center"/>
              <w:rPr>
                <w:rFonts w:cs="Times New Roman" w:eastAsiaTheme="minorEastAsia"/>
                <w:sz w:val="21"/>
                <w:szCs w:val="21"/>
              </w:rPr>
            </w:pPr>
            <w:r>
              <w:rPr>
                <w:rFonts w:hint="eastAsia" w:eastAsiaTheme="minorEastAsia"/>
                <w:sz w:val="21"/>
                <w:szCs w:val="21"/>
              </w:rPr>
              <w:t>49.40</w:t>
            </w:r>
          </w:p>
        </w:tc>
      </w:tr>
      <w:tr w14:paraId="777766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64BC54D3">
            <w:pPr>
              <w:spacing w:line="288" w:lineRule="auto"/>
              <w:jc w:val="center"/>
              <w:rPr>
                <w:rFonts w:eastAsia="宋体" w:cs="Times New Roman"/>
                <w:sz w:val="21"/>
              </w:rPr>
            </w:pPr>
            <w:r>
              <w:rPr>
                <w:rFonts w:hint="eastAsia" w:eastAsia="宋体" w:cs="Times New Roman"/>
                <w:sz w:val="21"/>
                <w:szCs w:val="21"/>
              </w:rPr>
              <w:t>LMC-APT1</w:t>
            </w:r>
          </w:p>
        </w:tc>
        <w:tc>
          <w:tcPr>
            <w:tcW w:w="1134" w:type="dxa"/>
          </w:tcPr>
          <w:p w14:paraId="280F00D7">
            <w:pPr>
              <w:spacing w:line="288" w:lineRule="auto"/>
              <w:jc w:val="center"/>
              <w:rPr>
                <w:rFonts w:eastAsia="宋体" w:cs="Times New Roman"/>
                <w:sz w:val="21"/>
                <w:szCs w:val="21"/>
              </w:rPr>
            </w:pPr>
            <w:r>
              <w:rPr>
                <w:rFonts w:hint="eastAsia" w:eastAsia="Times New Roman"/>
                <w:sz w:val="21"/>
                <w:szCs w:val="21"/>
              </w:rPr>
              <w:t>-117.50</w:t>
            </w:r>
          </w:p>
        </w:tc>
        <w:tc>
          <w:tcPr>
            <w:tcW w:w="1276" w:type="dxa"/>
          </w:tcPr>
          <w:p w14:paraId="629FF7F1">
            <w:pPr>
              <w:spacing w:line="288" w:lineRule="auto"/>
              <w:jc w:val="center"/>
              <w:rPr>
                <w:rFonts w:eastAsia="宋体" w:cs="Times New Roman"/>
                <w:sz w:val="21"/>
                <w:szCs w:val="21"/>
              </w:rPr>
            </w:pPr>
            <w:r>
              <w:rPr>
                <w:rFonts w:hint="eastAsia" w:eastAsia="Times New Roman"/>
                <w:sz w:val="21"/>
                <w:szCs w:val="21"/>
              </w:rPr>
              <w:t>4</w:t>
            </w:r>
            <w:r>
              <w:rPr>
                <w:rFonts w:hint="eastAsia" w:eastAsiaTheme="minorEastAsia"/>
                <w:sz w:val="21"/>
                <w:szCs w:val="21"/>
              </w:rPr>
              <w:t>7</w:t>
            </w:r>
            <w:r>
              <w:rPr>
                <w:rFonts w:hint="eastAsia" w:eastAsia="Times New Roman"/>
                <w:sz w:val="21"/>
                <w:szCs w:val="21"/>
              </w:rPr>
              <w:t>.79</w:t>
            </w:r>
          </w:p>
        </w:tc>
        <w:tc>
          <w:tcPr>
            <w:tcW w:w="1559" w:type="dxa"/>
          </w:tcPr>
          <w:p w14:paraId="2DF7CF77">
            <w:pPr>
              <w:spacing w:line="288" w:lineRule="auto"/>
              <w:jc w:val="center"/>
              <w:rPr>
                <w:rFonts w:eastAsia="宋体" w:cs="Times New Roman"/>
                <w:sz w:val="21"/>
                <w:szCs w:val="21"/>
              </w:rPr>
            </w:pPr>
            <w:r>
              <w:rPr>
                <w:rFonts w:hint="eastAsia" w:eastAsia="Times New Roman"/>
                <w:sz w:val="21"/>
                <w:szCs w:val="21"/>
              </w:rPr>
              <w:t>38.21</w:t>
            </w:r>
          </w:p>
        </w:tc>
        <w:tc>
          <w:tcPr>
            <w:tcW w:w="1276" w:type="dxa"/>
          </w:tcPr>
          <w:p w14:paraId="16DEC5D3">
            <w:pPr>
              <w:spacing w:line="288" w:lineRule="auto"/>
              <w:jc w:val="center"/>
              <w:rPr>
                <w:rFonts w:eastAsia="宋体" w:cs="Times New Roman"/>
                <w:sz w:val="21"/>
                <w:szCs w:val="21"/>
              </w:rPr>
            </w:pPr>
            <w:r>
              <w:rPr>
                <w:rFonts w:hint="eastAsia" w:eastAsia="Times New Roman"/>
                <w:sz w:val="21"/>
                <w:szCs w:val="21"/>
              </w:rPr>
              <w:t>0.62</w:t>
            </w:r>
          </w:p>
        </w:tc>
        <w:tc>
          <w:tcPr>
            <w:tcW w:w="1984" w:type="dxa"/>
          </w:tcPr>
          <w:p w14:paraId="7B57EEF7">
            <w:pPr>
              <w:spacing w:line="288" w:lineRule="auto"/>
              <w:jc w:val="center"/>
              <w:rPr>
                <w:rFonts w:cs="Times New Roman" w:eastAsiaTheme="minorEastAsia"/>
                <w:sz w:val="21"/>
                <w:szCs w:val="21"/>
              </w:rPr>
            </w:pPr>
            <w:r>
              <w:rPr>
                <w:rFonts w:hint="eastAsia" w:cs="Times New Roman" w:eastAsiaTheme="minorEastAsia"/>
                <w:sz w:val="21"/>
                <w:szCs w:val="21"/>
              </w:rPr>
              <w:t>53.85</w:t>
            </w:r>
          </w:p>
        </w:tc>
      </w:tr>
      <w:tr w14:paraId="6F298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3A999982">
            <w:pPr>
              <w:spacing w:line="288" w:lineRule="auto"/>
              <w:jc w:val="center"/>
              <w:rPr>
                <w:rFonts w:eastAsia="宋体" w:cs="Times New Roman"/>
                <w:sz w:val="21"/>
              </w:rPr>
            </w:pPr>
            <w:r>
              <w:rPr>
                <w:rFonts w:hint="eastAsia" w:eastAsia="宋体" w:cs="Times New Roman"/>
                <w:sz w:val="21"/>
                <w:szCs w:val="21"/>
              </w:rPr>
              <w:t>LMC-APT2</w:t>
            </w:r>
          </w:p>
        </w:tc>
        <w:tc>
          <w:tcPr>
            <w:tcW w:w="1134" w:type="dxa"/>
          </w:tcPr>
          <w:p w14:paraId="31A2F35C">
            <w:pPr>
              <w:spacing w:line="288" w:lineRule="auto"/>
              <w:jc w:val="center"/>
              <w:rPr>
                <w:rFonts w:eastAsia="宋体" w:cs="Times New Roman"/>
                <w:sz w:val="21"/>
                <w:szCs w:val="21"/>
              </w:rPr>
            </w:pPr>
            <w:r>
              <w:rPr>
                <w:rFonts w:hint="eastAsia" w:eastAsia="Times New Roman"/>
                <w:sz w:val="21"/>
                <w:szCs w:val="21"/>
              </w:rPr>
              <w:t>-101.80</w:t>
            </w:r>
          </w:p>
        </w:tc>
        <w:tc>
          <w:tcPr>
            <w:tcW w:w="1276" w:type="dxa"/>
          </w:tcPr>
          <w:p w14:paraId="535ECFCF">
            <w:pPr>
              <w:spacing w:line="288" w:lineRule="auto"/>
              <w:jc w:val="center"/>
              <w:rPr>
                <w:rFonts w:eastAsia="宋体" w:cs="Times New Roman"/>
                <w:sz w:val="21"/>
                <w:szCs w:val="21"/>
              </w:rPr>
            </w:pPr>
            <w:r>
              <w:rPr>
                <w:rFonts w:hint="eastAsia" w:eastAsiaTheme="minorEastAsia"/>
                <w:sz w:val="21"/>
                <w:szCs w:val="21"/>
              </w:rPr>
              <w:t>40</w:t>
            </w:r>
            <w:r>
              <w:rPr>
                <w:rFonts w:hint="eastAsia" w:eastAsia="Times New Roman"/>
                <w:sz w:val="21"/>
                <w:szCs w:val="21"/>
              </w:rPr>
              <w:t>.54</w:t>
            </w:r>
          </w:p>
        </w:tc>
        <w:tc>
          <w:tcPr>
            <w:tcW w:w="1559" w:type="dxa"/>
          </w:tcPr>
          <w:p w14:paraId="77572BA9">
            <w:pPr>
              <w:spacing w:line="288" w:lineRule="auto"/>
              <w:jc w:val="center"/>
              <w:rPr>
                <w:rFonts w:eastAsia="宋体" w:cs="Times New Roman"/>
                <w:sz w:val="21"/>
                <w:szCs w:val="21"/>
              </w:rPr>
            </w:pPr>
            <w:r>
              <w:rPr>
                <w:rFonts w:hint="eastAsia" w:eastAsia="Times New Roman"/>
                <w:sz w:val="21"/>
                <w:szCs w:val="21"/>
              </w:rPr>
              <w:t>31.18</w:t>
            </w:r>
          </w:p>
        </w:tc>
        <w:tc>
          <w:tcPr>
            <w:tcW w:w="1276" w:type="dxa"/>
          </w:tcPr>
          <w:p w14:paraId="6632EF13">
            <w:pPr>
              <w:spacing w:line="288" w:lineRule="auto"/>
              <w:jc w:val="center"/>
              <w:rPr>
                <w:rFonts w:eastAsia="宋体" w:cs="Times New Roman"/>
                <w:sz w:val="21"/>
                <w:szCs w:val="21"/>
              </w:rPr>
            </w:pPr>
            <w:r>
              <w:rPr>
                <w:rFonts w:hint="eastAsia" w:eastAsia="Times New Roman"/>
                <w:sz w:val="21"/>
                <w:szCs w:val="21"/>
              </w:rPr>
              <w:t>0.70</w:t>
            </w:r>
          </w:p>
        </w:tc>
        <w:tc>
          <w:tcPr>
            <w:tcW w:w="1984" w:type="dxa"/>
          </w:tcPr>
          <w:p w14:paraId="4B0A8F55">
            <w:pPr>
              <w:spacing w:line="288" w:lineRule="auto"/>
              <w:jc w:val="center"/>
              <w:rPr>
                <w:rFonts w:cs="Times New Roman" w:eastAsiaTheme="minorEastAsia"/>
                <w:sz w:val="21"/>
                <w:szCs w:val="21"/>
              </w:rPr>
            </w:pPr>
            <w:r>
              <w:rPr>
                <w:rFonts w:hint="eastAsia" w:cs="Times New Roman" w:eastAsiaTheme="minorEastAsia"/>
                <w:sz w:val="21"/>
                <w:szCs w:val="21"/>
              </w:rPr>
              <w:t>63.93</w:t>
            </w:r>
          </w:p>
        </w:tc>
      </w:tr>
      <w:tr w14:paraId="78685A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27CBC70F">
            <w:pPr>
              <w:spacing w:line="288" w:lineRule="auto"/>
              <w:jc w:val="center"/>
              <w:rPr>
                <w:rFonts w:eastAsia="宋体" w:cs="Times New Roman"/>
                <w:sz w:val="21"/>
              </w:rPr>
            </w:pPr>
            <w:r>
              <w:rPr>
                <w:rFonts w:hint="eastAsia" w:eastAsia="宋体" w:cs="Times New Roman"/>
                <w:sz w:val="21"/>
                <w:szCs w:val="21"/>
              </w:rPr>
              <w:t>LMC-APT3</w:t>
            </w:r>
          </w:p>
        </w:tc>
        <w:tc>
          <w:tcPr>
            <w:tcW w:w="1134" w:type="dxa"/>
          </w:tcPr>
          <w:p w14:paraId="4FA06257">
            <w:pPr>
              <w:spacing w:line="288" w:lineRule="auto"/>
              <w:jc w:val="center"/>
              <w:rPr>
                <w:rFonts w:eastAsia="宋体" w:cs="Times New Roman"/>
                <w:sz w:val="21"/>
                <w:szCs w:val="21"/>
              </w:rPr>
            </w:pPr>
            <w:r>
              <w:rPr>
                <w:rFonts w:hint="eastAsia" w:eastAsia="Times New Roman"/>
                <w:sz w:val="21"/>
                <w:szCs w:val="21"/>
              </w:rPr>
              <w:t>-97.69</w:t>
            </w:r>
          </w:p>
        </w:tc>
        <w:tc>
          <w:tcPr>
            <w:tcW w:w="1276" w:type="dxa"/>
          </w:tcPr>
          <w:p w14:paraId="56E97FEB">
            <w:pPr>
              <w:spacing w:line="288" w:lineRule="auto"/>
              <w:jc w:val="center"/>
              <w:rPr>
                <w:rFonts w:eastAsia="宋体" w:cs="Times New Roman"/>
                <w:sz w:val="21"/>
                <w:szCs w:val="21"/>
              </w:rPr>
            </w:pPr>
            <w:r>
              <w:rPr>
                <w:rFonts w:hint="eastAsia" w:eastAsia="Times New Roman"/>
                <w:sz w:val="21"/>
                <w:szCs w:val="21"/>
              </w:rPr>
              <w:t>3</w:t>
            </w:r>
            <w:r>
              <w:rPr>
                <w:rFonts w:hint="eastAsia" w:eastAsiaTheme="minorEastAsia"/>
                <w:sz w:val="21"/>
                <w:szCs w:val="21"/>
              </w:rPr>
              <w:t>9</w:t>
            </w:r>
            <w:r>
              <w:rPr>
                <w:rFonts w:hint="eastAsia" w:eastAsia="Times New Roman"/>
                <w:sz w:val="21"/>
                <w:szCs w:val="21"/>
              </w:rPr>
              <w:t>.42</w:t>
            </w:r>
          </w:p>
        </w:tc>
        <w:tc>
          <w:tcPr>
            <w:tcW w:w="1559" w:type="dxa"/>
          </w:tcPr>
          <w:p w14:paraId="56DD2BD1">
            <w:pPr>
              <w:spacing w:line="288" w:lineRule="auto"/>
              <w:jc w:val="center"/>
              <w:rPr>
                <w:rFonts w:eastAsia="宋体" w:cs="Times New Roman"/>
                <w:sz w:val="21"/>
                <w:szCs w:val="21"/>
              </w:rPr>
            </w:pPr>
            <w:r>
              <w:rPr>
                <w:rFonts w:hint="eastAsia" w:eastAsia="Times New Roman"/>
                <w:sz w:val="21"/>
                <w:szCs w:val="21"/>
              </w:rPr>
              <w:t>29.83</w:t>
            </w:r>
          </w:p>
        </w:tc>
        <w:tc>
          <w:tcPr>
            <w:tcW w:w="1276" w:type="dxa"/>
          </w:tcPr>
          <w:p w14:paraId="7DE6DBC5">
            <w:pPr>
              <w:spacing w:line="288" w:lineRule="auto"/>
              <w:jc w:val="center"/>
              <w:rPr>
                <w:rFonts w:eastAsia="宋体" w:cs="Times New Roman"/>
                <w:sz w:val="21"/>
                <w:szCs w:val="21"/>
              </w:rPr>
            </w:pPr>
            <w:r>
              <w:rPr>
                <w:rFonts w:hint="eastAsia" w:eastAsia="Times New Roman"/>
                <w:sz w:val="21"/>
                <w:szCs w:val="21"/>
              </w:rPr>
              <w:t>0.73</w:t>
            </w:r>
          </w:p>
        </w:tc>
        <w:tc>
          <w:tcPr>
            <w:tcW w:w="1984" w:type="dxa"/>
          </w:tcPr>
          <w:p w14:paraId="1C8A1585">
            <w:pPr>
              <w:spacing w:line="288" w:lineRule="auto"/>
              <w:jc w:val="center"/>
              <w:rPr>
                <w:rFonts w:cs="Times New Roman" w:eastAsiaTheme="minorEastAsia"/>
                <w:sz w:val="21"/>
                <w:szCs w:val="21"/>
              </w:rPr>
            </w:pPr>
            <w:r>
              <w:rPr>
                <w:rFonts w:hint="eastAsia" w:cs="Times New Roman" w:eastAsiaTheme="minorEastAsia"/>
                <w:sz w:val="21"/>
                <w:szCs w:val="21"/>
              </w:rPr>
              <w:t>64.76</w:t>
            </w:r>
          </w:p>
        </w:tc>
      </w:tr>
      <w:tr w14:paraId="3495B3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6" w:type="dxa"/>
          </w:tcPr>
          <w:p w14:paraId="56524F53">
            <w:pPr>
              <w:spacing w:line="288" w:lineRule="auto"/>
              <w:jc w:val="center"/>
              <w:rPr>
                <w:rFonts w:eastAsia="宋体" w:cs="Times New Roman"/>
                <w:b/>
                <w:bCs/>
                <w:sz w:val="21"/>
              </w:rPr>
            </w:pPr>
            <w:r>
              <w:rPr>
                <w:rFonts w:hint="eastAsia" w:eastAsia="宋体" w:cs="Times New Roman"/>
                <w:b/>
                <w:bCs/>
                <w:sz w:val="21"/>
                <w:szCs w:val="21"/>
              </w:rPr>
              <w:t>LMC-APT</w:t>
            </w:r>
          </w:p>
        </w:tc>
        <w:tc>
          <w:tcPr>
            <w:tcW w:w="1134" w:type="dxa"/>
          </w:tcPr>
          <w:p w14:paraId="2EBA175E">
            <w:pPr>
              <w:spacing w:line="288" w:lineRule="auto"/>
              <w:jc w:val="center"/>
              <w:rPr>
                <w:rFonts w:eastAsia="宋体" w:cs="Times New Roman"/>
                <w:sz w:val="21"/>
                <w:szCs w:val="21"/>
              </w:rPr>
            </w:pPr>
            <w:r>
              <w:rPr>
                <w:rFonts w:hint="eastAsia" w:eastAsia="Times New Roman" w:cs="Times New Roman"/>
                <w:b/>
                <w:bCs/>
                <w:sz w:val="21"/>
                <w:szCs w:val="21"/>
              </w:rPr>
              <w:t>-85.60</w:t>
            </w:r>
          </w:p>
        </w:tc>
        <w:tc>
          <w:tcPr>
            <w:tcW w:w="1276" w:type="dxa"/>
          </w:tcPr>
          <w:p w14:paraId="341F406C">
            <w:pPr>
              <w:spacing w:line="288" w:lineRule="auto"/>
              <w:jc w:val="center"/>
              <w:rPr>
                <w:rFonts w:eastAsia="宋体" w:cs="Times New Roman"/>
                <w:sz w:val="21"/>
                <w:szCs w:val="21"/>
              </w:rPr>
            </w:pPr>
            <w:r>
              <w:rPr>
                <w:rFonts w:hint="eastAsia" w:eastAsia="Times New Roman" w:cs="Times New Roman"/>
                <w:b/>
                <w:bCs/>
                <w:sz w:val="21"/>
                <w:szCs w:val="21"/>
              </w:rPr>
              <w:t>32.15</w:t>
            </w:r>
          </w:p>
        </w:tc>
        <w:tc>
          <w:tcPr>
            <w:tcW w:w="1559" w:type="dxa"/>
          </w:tcPr>
          <w:p w14:paraId="2DF74FD2">
            <w:pPr>
              <w:spacing w:line="288" w:lineRule="auto"/>
              <w:jc w:val="center"/>
              <w:rPr>
                <w:rFonts w:eastAsia="宋体" w:cs="Times New Roman"/>
                <w:sz w:val="21"/>
                <w:szCs w:val="21"/>
              </w:rPr>
            </w:pPr>
            <w:r>
              <w:rPr>
                <w:rFonts w:hint="eastAsia" w:eastAsia="Times New Roman" w:cs="宋体"/>
                <w:b/>
                <w:bCs/>
                <w:kern w:val="0"/>
                <w:sz w:val="21"/>
                <w:szCs w:val="21"/>
              </w:rPr>
              <w:t>25</w:t>
            </w:r>
            <w:r>
              <w:rPr>
                <w:rFonts w:eastAsia="Times New Roman" w:cs="宋体"/>
                <w:b/>
                <w:bCs/>
                <w:kern w:val="0"/>
                <w:sz w:val="21"/>
                <w:szCs w:val="21"/>
              </w:rPr>
              <w:t>.50</w:t>
            </w:r>
          </w:p>
        </w:tc>
        <w:tc>
          <w:tcPr>
            <w:tcW w:w="1276" w:type="dxa"/>
          </w:tcPr>
          <w:p w14:paraId="03BDE3F0">
            <w:pPr>
              <w:spacing w:line="288" w:lineRule="auto"/>
              <w:jc w:val="center"/>
              <w:rPr>
                <w:rFonts w:eastAsia="宋体" w:cs="Times New Roman"/>
                <w:sz w:val="21"/>
                <w:szCs w:val="21"/>
              </w:rPr>
            </w:pPr>
            <w:r>
              <w:rPr>
                <w:rFonts w:hint="eastAsia" w:eastAsia="Times New Roman" w:cs="Times New Roman"/>
                <w:b/>
                <w:sz w:val="21"/>
                <w:szCs w:val="21"/>
              </w:rPr>
              <w:t>0.79</w:t>
            </w:r>
          </w:p>
        </w:tc>
        <w:tc>
          <w:tcPr>
            <w:tcW w:w="1984" w:type="dxa"/>
          </w:tcPr>
          <w:p w14:paraId="26DE2DF4">
            <w:pPr>
              <w:spacing w:line="288" w:lineRule="auto"/>
              <w:jc w:val="center"/>
              <w:rPr>
                <w:rFonts w:cs="Times New Roman" w:eastAsiaTheme="minorEastAsia"/>
                <w:sz w:val="21"/>
                <w:szCs w:val="21"/>
              </w:rPr>
            </w:pPr>
            <w:r>
              <w:rPr>
                <w:rFonts w:hint="eastAsia" w:cs="Times New Roman" w:eastAsiaTheme="minorEastAsia"/>
                <w:b/>
                <w:sz w:val="21"/>
                <w:szCs w:val="21"/>
              </w:rPr>
              <w:t>76.55</w:t>
            </w:r>
          </w:p>
        </w:tc>
      </w:tr>
    </w:tbl>
    <w:p w14:paraId="6E09536B">
      <w:pPr>
        <w:spacing w:before="156" w:beforeLines="50"/>
        <w:ind w:firstLine="480" w:firstLineChars="200"/>
      </w:pPr>
      <w:r>
        <w:rPr>
          <w:rFonts w:hint="eastAsia"/>
        </w:rPr>
        <w:t>从表5.6的实验结果可以看出，随着各部分的加入，检测性能整体呈上升趋势，这证明了每个部分的有效性，具体分析如下：</w:t>
      </w:r>
    </w:p>
    <w:p w14:paraId="76D2152C">
      <w:pPr>
        <w:ind w:firstLine="480" w:firstLineChars="200"/>
      </w:pPr>
      <w:r>
        <w:rPr>
          <w:rFonts w:hint="eastAsia"/>
        </w:rPr>
        <w:t>1）相较于第四章无协作的各区域最终检测方法LWM-RL，</w:t>
      </w:r>
      <w:r>
        <w:t>LMC-APT1在引入区域间证据共享机制后</w:t>
      </w:r>
      <w:r>
        <w:rPr>
          <w:rFonts w:hint="eastAsia"/>
        </w:rPr>
        <w:t>，平均回报、回报标准差、平均恢复时间与平均预警提前步数均有小幅提升，</w:t>
      </w:r>
      <w:r>
        <w:t>这表明若各区域能够实现证据共享，则可以提升综合检测性能</w:t>
      </w:r>
      <w:r>
        <w:rPr>
          <w:rFonts w:hint="eastAsia"/>
        </w:rPr>
        <w:t>；但是恢复精确率略有降低，可能是因为</w:t>
      </w:r>
      <w:r>
        <w:t>缺乏协作约束的证据共享</w:t>
      </w:r>
      <w:r>
        <w:rPr>
          <w:rFonts w:hint="eastAsia"/>
        </w:rPr>
        <w:t>会导致各智能体接受许多无效冗余的信息，这证明需结合协作规划对证据共享的内容、目标与时机进行约束，才能真正带来共享收益。</w:t>
      </w:r>
    </w:p>
    <w:p w14:paraId="74832900">
      <w:pPr>
        <w:ind w:firstLine="480" w:firstLineChars="200"/>
      </w:pPr>
      <w:r>
        <w:rPr>
          <w:rFonts w:hint="eastAsia"/>
        </w:rPr>
        <w:t>2）LMC-APT2在LMC-APT1的基础上增加了LLM对各区域检测进行协作规划，各项指标均出现大幅提高。这证明了LLM协作规划的有效性，是协作环节中的重要部分。</w:t>
      </w:r>
    </w:p>
    <w:p w14:paraId="66C8D41E">
      <w:pPr>
        <w:ind w:firstLine="480" w:firstLineChars="200"/>
      </w:pPr>
      <w:r>
        <w:rPr>
          <w:rFonts w:hint="eastAsia"/>
        </w:rPr>
        <w:t>3）LMC-APT3在LMC-APT2的基础上增加了协作规划的在线规则校验，各项指标均有小幅提升，证明了在线校验规则的有效性。相较于LMC-APT2的大幅提升，LMC-APT3的各项指标虽增益幅度相对有限，但是其能够进一步确保LLM协作计划的可行有效，各项指标均小幅上升证明其在部分情况下有效地优化了协作计划。</w:t>
      </w:r>
    </w:p>
    <w:p w14:paraId="417E6B20">
      <w:pPr>
        <w:ind w:firstLine="480" w:firstLineChars="200"/>
      </w:pPr>
      <w:r>
        <w:rPr>
          <w:rFonts w:hint="eastAsia"/>
        </w:rPr>
        <w:t>4）LMC-APT则在LMC-APT3的基础上进一步引入了多智能体协作决策与MAPPO联合优化，构成了本章最终方法。从表5.6可以看出，其各项指标均为最优，且相较于LMC-APT3也有较大提升。这证明了多智能体协作检测及MAPPO联合优化的有效性。</w:t>
      </w:r>
    </w:p>
    <w:p w14:paraId="0DC15DCF">
      <w:pPr>
        <w:ind w:firstLine="480" w:firstLineChars="200"/>
      </w:pPr>
      <w:r>
        <w:rPr>
          <w:rFonts w:hint="eastAsia"/>
        </w:rPr>
        <w:t>综上所述，消融实验证明，本文方法设计的各部分均有效提升了整体区域针对APT攻击的检测性能。本章的主要部分LLM协作规划及多智能体协作决策与MAPPO联合优化均实现了检测性能的较大提升，协作规划的在线规则校验也保障了协作计划的可行性与稳健性。最终LMC-APT方法结合上述所有部分，检测性能最优，证明了方法与各部分的有效性。</w:t>
      </w:r>
    </w:p>
    <w:p w14:paraId="363C2781">
      <w:pPr>
        <w:pStyle w:val="3"/>
      </w:pPr>
      <w:bookmarkStart w:id="117" w:name="_Toc230086404"/>
      <w:r>
        <w:rPr>
          <w:rFonts w:hint="eastAsia"/>
        </w:rPr>
        <w:t>5.5 本章小结</w:t>
      </w:r>
      <w:bookmarkEnd w:id="117"/>
    </w:p>
    <w:p w14:paraId="432BD3A0">
      <w:pPr>
        <w:ind w:firstLine="480" w:firstLineChars="200"/>
      </w:pPr>
      <w:r>
        <w:rPr>
          <w:rFonts w:hint="eastAsia"/>
        </w:rPr>
        <w:t>本章提出了一种基于大模型先验和多智能体协作的跨域协同检测方法。首先，给出了本章方法概述。然后，提出基于LLM的跨域协作先验计划生成方法，通过构建多区域检测证据库，并结合攻击阶段推理、置信校准和协作计划生成，为跨区域协同检测提供统一证据表示与协作先验。接着，提出先验计划约束的多智能体协作决策方法，通过协作策略建模、基于MAPPO的协作策略学习以及区域模型增量更新，实现跨区域场景下的联合检测与协同优化。最后，通过协同检测有效性验证、提前预警性能验证和消融实验，证明了本章方法能够有效提升跨域协同检测性能及提前预警能力。其中，所提方法相比现有方法平均回报提升了28.21，平均提前预警步数提升了38.77步。</w:t>
      </w:r>
      <w:r>
        <w:br w:type="page"/>
      </w:r>
    </w:p>
    <w:p w14:paraId="2785C7EC">
      <w:pPr>
        <w:pStyle w:val="2"/>
      </w:pPr>
      <w:bookmarkStart w:id="118" w:name="_Toc230086405"/>
      <w:r>
        <w:rPr>
          <w:rFonts w:hint="eastAsia"/>
        </w:rPr>
        <w:t>第六章 总结与展望</w:t>
      </w:r>
      <w:bookmarkEnd w:id="118"/>
    </w:p>
    <w:p w14:paraId="0F8707E9">
      <w:pPr>
        <w:pStyle w:val="3"/>
      </w:pPr>
      <w:bookmarkStart w:id="119" w:name="_Toc230086406"/>
      <w:r>
        <w:rPr>
          <w:rFonts w:hint="eastAsia"/>
        </w:rPr>
        <w:t>6.1 总结</w:t>
      </w:r>
      <w:bookmarkEnd w:id="119"/>
    </w:p>
    <w:p w14:paraId="54619044">
      <w:pPr>
        <w:ind w:firstLine="480" w:firstLineChars="200"/>
      </w:pPr>
      <w:r>
        <w:rPr>
          <w:rFonts w:hint="eastAsia"/>
        </w:rPr>
        <w:t>为有效检测新型电力系统中的APT攻击，保障新型电力系统安全稳定运行，本文研究了结合大模型和预测型强化学习的新型电力系统APT检测方法，主要完成了如下工作：</w:t>
      </w:r>
    </w:p>
    <w:p w14:paraId="18844176">
      <w:pPr>
        <w:ind w:firstLine="480" w:firstLineChars="200"/>
      </w:pPr>
      <w:r>
        <w:rPr>
          <w:rFonts w:hint="eastAsia"/>
        </w:rPr>
        <w:t>1）针对现有特征选择方法大多仅考虑检测准确性并利用监督学习筛选特征，难以在APT异常线索微弱且持续演进情况下有效识别关键特征的问题，提出了一种基于性能反馈的自适应掩码特征选择方法。首先，基于对比学习进行特征预筛选，通过对比学习及特征贡献评估构建了候选特征空间，有效地初步筛选出重要特征，降低了原始高维冗余特征对后续检测方法的干扰；然后，基于综合性能反馈进行自适应特征掩码选择，通过预测奖励反馈对特征组合进行动态优化，</w:t>
      </w:r>
      <w:r>
        <w:t>实现了关键特征的自适应更新。</w:t>
      </w:r>
      <w:r>
        <w:rPr>
          <w:rFonts w:hint="eastAsia"/>
        </w:rPr>
        <w:t>实验结果表明，所提方法能够有效地降低特征维度，且选出的日志特征相比现有方法平均回报提升了17.72，平均提前预警步数提升了5.62步。</w:t>
      </w:r>
    </w:p>
    <w:p w14:paraId="5DD45AC2">
      <w:pPr>
        <w:ind w:firstLine="480" w:firstLineChars="200"/>
      </w:pPr>
      <w:r>
        <w:rPr>
          <w:rFonts w:hint="eastAsia"/>
        </w:rPr>
        <w:t>2）针对现有APT检测方法仅根据当前观测进行决策、缺乏对当前行为及其后续演进的先验理解、从而难以有效兼顾检测准确性和提前预警能力的问题，提出了一种基于大模型先验和预测型强化学习的APT检测方法。首先，基于LLM进行先验生成，通过生成包含先验偏好的候选计划，为APT检测提供可解释的先验信息；然后，基于集成动力概率学世界模型进行前瞻评估，通过对候选计划进行多步前瞻推演，为不同检测方案的比较提供进一步的依据；最后，基于PPO强化学习进行后验选择，实现了候选计划的后验选择与策略优化。实验结果表明，所提方法实现了有效的APT检测，相比现有方法平均回报提升了78.85，平均提前预警步数提升了18.15步。</w:t>
      </w:r>
    </w:p>
    <w:p w14:paraId="6D53C9B8">
      <w:pPr>
        <w:ind w:firstLine="480" w:firstLineChars="200"/>
      </w:pPr>
      <w:r>
        <w:rPr>
          <w:rFonts w:hint="eastAsia"/>
        </w:rPr>
        <w:t>3）针对现有多区域检测和多智能体协作方法局限于集中式学习和分布式独立决策架构、难以实现APT跨区域渗透场景下整体协同性和单体灵活性的有效协调的问题，提出了一种基于大模型先验和多智能体协作的跨域协同检测方法。</w:t>
      </w:r>
      <w:r>
        <w:t>首先，通过构建多区域检测证据库</w:t>
      </w:r>
      <w:r>
        <w:rPr>
          <w:rFonts w:hint="eastAsia"/>
        </w:rPr>
        <w:t>，</w:t>
      </w:r>
      <w:r>
        <w:t>实现检测证据的统一表示</w:t>
      </w:r>
      <w:r>
        <w:rPr>
          <w:rFonts w:hint="eastAsia"/>
        </w:rPr>
        <w:t>，</w:t>
      </w:r>
      <w:r>
        <w:t>并</w:t>
      </w:r>
      <w:r>
        <w:rPr>
          <w:rFonts w:hint="eastAsia"/>
        </w:rPr>
        <w:t>使用LLM进行</w:t>
      </w:r>
      <w:r>
        <w:t>攻击阶段推理</w:t>
      </w:r>
      <w:r>
        <w:rPr>
          <w:rFonts w:hint="eastAsia"/>
        </w:rPr>
        <w:t>并生成针对跨域协同检测任务的协同动作先验计划，</w:t>
      </w:r>
      <w:r>
        <w:t>为后续协同决策提供先验信息和协作依据；然后，</w:t>
      </w:r>
      <w:r>
        <w:rPr>
          <w:rFonts w:hint="eastAsia"/>
        </w:rPr>
        <w:t>使用</w:t>
      </w:r>
      <w:r>
        <w:t>先验计划约束的多智能体协作决策，在协作先验约束下</w:t>
      </w:r>
      <w:r>
        <w:rPr>
          <w:rFonts w:hint="eastAsia"/>
        </w:rPr>
        <w:t>使用MAPPO方法进行协作策略学习与优化，</w:t>
      </w:r>
      <w:r>
        <w:t>实现了跨区域场景下的</w:t>
      </w:r>
      <w:r>
        <w:rPr>
          <w:rFonts w:hint="eastAsia"/>
        </w:rPr>
        <w:t>协同</w:t>
      </w:r>
      <w:r>
        <w:t>检测与</w:t>
      </w:r>
      <w:r>
        <w:rPr>
          <w:rFonts w:hint="eastAsia"/>
        </w:rPr>
        <w:t>联合</w:t>
      </w:r>
      <w:r>
        <w:t>优化。实验结果表明，</w:t>
      </w:r>
      <w:r>
        <w:rPr>
          <w:rFonts w:hint="eastAsia"/>
        </w:rPr>
        <w:t>所提方法实现了有效的APT跨域协同检测，相比现有方法平均回报提升了28.21，平均提前预警步数提升了38.77步</w:t>
      </w:r>
      <w:r>
        <w:t>。</w:t>
      </w:r>
    </w:p>
    <w:p w14:paraId="1E198153">
      <w:pPr>
        <w:ind w:firstLine="480" w:firstLineChars="200"/>
      </w:pPr>
      <w:r>
        <w:rPr>
          <w:rFonts w:hint="eastAsia"/>
        </w:rPr>
        <w:t>本文方法充分利用了大模型的先验理解、规划设计及语义推理等优势，提出了大模型-世界模型-强化学习融合的新型电力系统APT检测方法，能够有效兼顾检测性能和提前预警能力，为提升新型电力系统应对复杂隐匿APT威胁的能力提供关键技术方法支撑。</w:t>
      </w:r>
    </w:p>
    <w:p w14:paraId="5998FDA4">
      <w:pPr>
        <w:pStyle w:val="3"/>
      </w:pPr>
      <w:bookmarkStart w:id="120" w:name="_Toc230086407"/>
      <w:r>
        <w:rPr>
          <w:rFonts w:hint="eastAsia"/>
        </w:rPr>
        <w:t>6.2 展望</w:t>
      </w:r>
      <w:bookmarkEnd w:id="120"/>
    </w:p>
    <w:p w14:paraId="460BAA2D">
      <w:pPr>
        <w:ind w:firstLine="480" w:firstLineChars="200"/>
      </w:pPr>
      <w:r>
        <w:t>本文</w:t>
      </w:r>
      <w:r>
        <w:rPr>
          <w:rFonts w:hint="eastAsia"/>
        </w:rPr>
        <w:t>研究的结合大模型和预测型强化学习的新型电力系统APT检测方法，为</w:t>
      </w:r>
      <w:r>
        <w:t>新型电力系统APT检测</w:t>
      </w:r>
      <w:r>
        <w:rPr>
          <w:rFonts w:hint="eastAsia"/>
        </w:rPr>
        <w:t>的</w:t>
      </w:r>
      <w:r>
        <w:t>特征选择、域内检测与跨域协同</w:t>
      </w:r>
      <w:r>
        <w:rPr>
          <w:rFonts w:hint="eastAsia"/>
        </w:rPr>
        <w:t>检测提供了有效思路</w:t>
      </w:r>
      <w:r>
        <w:t>。但由于实际场景下APT攻击具有更强的持续演化特征，系统运行环境也更</w:t>
      </w:r>
      <w:r>
        <w:rPr>
          <w:rFonts w:hint="eastAsia"/>
        </w:rPr>
        <w:t>加</w:t>
      </w:r>
      <w:r>
        <w:t>动态</w:t>
      </w:r>
      <w:r>
        <w:rPr>
          <w:rFonts w:hint="eastAsia"/>
        </w:rPr>
        <w:t>复杂</w:t>
      </w:r>
      <w:r>
        <w:t>，相关方法仍有进一步完善的空间</w:t>
      </w:r>
      <w:r>
        <w:rPr>
          <w:rFonts w:hint="eastAsia"/>
        </w:rPr>
        <w:t>，</w:t>
      </w:r>
      <w:r>
        <w:t>未来的改进方向</w:t>
      </w:r>
      <w:r>
        <w:rPr>
          <w:rFonts w:hint="eastAsia"/>
        </w:rPr>
        <w:t>如下：</w:t>
      </w:r>
    </w:p>
    <w:p w14:paraId="51001983">
      <w:pPr>
        <w:ind w:firstLine="480" w:firstLineChars="200"/>
      </w:pPr>
      <w:r>
        <w:rPr>
          <w:rFonts w:hint="eastAsia"/>
        </w:rPr>
        <w:t>1</w:t>
      </w:r>
      <w:r>
        <w:t>）在基于大模型先验和预测型强化学习的APT检测方面，未来的改进方向是结合实时观测结果，进一步研究先验校正与前瞻纠偏</w:t>
      </w:r>
      <w:r>
        <w:rPr>
          <w:rFonts w:hint="eastAsia"/>
        </w:rPr>
        <w:t>方法</w:t>
      </w:r>
      <w:r>
        <w:t>，增强候选计划与环境状态之间的一致性，</w:t>
      </w:r>
      <w:r>
        <w:rPr>
          <w:rFonts w:hint="eastAsia"/>
        </w:rPr>
        <w:t>并</w:t>
      </w:r>
      <w:r>
        <w:t>减弱</w:t>
      </w:r>
      <w:r>
        <w:rPr>
          <w:rFonts w:hint="eastAsia"/>
        </w:rPr>
        <w:t>世界</w:t>
      </w:r>
      <w:r>
        <w:t>模型</w:t>
      </w:r>
      <w:r>
        <w:rPr>
          <w:rFonts w:hint="eastAsia"/>
        </w:rPr>
        <w:t>前瞻</w:t>
      </w:r>
      <w:r>
        <w:t>偏差对后验选择结果的影响，从而进一步提高检测结果的可靠性。</w:t>
      </w:r>
    </w:p>
    <w:p w14:paraId="0550A320">
      <w:pPr>
        <w:ind w:firstLine="480" w:firstLineChars="200"/>
      </w:pPr>
      <w:r>
        <w:rPr>
          <w:rFonts w:hint="eastAsia"/>
        </w:rPr>
        <w:t>2</w:t>
      </w:r>
      <w:r>
        <w:t>）在基于大模型先验和多智能体协作的跨域协同检测方面，未来的改进方向是进一步完善多区域检测证据的表示方式，细化协作计划的动态调整规则，并结合区域状态变化研究更具针对性的模型增量更新</w:t>
      </w:r>
      <w:r>
        <w:rPr>
          <w:rFonts w:hint="eastAsia"/>
        </w:rPr>
        <w:t>方法</w:t>
      </w:r>
      <w:r>
        <w:t>，以提升复杂跨域APT场景下的持续协同检测能力。</w:t>
      </w:r>
    </w:p>
    <w:p w14:paraId="6E7A6D9E">
      <w:pPr>
        <w:ind w:firstLine="480" w:firstLineChars="200"/>
      </w:pPr>
      <w:r>
        <w:rPr>
          <w:rFonts w:hint="eastAsia"/>
        </w:rPr>
        <w:t>3）</w:t>
      </w:r>
      <w:r>
        <w:t>在面向实际运行环境的实时检测与边缘部署方面，未来的改进方向是进一步评估大模型推理时延对实时检测业务的影响，并研究适用于资源受限电力边缘节点的轻量化部署方式。后续可采用中心侧生成先验、边缘侧执行检测</w:t>
      </w:r>
      <w:r>
        <w:rPr>
          <w:rFonts w:hint="eastAsia"/>
        </w:rPr>
        <w:t>及</w:t>
      </w:r>
      <w:r>
        <w:t>决策的协同架构，并结合先验缓存、触发式更新和模型压缩等方式降低在线推理开销。同时，将进一步整理本文实验代码、模型配置和复现实验说明，并在条件允许的情况下公开</w:t>
      </w:r>
      <w:r>
        <w:rPr>
          <w:rFonts w:hint="eastAsia"/>
        </w:rPr>
        <w:t>发布</w:t>
      </w:r>
      <w:r>
        <w:t>。</w:t>
      </w:r>
    </w:p>
    <w:p w14:paraId="6B6DDB1E">
      <w:pPr>
        <w:widowControl/>
        <w:ind w:firstLine="480" w:firstLineChars="200"/>
        <w:rPr>
          <w:rFonts w:eastAsia="宋体" w:cs="Times New Roman"/>
        </w:rPr>
      </w:pPr>
      <w:r>
        <w:br w:type="page"/>
      </w:r>
    </w:p>
    <w:p w14:paraId="447F64AA">
      <w:pPr>
        <w:pStyle w:val="2"/>
      </w:pPr>
      <w:bookmarkStart w:id="121" w:name="_Toc68804318"/>
      <w:bookmarkStart w:id="122" w:name="_Toc163672124"/>
      <w:bookmarkStart w:id="123" w:name="_Toc230086408"/>
      <w:bookmarkStart w:id="124" w:name="_Toc68804319"/>
      <w:bookmarkStart w:id="125" w:name="_Toc131776895"/>
      <w:bookmarkStart w:id="126" w:name="_Toc163672125"/>
      <w:r>
        <w:rPr>
          <w:rFonts w:hint="eastAsia"/>
        </w:rPr>
        <w:t>参考文献</w:t>
      </w:r>
      <w:bookmarkEnd w:id="121"/>
      <w:bookmarkEnd w:id="122"/>
      <w:bookmarkEnd w:id="123"/>
    </w:p>
    <w:p w14:paraId="6BF309B6">
      <w:pPr>
        <w:pStyle w:val="30"/>
        <w:numPr>
          <w:ilvl w:val="0"/>
          <w:numId w:val="2"/>
        </w:numPr>
        <w:ind w:firstLineChars="0"/>
        <w:rPr>
          <w:sz w:val="21"/>
          <w:szCs w:val="21"/>
        </w:rPr>
      </w:pPr>
      <w:bookmarkStart w:id="127" w:name="_Ref225359687"/>
      <w:bookmarkStart w:id="128" w:name="_Ref225241398"/>
      <w:r>
        <w:rPr>
          <w:sz w:val="21"/>
          <w:szCs w:val="21"/>
        </w:rPr>
        <w:t>Zang T, Wang S, Wang Z, et al. Integrated planning and operation dispatching of source–grid–load–storage in a new power system: A coupled socio–cyber–physical perspective[J]. Energies, 2024, 17(12): 3013.</w:t>
      </w:r>
      <w:bookmarkEnd w:id="127"/>
    </w:p>
    <w:p w14:paraId="3712D5E6">
      <w:pPr>
        <w:pStyle w:val="30"/>
        <w:numPr>
          <w:ilvl w:val="0"/>
          <w:numId w:val="2"/>
        </w:numPr>
        <w:ind w:firstLineChars="0"/>
        <w:rPr>
          <w:sz w:val="21"/>
          <w:szCs w:val="21"/>
        </w:rPr>
      </w:pPr>
      <w:bookmarkStart w:id="129" w:name="_Ref225359758"/>
      <w:r>
        <w:rPr>
          <w:sz w:val="21"/>
          <w:szCs w:val="21"/>
        </w:rPr>
        <w:t>Krause T, Ernst R, Klaer B, et al. Cybersecurity in power grids: Challenges and opportunities[J]. Sensors, 2021, 21(18): 6225.</w:t>
      </w:r>
      <w:bookmarkEnd w:id="129"/>
    </w:p>
    <w:p w14:paraId="16DE8E51">
      <w:pPr>
        <w:pStyle w:val="30"/>
        <w:numPr>
          <w:ilvl w:val="0"/>
          <w:numId w:val="2"/>
        </w:numPr>
        <w:ind w:firstLineChars="0"/>
        <w:rPr>
          <w:sz w:val="21"/>
          <w:szCs w:val="21"/>
        </w:rPr>
      </w:pPr>
      <w:bookmarkStart w:id="130" w:name="_Ref225359860"/>
      <w:r>
        <w:rPr>
          <w:sz w:val="21"/>
          <w:szCs w:val="21"/>
        </w:rPr>
        <w:t>Che Mat N I, Jamil N, Yusoff Y, et al. A systematic literature review on advanced persistent threat behaviors and its detection strategy[J]. Journal of Cybersecurity, 2024, 10(1): tyad023.</w:t>
      </w:r>
      <w:bookmarkEnd w:id="130"/>
    </w:p>
    <w:p w14:paraId="55AABC03">
      <w:pPr>
        <w:pStyle w:val="30"/>
        <w:numPr>
          <w:ilvl w:val="0"/>
          <w:numId w:val="2"/>
        </w:numPr>
        <w:ind w:firstLineChars="0"/>
        <w:rPr>
          <w:sz w:val="21"/>
          <w:szCs w:val="21"/>
        </w:rPr>
      </w:pPr>
      <w:bookmarkStart w:id="131" w:name="_Ref226818803"/>
      <w:r>
        <w:rPr>
          <w:sz w:val="21"/>
          <w:szCs w:val="21"/>
        </w:rPr>
        <w:t>Kabir S, Hannan N, Shufian A, et al. Proactive detection of cyber-physical grid attacks: A pre-attack phase identification and analysis using anomaly-based machine learning models[J]. Array, 2025, 27: 100441.</w:t>
      </w:r>
      <w:bookmarkEnd w:id="131"/>
    </w:p>
    <w:p w14:paraId="175FE0DC">
      <w:pPr>
        <w:pStyle w:val="30"/>
        <w:numPr>
          <w:ilvl w:val="0"/>
          <w:numId w:val="2"/>
        </w:numPr>
        <w:ind w:firstLineChars="0"/>
        <w:rPr>
          <w:sz w:val="21"/>
          <w:szCs w:val="21"/>
        </w:rPr>
      </w:pPr>
      <w:bookmarkStart w:id="132" w:name="_Ref225360306"/>
      <w:r>
        <w:rPr>
          <w:sz w:val="21"/>
          <w:szCs w:val="21"/>
        </w:rPr>
        <w:t>Rajkumar V S, Ştefanov A, Presekal A, et al. Cyber attacks on power grids: Causes and propagation of cascading failures[J]. IEEE Access, 2023, 11: 103154-103176.</w:t>
      </w:r>
      <w:bookmarkEnd w:id="132"/>
    </w:p>
    <w:p w14:paraId="6AAF68B2">
      <w:pPr>
        <w:pStyle w:val="30"/>
        <w:numPr>
          <w:ilvl w:val="0"/>
          <w:numId w:val="2"/>
        </w:numPr>
        <w:ind w:firstLineChars="0"/>
        <w:rPr>
          <w:sz w:val="21"/>
          <w:szCs w:val="21"/>
        </w:rPr>
      </w:pPr>
      <w:bookmarkStart w:id="133" w:name="_Ref226818533"/>
      <w:r>
        <w:rPr>
          <w:rFonts w:hint="eastAsia"/>
          <w:sz w:val="21"/>
          <w:szCs w:val="21"/>
        </w:rPr>
        <w:t>董昱,周劼英,张晓,等.新型电力系统信息物理安全防护体系研究[J]. 中国电机工程学报, 2025, 45(15):5738-5752.</w:t>
      </w:r>
      <w:bookmarkEnd w:id="133"/>
    </w:p>
    <w:p w14:paraId="7D89838D">
      <w:pPr>
        <w:pStyle w:val="30"/>
        <w:numPr>
          <w:ilvl w:val="0"/>
          <w:numId w:val="2"/>
        </w:numPr>
        <w:ind w:firstLineChars="0"/>
        <w:rPr>
          <w:sz w:val="21"/>
          <w:szCs w:val="21"/>
        </w:rPr>
      </w:pPr>
      <w:bookmarkStart w:id="134" w:name="_Ref225360400"/>
      <w:r>
        <w:rPr>
          <w:sz w:val="21"/>
          <w:szCs w:val="21"/>
        </w:rPr>
        <w:t>Hasan M K, Habib A K M A, Shukur Z, et al. Review on cyber-physical and cyber-security system in smart grid: Standards, protocols, constraints, and recommendations[J]. Journal of network and computer applications, 2023, 209: 103540.</w:t>
      </w:r>
      <w:bookmarkEnd w:id="134"/>
    </w:p>
    <w:p w14:paraId="2D0983C3">
      <w:pPr>
        <w:pStyle w:val="30"/>
        <w:numPr>
          <w:ilvl w:val="0"/>
          <w:numId w:val="2"/>
        </w:numPr>
        <w:ind w:firstLineChars="0"/>
        <w:rPr>
          <w:sz w:val="21"/>
          <w:szCs w:val="21"/>
        </w:rPr>
      </w:pPr>
      <w:bookmarkStart w:id="135" w:name="_Ref226818644"/>
      <w:r>
        <w:rPr>
          <w:rFonts w:hint="eastAsia"/>
          <w:sz w:val="21"/>
          <w:szCs w:val="21"/>
        </w:rPr>
        <w:t>张涛,费稼轩,王琦,等.电力信息物理系统跨域攻击协同防御架构及机制研究[J]. 电子学报, 2024, 52(04):1205-1218.</w:t>
      </w:r>
      <w:bookmarkEnd w:id="135"/>
    </w:p>
    <w:p w14:paraId="117B88F8">
      <w:pPr>
        <w:pStyle w:val="30"/>
        <w:numPr>
          <w:ilvl w:val="0"/>
          <w:numId w:val="2"/>
        </w:numPr>
        <w:ind w:firstLineChars="0"/>
        <w:rPr>
          <w:sz w:val="21"/>
          <w:szCs w:val="21"/>
        </w:rPr>
      </w:pPr>
      <w:bookmarkStart w:id="136" w:name="_Ref226406488"/>
      <w:r>
        <w:rPr>
          <w:rFonts w:hint="eastAsia"/>
          <w:sz w:val="21"/>
          <w:szCs w:val="21"/>
        </w:rPr>
        <w:t>周劼英,张晓,邵立嵩,等.新型电力系统网络安全防护挑战与展望[J]. 电力系统自动化, 2023, 47(8):15-24.</w:t>
      </w:r>
      <w:bookmarkEnd w:id="136"/>
    </w:p>
    <w:p w14:paraId="35E5B403">
      <w:pPr>
        <w:pStyle w:val="30"/>
        <w:numPr>
          <w:ilvl w:val="0"/>
          <w:numId w:val="2"/>
        </w:numPr>
        <w:ind w:firstLineChars="0"/>
        <w:rPr>
          <w:sz w:val="21"/>
          <w:szCs w:val="21"/>
        </w:rPr>
      </w:pPr>
      <w:bookmarkStart w:id="137" w:name="_Ref226403959"/>
      <w:r>
        <w:rPr>
          <w:rFonts w:hint="eastAsia"/>
          <w:sz w:val="21"/>
          <w:szCs w:val="21"/>
        </w:rPr>
        <w:t>卢琬婷.基于深度学习和知识图谱的APT攻击检测[D]. 南京：东南大学,2024.</w:t>
      </w:r>
      <w:bookmarkEnd w:id="137"/>
    </w:p>
    <w:p w14:paraId="5A12FC3F">
      <w:pPr>
        <w:pStyle w:val="30"/>
        <w:numPr>
          <w:ilvl w:val="0"/>
          <w:numId w:val="2"/>
        </w:numPr>
        <w:ind w:firstLineChars="0"/>
        <w:rPr>
          <w:sz w:val="21"/>
          <w:szCs w:val="21"/>
        </w:rPr>
      </w:pPr>
      <w:bookmarkStart w:id="138" w:name="_Ref229823230"/>
      <w:r>
        <w:rPr>
          <w:sz w:val="21"/>
          <w:szCs w:val="21"/>
        </w:rPr>
        <w:t>Ahmed Y, Asyhari A T, Rahman M A. A cyber kill chain approach for detecting advanced persistent threats[J]. Computers, Materials and Continua, 2021, 67(2): 2497-2513.</w:t>
      </w:r>
      <w:bookmarkEnd w:id="138"/>
    </w:p>
    <w:p w14:paraId="115F6F06">
      <w:pPr>
        <w:pStyle w:val="30"/>
        <w:numPr>
          <w:ilvl w:val="0"/>
          <w:numId w:val="2"/>
        </w:numPr>
        <w:ind w:firstLineChars="0"/>
        <w:rPr>
          <w:sz w:val="21"/>
          <w:szCs w:val="21"/>
        </w:rPr>
      </w:pPr>
      <w:bookmarkStart w:id="139" w:name="_Ref225361400"/>
      <w:r>
        <w:rPr>
          <w:sz w:val="21"/>
          <w:szCs w:val="21"/>
        </w:rPr>
        <w:t>Do Xuan C. Detecting APT attacks based on network traffic using machine learning[J]. Journal of Web Engineering, 2021, 20(1): 171-190.</w:t>
      </w:r>
      <w:bookmarkEnd w:id="139"/>
    </w:p>
    <w:p w14:paraId="2EDFA228">
      <w:pPr>
        <w:pStyle w:val="30"/>
        <w:numPr>
          <w:ilvl w:val="0"/>
          <w:numId w:val="2"/>
        </w:numPr>
        <w:ind w:firstLineChars="0"/>
        <w:rPr>
          <w:sz w:val="21"/>
          <w:szCs w:val="21"/>
        </w:rPr>
      </w:pPr>
      <w:bookmarkStart w:id="140" w:name="_Ref229823593"/>
      <w:r>
        <w:rPr>
          <w:sz w:val="21"/>
          <w:szCs w:val="21"/>
        </w:rPr>
        <w:t>Al-Saraireh J. A novel approach for detecting advanced persistent threats[J]. Egyptian Informatics Journal, 2022, 23(4): 45-55.</w:t>
      </w:r>
      <w:bookmarkEnd w:id="140"/>
    </w:p>
    <w:p w14:paraId="731A3C7A">
      <w:pPr>
        <w:pStyle w:val="30"/>
        <w:numPr>
          <w:ilvl w:val="0"/>
          <w:numId w:val="2"/>
        </w:numPr>
        <w:ind w:firstLineChars="0"/>
        <w:rPr>
          <w:sz w:val="21"/>
          <w:szCs w:val="21"/>
        </w:rPr>
      </w:pPr>
      <w:bookmarkStart w:id="141" w:name="_Ref225361418"/>
      <w:r>
        <w:rPr>
          <w:sz w:val="21"/>
          <w:szCs w:val="21"/>
        </w:rPr>
        <w:t>Xue D, Chi Y, Wu B, et al. APT attack detection scheme based on CK sketch and DNS traffic[J]. Sensors, 2023, 23(4): 2217.</w:t>
      </w:r>
      <w:bookmarkEnd w:id="141"/>
    </w:p>
    <w:p w14:paraId="006F08D8">
      <w:pPr>
        <w:pStyle w:val="30"/>
        <w:numPr>
          <w:ilvl w:val="0"/>
          <w:numId w:val="2"/>
        </w:numPr>
        <w:ind w:firstLineChars="0"/>
        <w:rPr>
          <w:sz w:val="21"/>
          <w:szCs w:val="21"/>
        </w:rPr>
      </w:pPr>
      <w:bookmarkStart w:id="142" w:name="_Ref225361435"/>
      <w:r>
        <w:rPr>
          <w:sz w:val="21"/>
          <w:szCs w:val="21"/>
        </w:rPr>
        <w:t>Hasan M M, Islam M U, Uddin J. Advanced persistent threat identification with boosting and explainable AI[J]. SN Computer Science, 2023, 4(3): 271.</w:t>
      </w:r>
      <w:bookmarkEnd w:id="142"/>
    </w:p>
    <w:p w14:paraId="76217BFB">
      <w:pPr>
        <w:pStyle w:val="30"/>
        <w:numPr>
          <w:ilvl w:val="0"/>
          <w:numId w:val="2"/>
        </w:numPr>
        <w:ind w:firstLineChars="0"/>
        <w:rPr>
          <w:sz w:val="21"/>
          <w:szCs w:val="21"/>
        </w:rPr>
      </w:pPr>
      <w:bookmarkStart w:id="143" w:name="_Ref225361460"/>
      <w:r>
        <w:rPr>
          <w:sz w:val="21"/>
          <w:szCs w:val="21"/>
        </w:rPr>
        <w:t>Ali G, Shah S, ElAffendi M. Enhancing cybersecurity incident response: AI-driven optimization for strengthened advanced persistent threat detection[J]. Results in Engineering, 2025, 25: 104078.</w:t>
      </w:r>
      <w:bookmarkEnd w:id="143"/>
    </w:p>
    <w:p w14:paraId="546DA4AF">
      <w:pPr>
        <w:pStyle w:val="30"/>
        <w:numPr>
          <w:ilvl w:val="0"/>
          <w:numId w:val="2"/>
        </w:numPr>
        <w:ind w:firstLineChars="0"/>
        <w:rPr>
          <w:sz w:val="21"/>
          <w:szCs w:val="21"/>
        </w:rPr>
      </w:pPr>
      <w:bookmarkStart w:id="144" w:name="_Ref229824394"/>
      <w:r>
        <w:rPr>
          <w:sz w:val="21"/>
          <w:szCs w:val="21"/>
        </w:rPr>
        <w:t>Do Xuan C, Dao M H. A novel approach for APT attack detection based on combined deep learning model[J]. Neural Computing and Applications, 2021, 33(20): 13251-13264.</w:t>
      </w:r>
      <w:bookmarkEnd w:id="144"/>
    </w:p>
    <w:p w14:paraId="25C62C41">
      <w:pPr>
        <w:pStyle w:val="30"/>
        <w:numPr>
          <w:ilvl w:val="0"/>
          <w:numId w:val="2"/>
        </w:numPr>
        <w:ind w:firstLineChars="0"/>
        <w:rPr>
          <w:sz w:val="21"/>
          <w:szCs w:val="21"/>
        </w:rPr>
      </w:pPr>
      <w:bookmarkStart w:id="145" w:name="_Ref225361527"/>
      <w:r>
        <w:rPr>
          <w:sz w:val="21"/>
          <w:szCs w:val="21"/>
        </w:rPr>
        <w:t>Jia Z, Xiong Y, Nan Y, et al. MAGIC: Detecting advanced persistent threats via masked graph representation learning[C]//33rd USENIX Security Symposium (USENIX Security 24). 2024: 5197-5214.</w:t>
      </w:r>
      <w:bookmarkEnd w:id="145"/>
    </w:p>
    <w:p w14:paraId="4C9DC1A5">
      <w:pPr>
        <w:pStyle w:val="30"/>
        <w:numPr>
          <w:ilvl w:val="0"/>
          <w:numId w:val="2"/>
        </w:numPr>
        <w:ind w:firstLineChars="0"/>
        <w:rPr>
          <w:sz w:val="21"/>
          <w:szCs w:val="21"/>
        </w:rPr>
      </w:pPr>
      <w:bookmarkStart w:id="146" w:name="_Ref229824524"/>
      <w:r>
        <w:rPr>
          <w:sz w:val="21"/>
          <w:szCs w:val="21"/>
        </w:rPr>
        <w:t>Yue H, Li T, Wu D, et al. Detecting APT attacks using an attack intent-driven and sequence-based learning approach[J]. Computers &amp; Security, 2024, 140: 103748.</w:t>
      </w:r>
      <w:bookmarkEnd w:id="146"/>
    </w:p>
    <w:p w14:paraId="7F32E038">
      <w:pPr>
        <w:pStyle w:val="30"/>
        <w:numPr>
          <w:ilvl w:val="0"/>
          <w:numId w:val="2"/>
        </w:numPr>
        <w:ind w:firstLineChars="0"/>
        <w:rPr>
          <w:sz w:val="21"/>
          <w:szCs w:val="21"/>
        </w:rPr>
      </w:pPr>
      <w:bookmarkStart w:id="147" w:name="_Ref229824779"/>
      <w:r>
        <w:rPr>
          <w:sz w:val="21"/>
          <w:szCs w:val="21"/>
        </w:rPr>
        <w:t>Rehman M U, Ahmadi H, Hassan W U. Flash: A comprehensive approach to intrusion detection via provenance graph representation learning[C]//2024 IEEE Symposium on Security and Privacy (SP). IEEE, 2024: 3552-3570.</w:t>
      </w:r>
      <w:bookmarkEnd w:id="147"/>
    </w:p>
    <w:p w14:paraId="588CB883">
      <w:pPr>
        <w:pStyle w:val="30"/>
        <w:numPr>
          <w:ilvl w:val="0"/>
          <w:numId w:val="2"/>
        </w:numPr>
        <w:ind w:firstLineChars="0"/>
        <w:rPr>
          <w:sz w:val="21"/>
          <w:szCs w:val="21"/>
        </w:rPr>
      </w:pPr>
      <w:bookmarkStart w:id="148" w:name="_Ref225361558"/>
      <w:r>
        <w:rPr>
          <w:sz w:val="21"/>
          <w:szCs w:val="21"/>
        </w:rPr>
        <w:t>Ren J, Geng R. Provenance-based APT campaigns detection via masked graph representation learning[J]. Computers &amp; Security, 2025, 148: 104159.</w:t>
      </w:r>
      <w:bookmarkEnd w:id="148"/>
    </w:p>
    <w:p w14:paraId="6ACC6C2D">
      <w:pPr>
        <w:pStyle w:val="30"/>
        <w:numPr>
          <w:ilvl w:val="0"/>
          <w:numId w:val="2"/>
        </w:numPr>
        <w:ind w:firstLineChars="0"/>
        <w:rPr>
          <w:sz w:val="21"/>
          <w:szCs w:val="21"/>
        </w:rPr>
      </w:pPr>
      <w:bookmarkStart w:id="149" w:name="_Ref225361584"/>
      <w:r>
        <w:rPr>
          <w:sz w:val="21"/>
          <w:szCs w:val="21"/>
        </w:rPr>
        <w:t>Wang T, Tang W, Su Y, et al. Provenance Graph-Based Deep Learning Framework for APT Detection in Edge Computing[J]. Applied Sciences, 2025, 15(16): 8833.</w:t>
      </w:r>
      <w:bookmarkEnd w:id="149"/>
    </w:p>
    <w:p w14:paraId="193D76E9">
      <w:pPr>
        <w:pStyle w:val="30"/>
        <w:numPr>
          <w:ilvl w:val="0"/>
          <w:numId w:val="2"/>
        </w:numPr>
        <w:ind w:firstLineChars="0"/>
        <w:rPr>
          <w:sz w:val="21"/>
          <w:szCs w:val="21"/>
        </w:rPr>
      </w:pPr>
      <w:bookmarkStart w:id="150" w:name="_Ref229839441"/>
      <w:r>
        <w:rPr>
          <w:sz w:val="21"/>
          <w:szCs w:val="21"/>
        </w:rPr>
        <w:t>Yu S. Fast detection of advanced persistent threats for smart grids: A deep reinforcement learning approach[C]//ICC 2022-IEEE International Conference on Communications. IEEE, 2022: 2676-2681.</w:t>
      </w:r>
      <w:bookmarkEnd w:id="150"/>
    </w:p>
    <w:p w14:paraId="711DDA18">
      <w:pPr>
        <w:pStyle w:val="30"/>
        <w:numPr>
          <w:ilvl w:val="0"/>
          <w:numId w:val="2"/>
        </w:numPr>
        <w:ind w:firstLineChars="0"/>
        <w:rPr>
          <w:sz w:val="21"/>
          <w:szCs w:val="21"/>
        </w:rPr>
      </w:pPr>
      <w:bookmarkStart w:id="151" w:name="_Ref229839674"/>
      <w:r>
        <w:rPr>
          <w:sz w:val="21"/>
          <w:szCs w:val="21"/>
        </w:rPr>
        <w:t>Saheed K, Henna S. Deep reinforcement learning for advanced persistent threat detection in wireless networks[C]//2023 31st Irish Conference on Artificial Intelligence and Cognitive Science (AICS). IEEE, 2023: 1-6.</w:t>
      </w:r>
      <w:bookmarkEnd w:id="151"/>
    </w:p>
    <w:p w14:paraId="677C5C7F">
      <w:pPr>
        <w:pStyle w:val="30"/>
        <w:numPr>
          <w:ilvl w:val="0"/>
          <w:numId w:val="2"/>
        </w:numPr>
        <w:ind w:firstLineChars="0"/>
        <w:rPr>
          <w:sz w:val="21"/>
          <w:szCs w:val="21"/>
        </w:rPr>
      </w:pPr>
      <w:bookmarkStart w:id="152" w:name="_Ref226555851"/>
      <w:r>
        <w:rPr>
          <w:sz w:val="21"/>
          <w:szCs w:val="21"/>
        </w:rPr>
        <w:t>Qiao W, Feng Y, Li T, et al. Slot: Provenance-driven APT detection through graph reinforcement learning[C]//Proceedings of the 2025 ACM SIGSAC Conference on Computer and Communications Security. 2025: 963-977.</w:t>
      </w:r>
      <w:bookmarkEnd w:id="152"/>
    </w:p>
    <w:p w14:paraId="7C433C7E">
      <w:pPr>
        <w:pStyle w:val="30"/>
        <w:numPr>
          <w:ilvl w:val="0"/>
          <w:numId w:val="2"/>
        </w:numPr>
        <w:ind w:firstLineChars="0"/>
        <w:rPr>
          <w:sz w:val="21"/>
          <w:szCs w:val="21"/>
        </w:rPr>
      </w:pPr>
      <w:bookmarkStart w:id="153" w:name="_Ref225361685"/>
      <w:r>
        <w:rPr>
          <w:sz w:val="21"/>
          <w:szCs w:val="21"/>
        </w:rPr>
        <w:t>Do Xuan C, Cuong N H. A novel approach for APT attack detection based on feature intelligent extraction and representation learning[J]. Plos one, 2024, 19(6): e0305618.</w:t>
      </w:r>
      <w:bookmarkEnd w:id="153"/>
    </w:p>
    <w:p w14:paraId="114B9B41">
      <w:pPr>
        <w:pStyle w:val="30"/>
        <w:numPr>
          <w:ilvl w:val="0"/>
          <w:numId w:val="2"/>
        </w:numPr>
        <w:ind w:firstLineChars="0"/>
        <w:rPr>
          <w:sz w:val="21"/>
          <w:szCs w:val="21"/>
        </w:rPr>
      </w:pPr>
      <w:bookmarkStart w:id="154" w:name="_Ref225361746"/>
      <w:r>
        <w:rPr>
          <w:sz w:val="21"/>
          <w:szCs w:val="21"/>
        </w:rPr>
        <w:t>Le A T, Epiphaniou G, Maple C, et al. Automated APT Defense Using Reinforcement Learning and Attack Graph Risk-based Situation Awareness[C]//Proceedings of the Workshop on Autonomous Cybersecurity. 2023: 23-33.</w:t>
      </w:r>
      <w:bookmarkEnd w:id="154"/>
    </w:p>
    <w:p w14:paraId="2AD15E05">
      <w:pPr>
        <w:pStyle w:val="30"/>
        <w:numPr>
          <w:ilvl w:val="0"/>
          <w:numId w:val="2"/>
        </w:numPr>
        <w:ind w:firstLineChars="0"/>
        <w:rPr>
          <w:sz w:val="21"/>
          <w:szCs w:val="21"/>
        </w:rPr>
      </w:pPr>
      <w:bookmarkStart w:id="155" w:name="_Ref225361763"/>
      <w:r>
        <w:rPr>
          <w:sz w:val="21"/>
          <w:szCs w:val="21"/>
        </w:rPr>
        <w:t>Dehghan M, Sadeghian B, Khosravian E, et al. ProAPT: Projection of APTs with Deep Reinforcement Learning[J]. ISeCure, 2025, 17(1) : 2</w:t>
      </w:r>
      <w:r>
        <w:rPr>
          <w:rFonts w:hint="eastAsia"/>
          <w:sz w:val="21"/>
          <w:szCs w:val="21"/>
        </w:rPr>
        <w:t>5</w:t>
      </w:r>
      <w:r>
        <w:rPr>
          <w:sz w:val="21"/>
          <w:szCs w:val="21"/>
        </w:rPr>
        <w:t>-</w:t>
      </w:r>
      <w:r>
        <w:rPr>
          <w:rFonts w:hint="eastAsia"/>
          <w:sz w:val="21"/>
          <w:szCs w:val="21"/>
        </w:rPr>
        <w:t>41</w:t>
      </w:r>
      <w:r>
        <w:rPr>
          <w:sz w:val="21"/>
          <w:szCs w:val="21"/>
        </w:rPr>
        <w:t>.</w:t>
      </w:r>
      <w:bookmarkEnd w:id="155"/>
    </w:p>
    <w:p w14:paraId="69A25E28">
      <w:pPr>
        <w:pStyle w:val="30"/>
        <w:numPr>
          <w:ilvl w:val="0"/>
          <w:numId w:val="2"/>
        </w:numPr>
        <w:ind w:firstLineChars="0"/>
        <w:rPr>
          <w:sz w:val="21"/>
          <w:szCs w:val="21"/>
        </w:rPr>
      </w:pPr>
      <w:bookmarkStart w:id="156" w:name="_Ref225535187"/>
      <w:r>
        <w:rPr>
          <w:sz w:val="21"/>
          <w:szCs w:val="21"/>
        </w:rPr>
        <w:t>Wu J, Qiu G, Wu C, et al. Federated learning for network attack detection using attention-based graph neural networks[J]. Scientific Reports, 2024, 14(1): 19088.</w:t>
      </w:r>
      <w:bookmarkEnd w:id="156"/>
    </w:p>
    <w:p w14:paraId="0DDB5A4B">
      <w:pPr>
        <w:pStyle w:val="30"/>
        <w:numPr>
          <w:ilvl w:val="0"/>
          <w:numId w:val="2"/>
        </w:numPr>
        <w:ind w:firstLineChars="0"/>
        <w:rPr>
          <w:sz w:val="21"/>
          <w:szCs w:val="21"/>
        </w:rPr>
      </w:pPr>
      <w:bookmarkStart w:id="157" w:name="_Ref229842429"/>
      <w:r>
        <w:rPr>
          <w:sz w:val="21"/>
          <w:szCs w:val="21"/>
        </w:rPr>
        <w:t>Li B, Wu Y, Song J, et al. DeepFed: Federated deep learning for intrusion detection in industrial cyber–physical systems[J]. IEEE Transactions on Industrial Informatics, 2020, 17(8): 5615-5624.</w:t>
      </w:r>
      <w:bookmarkEnd w:id="157"/>
    </w:p>
    <w:p w14:paraId="3B9D2802">
      <w:pPr>
        <w:pStyle w:val="30"/>
        <w:numPr>
          <w:ilvl w:val="0"/>
          <w:numId w:val="2"/>
        </w:numPr>
        <w:ind w:firstLineChars="0"/>
        <w:rPr>
          <w:sz w:val="21"/>
          <w:szCs w:val="21"/>
        </w:rPr>
      </w:pPr>
      <w:bookmarkStart w:id="158" w:name="_Ref225535200"/>
      <w:r>
        <w:rPr>
          <w:sz w:val="21"/>
          <w:szCs w:val="21"/>
        </w:rPr>
        <w:t>Sun S, Zhou L, Wang Z, et al. Robust intrusion detection based on personalized federated learning for IoT environment[J]. Computers &amp; Security, 2025, 154: 104442.</w:t>
      </w:r>
      <w:bookmarkEnd w:id="158"/>
    </w:p>
    <w:p w14:paraId="32B642C0">
      <w:pPr>
        <w:pStyle w:val="30"/>
        <w:numPr>
          <w:ilvl w:val="0"/>
          <w:numId w:val="2"/>
        </w:numPr>
        <w:ind w:firstLineChars="0"/>
        <w:rPr>
          <w:sz w:val="21"/>
          <w:szCs w:val="21"/>
        </w:rPr>
      </w:pPr>
      <w:bookmarkStart w:id="159" w:name="_Ref225535211"/>
      <w:r>
        <w:rPr>
          <w:sz w:val="21"/>
          <w:szCs w:val="21"/>
        </w:rPr>
        <w:t>Xenos G, Serpanos D. Cross-Silo Federated Learning in Security Operations Centers for effective malware detection[J]. International Journal of Information Security, 2025, 24(4): 185.</w:t>
      </w:r>
      <w:bookmarkEnd w:id="159"/>
    </w:p>
    <w:p w14:paraId="6E4E56F5">
      <w:pPr>
        <w:pStyle w:val="30"/>
        <w:numPr>
          <w:ilvl w:val="0"/>
          <w:numId w:val="2"/>
        </w:numPr>
        <w:ind w:firstLineChars="0"/>
        <w:rPr>
          <w:sz w:val="21"/>
          <w:szCs w:val="21"/>
        </w:rPr>
      </w:pPr>
      <w:bookmarkStart w:id="160" w:name="_Ref229842694"/>
      <w:r>
        <w:rPr>
          <w:sz w:val="21"/>
          <w:szCs w:val="21"/>
        </w:rPr>
        <w:t>Sarhan M, Lo W W, Layeghy S, et al. HBFL: A hierarchical blockchain-based federated learning framework for collaborative IoT intrusion detection[J]. Computers and Electrical Engineering, 2022, 103: 108379.</w:t>
      </w:r>
      <w:bookmarkEnd w:id="160"/>
    </w:p>
    <w:p w14:paraId="3FE366F2">
      <w:pPr>
        <w:pStyle w:val="30"/>
        <w:numPr>
          <w:ilvl w:val="0"/>
          <w:numId w:val="2"/>
        </w:numPr>
        <w:ind w:firstLineChars="0"/>
        <w:rPr>
          <w:sz w:val="21"/>
          <w:szCs w:val="21"/>
        </w:rPr>
      </w:pPr>
      <w:bookmarkStart w:id="161" w:name="_Ref225535226"/>
      <w:r>
        <w:rPr>
          <w:sz w:val="21"/>
          <w:szCs w:val="21"/>
        </w:rPr>
        <w:t>Ali B. On the fog’s frontline: a federated machine learning approach for industrial network threat detection and intrusion prevention[J]. Journal of Cybersecurity, 2025, 11(1): tyaf041.</w:t>
      </w:r>
      <w:bookmarkEnd w:id="161"/>
    </w:p>
    <w:p w14:paraId="53B680B6">
      <w:pPr>
        <w:pStyle w:val="30"/>
        <w:numPr>
          <w:ilvl w:val="0"/>
          <w:numId w:val="2"/>
        </w:numPr>
        <w:ind w:firstLineChars="0"/>
        <w:rPr>
          <w:sz w:val="21"/>
          <w:szCs w:val="21"/>
        </w:rPr>
      </w:pPr>
      <w:bookmarkStart w:id="162" w:name="_Ref225535254"/>
      <w:r>
        <w:rPr>
          <w:sz w:val="21"/>
          <w:szCs w:val="21"/>
        </w:rPr>
        <w:t>Alkhpor H K, Alserhani F M. Collaborative federated learning-based model for alert correlation and attack scenario recognition[J]. Electronics, 2023, 12(21): 4509.</w:t>
      </w:r>
      <w:bookmarkEnd w:id="162"/>
    </w:p>
    <w:p w14:paraId="1C9FF979">
      <w:pPr>
        <w:pStyle w:val="30"/>
        <w:numPr>
          <w:ilvl w:val="0"/>
          <w:numId w:val="2"/>
        </w:numPr>
        <w:ind w:firstLineChars="0"/>
        <w:rPr>
          <w:sz w:val="21"/>
          <w:szCs w:val="21"/>
        </w:rPr>
      </w:pPr>
      <w:bookmarkStart w:id="163" w:name="_Ref225535266"/>
      <w:r>
        <w:rPr>
          <w:sz w:val="21"/>
          <w:szCs w:val="21"/>
        </w:rPr>
        <w:t>Anthi E, Williams L, Burnap P, et al. A three-tiered intrusion detection system for industrial control systems[J]. Journal of Cybersecurity, 2021, 7(1): tyab006.</w:t>
      </w:r>
      <w:bookmarkEnd w:id="163"/>
    </w:p>
    <w:p w14:paraId="0E0D91A6">
      <w:pPr>
        <w:pStyle w:val="30"/>
        <w:numPr>
          <w:ilvl w:val="0"/>
          <w:numId w:val="2"/>
        </w:numPr>
        <w:ind w:firstLineChars="0"/>
        <w:rPr>
          <w:sz w:val="21"/>
          <w:szCs w:val="21"/>
        </w:rPr>
      </w:pPr>
      <w:bookmarkStart w:id="164" w:name="_Ref229842892"/>
      <w:r>
        <w:rPr>
          <w:sz w:val="21"/>
          <w:szCs w:val="21"/>
        </w:rPr>
        <w:t>Wang P, Govindarasu M. Multi-agent based attack-resilient system integrity protection for smart grid[J]. IEEE Transactions on Smart Grid, 2020, 11(4): 3447-3456.</w:t>
      </w:r>
      <w:bookmarkEnd w:id="164"/>
    </w:p>
    <w:p w14:paraId="52042213">
      <w:pPr>
        <w:pStyle w:val="30"/>
        <w:numPr>
          <w:ilvl w:val="0"/>
          <w:numId w:val="2"/>
        </w:numPr>
        <w:ind w:firstLineChars="0"/>
        <w:rPr>
          <w:sz w:val="21"/>
          <w:szCs w:val="21"/>
        </w:rPr>
      </w:pPr>
      <w:bookmarkStart w:id="165" w:name="_Ref225535277"/>
      <w:r>
        <w:rPr>
          <w:sz w:val="21"/>
          <w:szCs w:val="21"/>
        </w:rPr>
        <w:t>Li K, Yang G, Dong S, et al. Distributed Attack Detection of Multi-area Power Systems Against False Data Injection Attacks[C]//2024 43rd Chinese Control Conference (CCC). 2024: 5184-5188.</w:t>
      </w:r>
      <w:bookmarkEnd w:id="165"/>
    </w:p>
    <w:p w14:paraId="659FDDCB">
      <w:pPr>
        <w:pStyle w:val="30"/>
        <w:numPr>
          <w:ilvl w:val="0"/>
          <w:numId w:val="2"/>
        </w:numPr>
        <w:ind w:firstLineChars="0"/>
        <w:rPr>
          <w:sz w:val="21"/>
          <w:szCs w:val="21"/>
        </w:rPr>
      </w:pPr>
      <w:bookmarkStart w:id="166" w:name="_Ref225535287"/>
      <w:r>
        <w:rPr>
          <w:sz w:val="21"/>
          <w:szCs w:val="21"/>
        </w:rPr>
        <w:t>Xiahou K, Liu Y, Wu Q H. Decentralized detection and mitigation of multiple false data injection attacks in multiarea power systems[J]. IEEE Journal of Emerging and Selected Topics in Industrial Electronics, 2021, 3(1): 101-112.</w:t>
      </w:r>
      <w:bookmarkEnd w:id="166"/>
    </w:p>
    <w:p w14:paraId="36A1AAC5">
      <w:pPr>
        <w:pStyle w:val="30"/>
        <w:numPr>
          <w:ilvl w:val="0"/>
          <w:numId w:val="2"/>
        </w:numPr>
        <w:ind w:firstLineChars="0"/>
        <w:rPr>
          <w:sz w:val="21"/>
          <w:szCs w:val="21"/>
        </w:rPr>
      </w:pPr>
      <w:bookmarkStart w:id="167" w:name="_Ref229843062"/>
      <w:r>
        <w:rPr>
          <w:sz w:val="21"/>
          <w:szCs w:val="21"/>
        </w:rPr>
        <w:t>Obata S, Kobayashi K, Yamashita Y. Detection of false data injection attacks in distributed state estimation of power networks[J]. IEICE Transactions on Fundamentals of Electronics, Communications and Computer Sciences, 2023, 106(5): 729-735.</w:t>
      </w:r>
      <w:bookmarkEnd w:id="167"/>
    </w:p>
    <w:p w14:paraId="42109D0F">
      <w:pPr>
        <w:pStyle w:val="30"/>
        <w:numPr>
          <w:ilvl w:val="0"/>
          <w:numId w:val="2"/>
        </w:numPr>
        <w:ind w:firstLineChars="0"/>
        <w:rPr>
          <w:sz w:val="21"/>
          <w:szCs w:val="21"/>
        </w:rPr>
      </w:pPr>
      <w:bookmarkStart w:id="168" w:name="_Ref226408433"/>
      <w:r>
        <w:rPr>
          <w:rFonts w:hint="eastAsia"/>
          <w:sz w:val="21"/>
          <w:szCs w:val="21"/>
        </w:rPr>
        <w:t>任家东,张亚飞,张炳,等.基于特征选择的工业互联网入侵检测分类方法[J]. 计算机研究与发展, 2022, 59(5):1148-1159.</w:t>
      </w:r>
      <w:bookmarkEnd w:id="168"/>
    </w:p>
    <w:p w14:paraId="2E9D3381">
      <w:pPr>
        <w:pStyle w:val="30"/>
        <w:numPr>
          <w:ilvl w:val="0"/>
          <w:numId w:val="2"/>
        </w:numPr>
        <w:ind w:firstLineChars="0"/>
        <w:rPr>
          <w:sz w:val="21"/>
          <w:szCs w:val="21"/>
        </w:rPr>
      </w:pPr>
      <w:bookmarkStart w:id="169" w:name="_Ref225361799"/>
      <w:r>
        <w:rPr>
          <w:sz w:val="21"/>
          <w:szCs w:val="21"/>
        </w:rPr>
        <w:t>Zhao L, Li Y, Li S, et al. A frequency item mining based embedded feature selection algorithm and its application in energy consumption prediction of electric bus[J]. Energy, 2023, 271: 126999.</w:t>
      </w:r>
      <w:bookmarkEnd w:id="169"/>
    </w:p>
    <w:p w14:paraId="3FFC6F31">
      <w:pPr>
        <w:pStyle w:val="30"/>
        <w:numPr>
          <w:ilvl w:val="0"/>
          <w:numId w:val="2"/>
        </w:numPr>
        <w:ind w:firstLineChars="0"/>
        <w:rPr>
          <w:sz w:val="21"/>
          <w:szCs w:val="21"/>
        </w:rPr>
      </w:pPr>
      <w:bookmarkStart w:id="170" w:name="_Ref225361822"/>
      <w:r>
        <w:rPr>
          <w:sz w:val="21"/>
          <w:szCs w:val="21"/>
        </w:rPr>
        <w:t>Wei Z, Kang H, Li H, et al. Joint Feature Selection and Classifier Parameter Optimization: A Bio-Inspired Approach[C]//Knowledge Science, Engineering and Management. 2023: 3-14.</w:t>
      </w:r>
      <w:bookmarkEnd w:id="170"/>
    </w:p>
    <w:p w14:paraId="1EF8E3C1">
      <w:pPr>
        <w:pStyle w:val="30"/>
        <w:numPr>
          <w:ilvl w:val="0"/>
          <w:numId w:val="2"/>
        </w:numPr>
        <w:ind w:firstLineChars="0"/>
        <w:rPr>
          <w:sz w:val="21"/>
          <w:szCs w:val="21"/>
        </w:rPr>
      </w:pPr>
      <w:bookmarkStart w:id="171" w:name="_Ref229849687"/>
      <w:r>
        <w:rPr>
          <w:sz w:val="21"/>
          <w:szCs w:val="21"/>
        </w:rPr>
        <w:t>Kasongo S M, Sun Y. Performance analysis of intrusion detection systems using a feature selection method on the UNSW-NB15 dataset[J]. Journal of Big Data, 2020, 7(1): 105.</w:t>
      </w:r>
      <w:bookmarkEnd w:id="171"/>
    </w:p>
    <w:p w14:paraId="7379C1ED">
      <w:pPr>
        <w:pStyle w:val="30"/>
        <w:numPr>
          <w:ilvl w:val="0"/>
          <w:numId w:val="2"/>
        </w:numPr>
        <w:ind w:firstLineChars="0"/>
        <w:rPr>
          <w:sz w:val="21"/>
          <w:szCs w:val="21"/>
        </w:rPr>
      </w:pPr>
      <w:bookmarkStart w:id="172" w:name="_Ref225361840"/>
      <w:r>
        <w:rPr>
          <w:sz w:val="21"/>
          <w:szCs w:val="21"/>
        </w:rPr>
        <w:t>Ren K, Zeng Y, Cao Z, et al. ID-RDRL: a deep reinforcement learning-based feature selection intrusion detection model[J]. Scientific reports, 2022, 12(1): 15370.</w:t>
      </w:r>
      <w:bookmarkEnd w:id="172"/>
    </w:p>
    <w:p w14:paraId="7E51CE8D">
      <w:pPr>
        <w:pStyle w:val="30"/>
        <w:numPr>
          <w:ilvl w:val="0"/>
          <w:numId w:val="2"/>
        </w:numPr>
        <w:ind w:firstLineChars="0"/>
        <w:rPr>
          <w:sz w:val="21"/>
          <w:szCs w:val="21"/>
        </w:rPr>
      </w:pPr>
      <w:bookmarkStart w:id="173" w:name="_Ref229850087"/>
      <w:r>
        <w:rPr>
          <w:sz w:val="21"/>
          <w:szCs w:val="21"/>
        </w:rPr>
        <w:t>Al-Yaseen W L, Idrees A K, Almasoudy F H. Wrapper feature selection method based differential evolution and extreme learning machine for intrusion detection system[J]. Pattern Recognition, 2022, 132: 108912.</w:t>
      </w:r>
      <w:bookmarkEnd w:id="173"/>
    </w:p>
    <w:p w14:paraId="1CA2B8B2">
      <w:pPr>
        <w:pStyle w:val="30"/>
        <w:numPr>
          <w:ilvl w:val="0"/>
          <w:numId w:val="2"/>
        </w:numPr>
        <w:ind w:firstLineChars="0"/>
        <w:rPr>
          <w:sz w:val="21"/>
          <w:szCs w:val="21"/>
        </w:rPr>
      </w:pPr>
      <w:bookmarkStart w:id="174" w:name="_Ref225361873"/>
      <w:r>
        <w:rPr>
          <w:sz w:val="21"/>
          <w:szCs w:val="21"/>
        </w:rPr>
        <w:t>Zhang Y, Zhang H, Zhang B. An effective ensemble automatic feature selection method for network intrusion detection[J]. Information, 2022, 13(7): 314.</w:t>
      </w:r>
      <w:bookmarkEnd w:id="174"/>
    </w:p>
    <w:p w14:paraId="16AD8FEB">
      <w:pPr>
        <w:pStyle w:val="30"/>
        <w:numPr>
          <w:ilvl w:val="0"/>
          <w:numId w:val="2"/>
        </w:numPr>
        <w:ind w:firstLineChars="0"/>
        <w:rPr>
          <w:sz w:val="21"/>
          <w:szCs w:val="21"/>
        </w:rPr>
      </w:pPr>
      <w:bookmarkStart w:id="175" w:name="_Ref229850231"/>
      <w:r>
        <w:rPr>
          <w:sz w:val="21"/>
          <w:szCs w:val="21"/>
        </w:rPr>
        <w:t>Saheed Y K, Kehinde T O, Ayobami Raji M, et al. Feature selection in intrusion detection systems: a new hybrid fusion of Bat algorithm and Residue Number System[J]. Journal of Information and Telecommunication, 2024, 8(2): 189-207.</w:t>
      </w:r>
      <w:bookmarkEnd w:id="175"/>
    </w:p>
    <w:p w14:paraId="3A29D865">
      <w:pPr>
        <w:pStyle w:val="30"/>
        <w:numPr>
          <w:ilvl w:val="0"/>
          <w:numId w:val="2"/>
        </w:numPr>
        <w:ind w:firstLineChars="0"/>
        <w:rPr>
          <w:sz w:val="21"/>
          <w:szCs w:val="21"/>
        </w:rPr>
      </w:pPr>
      <w:bookmarkStart w:id="176" w:name="_Ref229851981"/>
      <w:r>
        <w:rPr>
          <w:sz w:val="21"/>
          <w:szCs w:val="21"/>
        </w:rPr>
        <w:t>Zhou P, Li P, Zhao S, et al. Feature interaction for streaming feature selection[J]. IEEE Transactions on Neural Networks and Learning Systems, 2020, 32(10): 4691-4702.</w:t>
      </w:r>
      <w:bookmarkEnd w:id="176"/>
    </w:p>
    <w:p w14:paraId="0B9D5D7C">
      <w:pPr>
        <w:pStyle w:val="30"/>
        <w:numPr>
          <w:ilvl w:val="0"/>
          <w:numId w:val="2"/>
        </w:numPr>
        <w:ind w:firstLineChars="0"/>
        <w:rPr>
          <w:sz w:val="21"/>
          <w:szCs w:val="21"/>
        </w:rPr>
      </w:pPr>
      <w:bookmarkStart w:id="177" w:name="_Ref229852121"/>
      <w:r>
        <w:rPr>
          <w:sz w:val="21"/>
          <w:szCs w:val="21"/>
        </w:rPr>
        <w:t>Zhou P, Zhao S, Yan Y, et al. Online scalable streaming feature selection via dynamic decision[J]. ACM Transactions on Knowledge Discovery from Data (TKDD), 2022, 16(5): 1-20.</w:t>
      </w:r>
      <w:bookmarkEnd w:id="177"/>
    </w:p>
    <w:p w14:paraId="736B8570">
      <w:pPr>
        <w:pStyle w:val="30"/>
        <w:numPr>
          <w:ilvl w:val="0"/>
          <w:numId w:val="2"/>
        </w:numPr>
        <w:ind w:firstLineChars="0"/>
        <w:rPr>
          <w:sz w:val="21"/>
          <w:szCs w:val="21"/>
        </w:rPr>
      </w:pPr>
      <w:bookmarkStart w:id="178" w:name="_Ref225361897"/>
      <w:r>
        <w:rPr>
          <w:sz w:val="21"/>
          <w:szCs w:val="21"/>
        </w:rPr>
        <w:t>Zhuo S D, Qiu J J, Wang C D, et al. Online feature selection with varying feature spaces[J]. IEEE Transactions on Knowledge and Data Engineering, 2024, 36(9): 4806-4819.</w:t>
      </w:r>
      <w:bookmarkEnd w:id="178"/>
    </w:p>
    <w:p w14:paraId="62BE4664">
      <w:pPr>
        <w:pStyle w:val="30"/>
        <w:numPr>
          <w:ilvl w:val="0"/>
          <w:numId w:val="2"/>
        </w:numPr>
        <w:ind w:firstLineChars="0"/>
        <w:rPr>
          <w:sz w:val="21"/>
          <w:szCs w:val="21"/>
        </w:rPr>
      </w:pPr>
      <w:bookmarkStart w:id="179" w:name="_Ref225430916"/>
      <w:r>
        <w:rPr>
          <w:sz w:val="21"/>
          <w:szCs w:val="21"/>
        </w:rPr>
        <w:t>Vivek Y, Ravi V, Krishna P R. Online feature subset selection for mining feature streams in big data via incremental learning and evolutionary computation[J]. Swarm and Evolutionary Computation, 2025, 94: 101896.</w:t>
      </w:r>
      <w:bookmarkEnd w:id="179"/>
    </w:p>
    <w:p w14:paraId="50EDB656">
      <w:pPr>
        <w:pStyle w:val="30"/>
        <w:numPr>
          <w:ilvl w:val="0"/>
          <w:numId w:val="2"/>
        </w:numPr>
        <w:ind w:firstLineChars="0"/>
        <w:rPr>
          <w:sz w:val="21"/>
          <w:szCs w:val="21"/>
        </w:rPr>
      </w:pPr>
      <w:bookmarkStart w:id="180" w:name="_Ref225430932"/>
      <w:r>
        <w:rPr>
          <w:sz w:val="21"/>
          <w:szCs w:val="21"/>
        </w:rPr>
        <w:t>Hochma Y, Last M. Fast online feature selection in streaming data[J]. Machine Learning, 2025, 114(1): 1.</w:t>
      </w:r>
      <w:bookmarkEnd w:id="180"/>
    </w:p>
    <w:p w14:paraId="10A9AF90">
      <w:pPr>
        <w:pStyle w:val="30"/>
        <w:numPr>
          <w:ilvl w:val="0"/>
          <w:numId w:val="2"/>
        </w:numPr>
        <w:ind w:firstLineChars="0"/>
        <w:rPr>
          <w:sz w:val="21"/>
          <w:szCs w:val="21"/>
        </w:rPr>
      </w:pPr>
      <w:bookmarkStart w:id="181" w:name="_Ref225446324"/>
      <w:r>
        <w:rPr>
          <w:sz w:val="21"/>
          <w:szCs w:val="21"/>
        </w:rPr>
        <w:t>Cao Y, Zhao H, Cheng Y, et al. Survey on large language model-enhanced reinforcement learning: Concept, taxonomy, and methods[J]. IEEE Transactions on Neural Networks and Learning Systems, 2024, 36(6): 9737-9757.</w:t>
      </w:r>
      <w:bookmarkEnd w:id="181"/>
    </w:p>
    <w:p w14:paraId="6D59F565">
      <w:pPr>
        <w:pStyle w:val="30"/>
        <w:numPr>
          <w:ilvl w:val="0"/>
          <w:numId w:val="2"/>
        </w:numPr>
        <w:ind w:firstLineChars="0"/>
        <w:rPr>
          <w:sz w:val="21"/>
          <w:szCs w:val="21"/>
        </w:rPr>
      </w:pPr>
      <w:bookmarkStart w:id="182" w:name="_Ref225450607"/>
      <w:r>
        <w:rPr>
          <w:sz w:val="21"/>
          <w:szCs w:val="21"/>
        </w:rPr>
        <w:t>Yan X, Song Y, Feng X, et al. Efficient Reinforcement Learning with Large Language Model Priors[C]//13th International Conference on Learning Representations. 2025:</w:t>
      </w:r>
      <w:r>
        <w:rPr>
          <w:rFonts w:hint="eastAsia"/>
          <w:sz w:val="21"/>
          <w:szCs w:val="21"/>
        </w:rPr>
        <w:t xml:space="preserve"> </w:t>
      </w:r>
      <w:r>
        <w:rPr>
          <w:sz w:val="21"/>
          <w:szCs w:val="21"/>
        </w:rPr>
        <w:t>30818-30842.</w:t>
      </w:r>
      <w:bookmarkEnd w:id="182"/>
    </w:p>
    <w:p w14:paraId="60EE215D">
      <w:pPr>
        <w:pStyle w:val="30"/>
        <w:numPr>
          <w:ilvl w:val="0"/>
          <w:numId w:val="2"/>
        </w:numPr>
        <w:ind w:firstLineChars="0"/>
        <w:rPr>
          <w:sz w:val="21"/>
          <w:szCs w:val="21"/>
        </w:rPr>
      </w:pPr>
      <w:bookmarkStart w:id="183" w:name="_Ref225450620"/>
      <w:r>
        <w:rPr>
          <w:sz w:val="21"/>
          <w:szCs w:val="21"/>
        </w:rPr>
        <w:t>Zhou Z, Hu B, Zhao C, et al. Large language model as a policy teacher for training reinforcement learning agents[C]//Proceedings of the Thirty-Third International Joint Conference on Artificial Intelligence. 2024: 5671-5679.</w:t>
      </w:r>
      <w:bookmarkEnd w:id="183"/>
    </w:p>
    <w:p w14:paraId="0AE677DB">
      <w:pPr>
        <w:pStyle w:val="30"/>
        <w:numPr>
          <w:ilvl w:val="0"/>
          <w:numId w:val="2"/>
        </w:numPr>
        <w:ind w:firstLineChars="0"/>
        <w:rPr>
          <w:sz w:val="21"/>
          <w:szCs w:val="21"/>
        </w:rPr>
      </w:pPr>
      <w:bookmarkStart w:id="184" w:name="_Ref226555911"/>
      <w:r>
        <w:rPr>
          <w:sz w:val="21"/>
          <w:szCs w:val="21"/>
        </w:rPr>
        <w:t>Zhang J, Zhang J, Pertsch K, et al. Bootstrap Your Own Skills: Learning to Solve New Tasks with Large Language Model Guidance[C]//Proceedings of The 7th Conference on Robot Learning. 2023: 302-325.</w:t>
      </w:r>
      <w:bookmarkEnd w:id="184"/>
    </w:p>
    <w:p w14:paraId="456D78D3">
      <w:pPr>
        <w:pStyle w:val="30"/>
        <w:numPr>
          <w:ilvl w:val="0"/>
          <w:numId w:val="2"/>
        </w:numPr>
        <w:ind w:firstLineChars="0"/>
        <w:rPr>
          <w:sz w:val="21"/>
          <w:szCs w:val="21"/>
        </w:rPr>
      </w:pPr>
      <w:bookmarkStart w:id="185" w:name="_Ref225450652"/>
      <w:r>
        <w:rPr>
          <w:sz w:val="21"/>
          <w:szCs w:val="21"/>
        </w:rPr>
        <w:t>Brohan A, Chebotar Y, Finn C, et al. Do as i can, not as i say: Grounding language in robotic affordances[C]//Proceedings of The 6th Conference on Robot Learning. 2023: 287-318.</w:t>
      </w:r>
      <w:bookmarkEnd w:id="185"/>
    </w:p>
    <w:p w14:paraId="36534857">
      <w:pPr>
        <w:pStyle w:val="30"/>
        <w:numPr>
          <w:ilvl w:val="0"/>
          <w:numId w:val="2"/>
        </w:numPr>
        <w:ind w:firstLineChars="0"/>
        <w:rPr>
          <w:sz w:val="21"/>
          <w:szCs w:val="21"/>
        </w:rPr>
      </w:pPr>
      <w:bookmarkStart w:id="186" w:name="_Ref226555927"/>
      <w:bookmarkStart w:id="187" w:name="_Ref225362210"/>
      <w:r>
        <w:rPr>
          <w:sz w:val="21"/>
          <w:szCs w:val="21"/>
        </w:rPr>
        <w:t>Xie T, Zhao S, Wu C H, et al. Text2Reward: Reward shaping with language models for reinforcement learning[C]//The Twelfth International Conference on Learning Representations. 2024.</w:t>
      </w:r>
      <w:bookmarkEnd w:id="186"/>
    </w:p>
    <w:p w14:paraId="22959632">
      <w:pPr>
        <w:pStyle w:val="30"/>
        <w:numPr>
          <w:ilvl w:val="0"/>
          <w:numId w:val="2"/>
        </w:numPr>
        <w:ind w:firstLineChars="0"/>
        <w:rPr>
          <w:sz w:val="21"/>
          <w:szCs w:val="21"/>
        </w:rPr>
      </w:pPr>
      <w:bookmarkStart w:id="188" w:name="_Ref226555743"/>
      <w:r>
        <w:rPr>
          <w:sz w:val="21"/>
          <w:szCs w:val="21"/>
        </w:rPr>
        <w:t>Ma Y J, Liang W, Wang G, et al. Eureka: Human-Level Reward Design via Coding Large Language Models[C]//The Twelfth International Conference on Learning Representations. 2024.</w:t>
      </w:r>
      <w:bookmarkEnd w:id="188"/>
    </w:p>
    <w:p w14:paraId="3EEF693A">
      <w:pPr>
        <w:pStyle w:val="30"/>
        <w:numPr>
          <w:ilvl w:val="0"/>
          <w:numId w:val="2"/>
        </w:numPr>
        <w:ind w:firstLineChars="0"/>
        <w:rPr>
          <w:sz w:val="21"/>
          <w:szCs w:val="21"/>
        </w:rPr>
      </w:pPr>
      <w:bookmarkStart w:id="189" w:name="_Ref225458907"/>
      <w:r>
        <w:rPr>
          <w:sz w:val="21"/>
          <w:szCs w:val="21"/>
        </w:rPr>
        <w:t>Yu C, Velu A, Vinitsky E, et al. The surprising effectiveness of ppo in cooperative multi-agent games[C]//Advances in neural information processing systems, 2022, 35: 24611-24624.</w:t>
      </w:r>
      <w:bookmarkEnd w:id="189"/>
    </w:p>
    <w:p w14:paraId="5DC2BBA5">
      <w:pPr>
        <w:pStyle w:val="30"/>
        <w:numPr>
          <w:ilvl w:val="0"/>
          <w:numId w:val="2"/>
        </w:numPr>
        <w:ind w:firstLineChars="0"/>
        <w:rPr>
          <w:sz w:val="21"/>
          <w:szCs w:val="21"/>
        </w:rPr>
      </w:pPr>
      <w:bookmarkStart w:id="190" w:name="_Ref226555969"/>
      <w:r>
        <w:rPr>
          <w:sz w:val="21"/>
          <w:szCs w:val="21"/>
        </w:rPr>
        <w:t>Kuba J G, Chen R, Wen M, et al. Trust Region Policy Optimisation in Multi-Agent Reinforcement Learning[C]//10th International Conference on Learning Representations. 2022.</w:t>
      </w:r>
      <w:bookmarkEnd w:id="190"/>
    </w:p>
    <w:p w14:paraId="32F7AAD7">
      <w:pPr>
        <w:pStyle w:val="30"/>
        <w:numPr>
          <w:ilvl w:val="0"/>
          <w:numId w:val="2"/>
        </w:numPr>
        <w:ind w:firstLineChars="0"/>
        <w:rPr>
          <w:sz w:val="21"/>
          <w:szCs w:val="21"/>
        </w:rPr>
      </w:pPr>
      <w:bookmarkStart w:id="191" w:name="_Ref226556015"/>
      <w:r>
        <w:rPr>
          <w:sz w:val="21"/>
          <w:szCs w:val="21"/>
        </w:rPr>
        <w:t>Wang J, Ren Z, Liu T, et al. QPLEX: Duplex Dueling Multi-Agent Q-Learning[C]//9th International Conference on Learning Representations. 2021.</w:t>
      </w:r>
      <w:bookmarkEnd w:id="191"/>
    </w:p>
    <w:p w14:paraId="542D8942">
      <w:pPr>
        <w:pStyle w:val="30"/>
        <w:numPr>
          <w:ilvl w:val="0"/>
          <w:numId w:val="2"/>
        </w:numPr>
        <w:ind w:firstLineChars="0"/>
        <w:rPr>
          <w:sz w:val="21"/>
          <w:szCs w:val="21"/>
        </w:rPr>
      </w:pPr>
      <w:bookmarkStart w:id="192" w:name="_Ref229858100"/>
      <w:r>
        <w:rPr>
          <w:sz w:val="21"/>
          <w:szCs w:val="21"/>
        </w:rPr>
        <w:t>Zhang S Q, Lin J, Zhang Q. A multi-agent reinforcement learning approach for efficient client selection in federated learning[C]//Proceedings of the AAAI conference on artificial intelligence. 2022, 36(8): 9091-9099.</w:t>
      </w:r>
      <w:bookmarkEnd w:id="192"/>
    </w:p>
    <w:p w14:paraId="1760E937">
      <w:pPr>
        <w:pStyle w:val="30"/>
        <w:numPr>
          <w:ilvl w:val="0"/>
          <w:numId w:val="2"/>
        </w:numPr>
        <w:ind w:firstLineChars="0"/>
        <w:rPr>
          <w:sz w:val="21"/>
          <w:szCs w:val="21"/>
        </w:rPr>
      </w:pPr>
      <w:bookmarkStart w:id="193" w:name="_Ref226556031"/>
      <w:r>
        <w:rPr>
          <w:sz w:val="21"/>
          <w:szCs w:val="21"/>
        </w:rPr>
        <w:t>Niu Y, Paleja R R, Gombolay M C. Multi-Agent Graph-Attention Communication and Teaming[C]//Proceedings of the 20th International Conference on Autonomous Agents and Multiagent Systems. 2021: 964-973.</w:t>
      </w:r>
      <w:bookmarkEnd w:id="193"/>
    </w:p>
    <w:p w14:paraId="7F160D11">
      <w:pPr>
        <w:pStyle w:val="30"/>
        <w:numPr>
          <w:ilvl w:val="0"/>
          <w:numId w:val="2"/>
        </w:numPr>
        <w:ind w:firstLineChars="0"/>
        <w:rPr>
          <w:sz w:val="21"/>
          <w:szCs w:val="21"/>
        </w:rPr>
      </w:pPr>
      <w:bookmarkStart w:id="194" w:name="_Ref225459363"/>
      <w:r>
        <w:rPr>
          <w:sz w:val="21"/>
          <w:szCs w:val="21"/>
        </w:rPr>
        <w:t>Singh A V, Rathbun E, Graham E, et al. Hierarchical Multi-agent Reinforcement Learning for Cyber Network Defense[C]//Proceedings of the 24th International Conference on Autonomous Agents and Multiagent Systems. 2025: 2747-2749.</w:t>
      </w:r>
      <w:bookmarkEnd w:id="194"/>
    </w:p>
    <w:p w14:paraId="51D2AF99">
      <w:pPr>
        <w:pStyle w:val="30"/>
        <w:numPr>
          <w:ilvl w:val="0"/>
          <w:numId w:val="2"/>
        </w:numPr>
        <w:ind w:firstLineChars="0"/>
        <w:rPr>
          <w:sz w:val="21"/>
          <w:szCs w:val="21"/>
        </w:rPr>
      </w:pPr>
      <w:bookmarkStart w:id="195" w:name="_Ref226556052"/>
      <w:r>
        <w:rPr>
          <w:sz w:val="21"/>
          <w:szCs w:val="21"/>
        </w:rPr>
        <w:t>Geng M, Pateria S, Subagdja B, et al. L2M2: A Hierarchical Framework Integrating Large Language Model and Multi-agent Reinforcement Learning[C]//Proceedings of the Thirty-Fourth International Joint Conference on Artificial Intelligence. 2025: 99-107.</w:t>
      </w:r>
      <w:bookmarkEnd w:id="195"/>
    </w:p>
    <w:p w14:paraId="27267300">
      <w:pPr>
        <w:pStyle w:val="30"/>
        <w:numPr>
          <w:ilvl w:val="0"/>
          <w:numId w:val="2"/>
        </w:numPr>
        <w:ind w:firstLineChars="0"/>
        <w:rPr>
          <w:sz w:val="21"/>
          <w:szCs w:val="21"/>
        </w:rPr>
      </w:pPr>
      <w:bookmarkStart w:id="196" w:name="_Ref225459410"/>
      <w:r>
        <w:rPr>
          <w:sz w:val="21"/>
          <w:szCs w:val="21"/>
        </w:rPr>
        <w:t>Jiang G, Imani M, Bastian N D, et al. Agentic AI for Cyber Defense: LLM-Guided Hierarchical Multi-Agent Reinforcement Learning[C]//MILCOM 2025-2025 IEEE Military Communications Conference (MILCOM). 2025: 1518-1523.</w:t>
      </w:r>
      <w:bookmarkEnd w:id="196"/>
    </w:p>
    <w:p w14:paraId="1AEF34D1">
      <w:pPr>
        <w:pStyle w:val="30"/>
        <w:numPr>
          <w:ilvl w:val="0"/>
          <w:numId w:val="2"/>
        </w:numPr>
        <w:ind w:firstLineChars="0"/>
        <w:rPr>
          <w:sz w:val="21"/>
          <w:szCs w:val="21"/>
        </w:rPr>
      </w:pPr>
      <w:bookmarkStart w:id="197" w:name="_Ref225452600"/>
      <w:r>
        <w:rPr>
          <w:sz w:val="21"/>
          <w:szCs w:val="21"/>
        </w:rPr>
        <w:t>Xie X, Liu Y, Wang X, et al. On Constructing New-Type Power Systems in China[J]. CSEE Journal of Power and Energy Systems, 2025, 11(6): 2710-2728.</w:t>
      </w:r>
      <w:bookmarkEnd w:id="128"/>
      <w:bookmarkEnd w:id="187"/>
      <w:bookmarkEnd w:id="197"/>
    </w:p>
    <w:p w14:paraId="14C35190">
      <w:pPr>
        <w:pStyle w:val="30"/>
        <w:numPr>
          <w:ilvl w:val="0"/>
          <w:numId w:val="2"/>
        </w:numPr>
        <w:ind w:firstLineChars="0"/>
        <w:rPr>
          <w:sz w:val="21"/>
          <w:szCs w:val="21"/>
        </w:rPr>
      </w:pPr>
      <w:bookmarkStart w:id="198" w:name="_Ref225241430"/>
      <w:r>
        <w:rPr>
          <w:sz w:val="21"/>
          <w:szCs w:val="21"/>
        </w:rPr>
        <w:t>Chen J, Yan J, Kemmeugne A, et al. Cybersecurity of distributed energy resource systems in the smart grid: A survey[J]. Applied Energy, 2025, 383: 125364.</w:t>
      </w:r>
      <w:bookmarkEnd w:id="198"/>
    </w:p>
    <w:p w14:paraId="3F04D98A">
      <w:pPr>
        <w:pStyle w:val="30"/>
        <w:numPr>
          <w:ilvl w:val="0"/>
          <w:numId w:val="2"/>
        </w:numPr>
        <w:ind w:firstLineChars="0"/>
        <w:rPr>
          <w:sz w:val="21"/>
          <w:szCs w:val="21"/>
        </w:rPr>
      </w:pPr>
      <w:bookmarkStart w:id="199" w:name="_Ref225241448"/>
      <w:r>
        <w:rPr>
          <w:sz w:val="21"/>
          <w:szCs w:val="21"/>
        </w:rPr>
        <w:t>Alvarez-Alvarado M S, Apolo-Tinoco C, Ramirez-Prado M J, et al. Cyber-physical power systems: A comprehensive review about technologies drivers, standards, and future perspectives[J]. Computers and Electrical Engineering, 2024, 116: 109149.</w:t>
      </w:r>
      <w:bookmarkEnd w:id="199"/>
    </w:p>
    <w:p w14:paraId="64380D4C">
      <w:pPr>
        <w:pStyle w:val="30"/>
        <w:numPr>
          <w:ilvl w:val="0"/>
          <w:numId w:val="2"/>
        </w:numPr>
        <w:ind w:firstLineChars="0"/>
        <w:rPr>
          <w:sz w:val="21"/>
          <w:szCs w:val="21"/>
        </w:rPr>
      </w:pPr>
      <w:bookmarkStart w:id="200" w:name="_Ref225241471"/>
      <w:r>
        <w:rPr>
          <w:sz w:val="21"/>
          <w:szCs w:val="21"/>
        </w:rPr>
        <w:t>Lu Q, Li J, Peng Z, et al. Detecting the cyber-physical-social cooperated APTs in high-DER-penetrated smart grids: Threats, current work and challenges[J]. Computer Networks, 2024, 254: 110776.</w:t>
      </w:r>
      <w:bookmarkEnd w:id="200"/>
    </w:p>
    <w:p w14:paraId="5F75C3AA">
      <w:pPr>
        <w:pStyle w:val="30"/>
        <w:numPr>
          <w:ilvl w:val="0"/>
          <w:numId w:val="2"/>
        </w:numPr>
        <w:ind w:firstLineChars="0"/>
        <w:rPr>
          <w:sz w:val="21"/>
          <w:szCs w:val="21"/>
        </w:rPr>
      </w:pPr>
      <w:bookmarkStart w:id="201" w:name="_Ref225274489"/>
      <w:r>
        <w:rPr>
          <w:sz w:val="21"/>
          <w:szCs w:val="21"/>
        </w:rPr>
        <w:t>Presekal A, Ştefanov A, Rajkumar V S, et al. Advanced persistent threat kill chain for cyber-physical power systems[J]. IEEE Access, 2024, 12: 177746-177771.</w:t>
      </w:r>
      <w:bookmarkEnd w:id="201"/>
    </w:p>
    <w:p w14:paraId="6DAC4CDC">
      <w:pPr>
        <w:pStyle w:val="30"/>
        <w:numPr>
          <w:ilvl w:val="0"/>
          <w:numId w:val="2"/>
        </w:numPr>
        <w:ind w:firstLineChars="0"/>
        <w:rPr>
          <w:sz w:val="21"/>
          <w:szCs w:val="21"/>
        </w:rPr>
      </w:pPr>
      <w:bookmarkStart w:id="202" w:name="_Ref225274584"/>
      <w:r>
        <w:rPr>
          <w:sz w:val="21"/>
          <w:szCs w:val="21"/>
        </w:rPr>
        <w:t>Che Mat N I, Jamil N, Yusoff Y, et al. A systematic literature review on advanced persistent threat behaviors and its detection strategy[J]. Journal of Cybersecurity, 2024, 10(1): tyad023.</w:t>
      </w:r>
      <w:bookmarkEnd w:id="202"/>
    </w:p>
    <w:p w14:paraId="54757525">
      <w:pPr>
        <w:pStyle w:val="30"/>
        <w:numPr>
          <w:ilvl w:val="0"/>
          <w:numId w:val="2"/>
        </w:numPr>
        <w:ind w:firstLineChars="0"/>
        <w:rPr>
          <w:sz w:val="21"/>
          <w:szCs w:val="21"/>
        </w:rPr>
      </w:pPr>
      <w:bookmarkStart w:id="203" w:name="_Ref225274691"/>
      <w:r>
        <w:rPr>
          <w:sz w:val="21"/>
          <w:szCs w:val="21"/>
        </w:rPr>
        <w:t>Akbarzadeh A, Erdodi L, Houmb S H, et al. Two-stage advanced persistent threat (APT) attack on an IEC 61850 power grid substation[J]. International Journal of Information Security, 2024, 23(4): 2739-2758.</w:t>
      </w:r>
      <w:bookmarkEnd w:id="203"/>
    </w:p>
    <w:p w14:paraId="1E5D32CC">
      <w:pPr>
        <w:pStyle w:val="30"/>
        <w:numPr>
          <w:ilvl w:val="0"/>
          <w:numId w:val="2"/>
        </w:numPr>
        <w:ind w:firstLineChars="0"/>
        <w:rPr>
          <w:sz w:val="21"/>
          <w:szCs w:val="21"/>
        </w:rPr>
      </w:pPr>
      <w:bookmarkStart w:id="204" w:name="_Ref225274999"/>
      <w:r>
        <w:rPr>
          <w:sz w:val="21"/>
          <w:szCs w:val="21"/>
        </w:rPr>
        <w:t>Presekal A, Ştefanov A, Semertzis I, et al. Spatio-temporal advanced persistent threat detection and correlation for cyber-physical power systems using enhanced GC-LSTM[J]. IEEE Transactions on Smart Grid, 2024, 16(2): 1654-1666.</w:t>
      </w:r>
      <w:bookmarkEnd w:id="204"/>
    </w:p>
    <w:p w14:paraId="20215F95">
      <w:pPr>
        <w:pStyle w:val="30"/>
        <w:numPr>
          <w:ilvl w:val="0"/>
          <w:numId w:val="2"/>
        </w:numPr>
        <w:ind w:firstLineChars="0"/>
        <w:rPr>
          <w:sz w:val="21"/>
          <w:szCs w:val="21"/>
        </w:rPr>
      </w:pPr>
      <w:bookmarkStart w:id="205" w:name="_Ref225274878"/>
      <w:r>
        <w:rPr>
          <w:sz w:val="21"/>
          <w:szCs w:val="21"/>
        </w:rPr>
        <w:t>Song Y, Wang K, Sun X, et al. A multi-source log semantic analysis-based attack investigation approach[J]. Computers &amp; Security, 2025, 150: 104303.</w:t>
      </w:r>
      <w:bookmarkEnd w:id="205"/>
    </w:p>
    <w:p w14:paraId="4B78CD3D">
      <w:pPr>
        <w:pStyle w:val="30"/>
        <w:numPr>
          <w:ilvl w:val="0"/>
          <w:numId w:val="2"/>
        </w:numPr>
        <w:ind w:firstLineChars="0"/>
        <w:rPr>
          <w:sz w:val="21"/>
          <w:szCs w:val="21"/>
        </w:rPr>
      </w:pPr>
      <w:bookmarkStart w:id="206" w:name="_Ref226556095"/>
      <w:r>
        <w:rPr>
          <w:sz w:val="21"/>
          <w:szCs w:val="21"/>
        </w:rPr>
        <w:t>Vaswani A, Shazeer N, Parmar N, et al. Attention is all you need[C]//Advances in Neural Information Processing Systems, 2017, 30: 5998-6008.</w:t>
      </w:r>
      <w:bookmarkEnd w:id="206"/>
    </w:p>
    <w:p w14:paraId="766696D5">
      <w:pPr>
        <w:pStyle w:val="30"/>
        <w:numPr>
          <w:ilvl w:val="0"/>
          <w:numId w:val="2"/>
        </w:numPr>
        <w:ind w:firstLineChars="0"/>
        <w:rPr>
          <w:sz w:val="21"/>
          <w:szCs w:val="21"/>
        </w:rPr>
      </w:pPr>
      <w:bookmarkStart w:id="207" w:name="_Ref226410185"/>
      <w:r>
        <w:rPr>
          <w:rFonts w:hint="eastAsia"/>
          <w:sz w:val="21"/>
          <w:szCs w:val="21"/>
        </w:rPr>
        <w:t>秦小林,古徐,李弟诚,等.大语言模型综述与展望[J]. 计算机应用, 2025, 45(3):685-696.</w:t>
      </w:r>
      <w:bookmarkEnd w:id="207"/>
    </w:p>
    <w:p w14:paraId="7CB6FF61">
      <w:pPr>
        <w:pStyle w:val="30"/>
        <w:numPr>
          <w:ilvl w:val="0"/>
          <w:numId w:val="2"/>
        </w:numPr>
        <w:ind w:firstLineChars="0"/>
        <w:rPr>
          <w:sz w:val="21"/>
          <w:szCs w:val="21"/>
        </w:rPr>
      </w:pPr>
      <w:bookmarkStart w:id="208" w:name="_Ref226410308"/>
      <w:r>
        <w:rPr>
          <w:rFonts w:hint="eastAsia"/>
          <w:sz w:val="21"/>
          <w:szCs w:val="21"/>
        </w:rPr>
        <w:t>张钦彤,王昱超,王鹤羲,等.大语言模型微调技术的研究综述[J]. 计算机工程与应用, 2024, 60(17):17-33.</w:t>
      </w:r>
      <w:bookmarkEnd w:id="208"/>
    </w:p>
    <w:p w14:paraId="116CB400">
      <w:pPr>
        <w:pStyle w:val="30"/>
        <w:numPr>
          <w:ilvl w:val="0"/>
          <w:numId w:val="2"/>
        </w:numPr>
        <w:ind w:firstLineChars="0"/>
        <w:rPr>
          <w:sz w:val="21"/>
          <w:szCs w:val="21"/>
        </w:rPr>
      </w:pPr>
      <w:bookmarkStart w:id="209" w:name="_Ref226556116"/>
      <w:r>
        <w:rPr>
          <w:sz w:val="21"/>
          <w:szCs w:val="21"/>
        </w:rPr>
        <w:t>Ouyang L, Wu J, Jiang X, et al. Training language models to follow instructions with human feedback[C]//Advances in Neural Information Processing Systems, 2022, 35: 27730-27744.</w:t>
      </w:r>
      <w:bookmarkEnd w:id="209"/>
    </w:p>
    <w:p w14:paraId="2BA486E7">
      <w:pPr>
        <w:pStyle w:val="30"/>
        <w:numPr>
          <w:ilvl w:val="0"/>
          <w:numId w:val="2"/>
        </w:numPr>
        <w:ind w:firstLineChars="0"/>
        <w:rPr>
          <w:sz w:val="21"/>
          <w:szCs w:val="21"/>
        </w:rPr>
      </w:pPr>
      <w:bookmarkStart w:id="210" w:name="_Ref226556128"/>
      <w:r>
        <w:rPr>
          <w:sz w:val="21"/>
          <w:szCs w:val="21"/>
        </w:rPr>
        <w:t>Hafner D, Lillicrap T, Ba J, et al. Dream to Control: Learning behaviors by latent imagination[C]//International Conference on Learning Representations. 2020.</w:t>
      </w:r>
      <w:bookmarkEnd w:id="210"/>
    </w:p>
    <w:p w14:paraId="7DCC5434">
      <w:pPr>
        <w:pStyle w:val="30"/>
        <w:numPr>
          <w:ilvl w:val="0"/>
          <w:numId w:val="2"/>
        </w:numPr>
        <w:ind w:firstLineChars="0"/>
        <w:rPr>
          <w:sz w:val="21"/>
          <w:szCs w:val="21"/>
        </w:rPr>
      </w:pPr>
      <w:bookmarkStart w:id="211" w:name="_Ref226819874"/>
      <w:r>
        <w:rPr>
          <w:sz w:val="21"/>
          <w:szCs w:val="21"/>
        </w:rPr>
        <w:t>Ding J, Zhang Y, Shang Y, et al. Understanding world or predicting future? a comprehensive survey of world models[J]. ACM Computing Surveys, 2025, 58(3): 1-38.</w:t>
      </w:r>
      <w:bookmarkEnd w:id="211"/>
    </w:p>
    <w:p w14:paraId="42520399">
      <w:pPr>
        <w:pStyle w:val="30"/>
        <w:numPr>
          <w:ilvl w:val="0"/>
          <w:numId w:val="2"/>
        </w:numPr>
        <w:ind w:firstLineChars="0"/>
        <w:rPr>
          <w:sz w:val="21"/>
          <w:szCs w:val="21"/>
        </w:rPr>
      </w:pPr>
      <w:bookmarkStart w:id="212" w:name="_Ref226556153"/>
      <w:r>
        <w:rPr>
          <w:sz w:val="21"/>
          <w:szCs w:val="21"/>
        </w:rPr>
        <w:t>Chua K, Calandra R, McAllister R, et al. Deep reinforcement learning in a handful of trials using probabilistic dynamics models[C]//Advances in Neural Information Processing Systems, 2018, 31: 4759-4770.</w:t>
      </w:r>
      <w:bookmarkEnd w:id="212"/>
    </w:p>
    <w:p w14:paraId="3D03CDB7">
      <w:pPr>
        <w:pStyle w:val="30"/>
        <w:numPr>
          <w:ilvl w:val="0"/>
          <w:numId w:val="2"/>
        </w:numPr>
        <w:ind w:firstLineChars="0"/>
        <w:rPr>
          <w:sz w:val="21"/>
          <w:szCs w:val="21"/>
        </w:rPr>
      </w:pPr>
      <w:bookmarkStart w:id="213" w:name="_Ref226410800"/>
      <w:r>
        <w:rPr>
          <w:rFonts w:hint="eastAsia"/>
          <w:sz w:val="21"/>
          <w:szCs w:val="21"/>
        </w:rPr>
        <w:t>罗彪,胡天萌,周育豪,等.多智能体强化学习控制与决策研究综述[J]. 自动化学报, 2025, 51(3):510-539.</w:t>
      </w:r>
      <w:bookmarkEnd w:id="213"/>
    </w:p>
    <w:p w14:paraId="54AD46EB">
      <w:pPr>
        <w:pStyle w:val="30"/>
        <w:numPr>
          <w:ilvl w:val="0"/>
          <w:numId w:val="2"/>
        </w:numPr>
        <w:ind w:firstLineChars="0"/>
        <w:rPr>
          <w:sz w:val="21"/>
          <w:szCs w:val="21"/>
        </w:rPr>
      </w:pPr>
      <w:bookmarkStart w:id="214" w:name="_Ref226819736"/>
      <w:r>
        <w:rPr>
          <w:rFonts w:hint="eastAsia"/>
          <w:sz w:val="21"/>
          <w:szCs w:val="21"/>
        </w:rPr>
        <w:t>陈卓然,刘泽阳,万里鹏,等.多智能体强化学习理论及其应用综述[J]. 模式识别与人工智能, 2024, 37(10):851-872.</w:t>
      </w:r>
      <w:bookmarkEnd w:id="214"/>
    </w:p>
    <w:p w14:paraId="4D3B4997">
      <w:pPr>
        <w:pStyle w:val="30"/>
        <w:numPr>
          <w:ilvl w:val="0"/>
          <w:numId w:val="2"/>
        </w:numPr>
        <w:ind w:firstLineChars="0"/>
        <w:rPr>
          <w:sz w:val="21"/>
          <w:szCs w:val="21"/>
        </w:rPr>
      </w:pPr>
      <w:bookmarkStart w:id="215" w:name="_Ref226819548"/>
      <w:r>
        <w:rPr>
          <w:rFonts w:hint="eastAsia"/>
          <w:sz w:val="21"/>
          <w:szCs w:val="21"/>
        </w:rPr>
        <w:t>李岳珩,谢广明.集中训练分布执行下的多智能体强化学习综述[J]. 控制理论与应用, 2025, 42(11):2114-2124.</w:t>
      </w:r>
      <w:bookmarkEnd w:id="215"/>
    </w:p>
    <w:p w14:paraId="2C1798C1">
      <w:pPr>
        <w:pStyle w:val="30"/>
        <w:numPr>
          <w:ilvl w:val="0"/>
          <w:numId w:val="2"/>
        </w:numPr>
        <w:ind w:firstLineChars="0"/>
        <w:rPr>
          <w:sz w:val="21"/>
          <w:szCs w:val="21"/>
        </w:rPr>
      </w:pPr>
      <w:bookmarkStart w:id="216" w:name="_Ref226404402"/>
      <w:r>
        <w:rPr>
          <w:rFonts w:hint="eastAsia"/>
          <w:sz w:val="21"/>
          <w:szCs w:val="21"/>
        </w:rPr>
        <w:t>何圣川,范文豪,崔卓,等.基于神经网络的低压台区反窃电类型检测方法[J]. 电子元器件与信息技术, 2025, 9(8):167-169.</w:t>
      </w:r>
      <w:bookmarkEnd w:id="216"/>
    </w:p>
    <w:p w14:paraId="0EA8962B">
      <w:pPr>
        <w:pStyle w:val="30"/>
        <w:numPr>
          <w:ilvl w:val="0"/>
          <w:numId w:val="2"/>
        </w:numPr>
        <w:ind w:firstLineChars="0"/>
        <w:rPr>
          <w:sz w:val="21"/>
          <w:szCs w:val="21"/>
        </w:rPr>
      </w:pPr>
      <w:bookmarkStart w:id="217" w:name="_Ref226063601"/>
      <w:r>
        <w:rPr>
          <w:sz w:val="21"/>
          <w:szCs w:val="21"/>
        </w:rPr>
        <w:t>Tunde-Onadele O, Lin Y, Gu X, et al. Self-supervised machine learning framework for online container security attack detection[J]. ACM Transactions on Autonomous and Adaptive Systems, 2024, 19(3): 1-28.</w:t>
      </w:r>
      <w:bookmarkEnd w:id="217"/>
    </w:p>
    <w:p w14:paraId="7B154BEF">
      <w:pPr>
        <w:pStyle w:val="30"/>
        <w:numPr>
          <w:ilvl w:val="0"/>
          <w:numId w:val="2"/>
        </w:numPr>
        <w:ind w:firstLineChars="0"/>
        <w:rPr>
          <w:sz w:val="21"/>
          <w:szCs w:val="21"/>
        </w:rPr>
      </w:pPr>
      <w:bookmarkStart w:id="218" w:name="_Ref225696813"/>
      <w:r>
        <w:rPr>
          <w:sz w:val="21"/>
          <w:szCs w:val="21"/>
        </w:rPr>
        <w:t>Moustafa N, Slay J. UNSW-NB15: A comprehensive data set for network intrusion detection systems (UNSW</w:t>
      </w:r>
      <w:r>
        <w:rPr>
          <w:rFonts w:hint="eastAsia"/>
          <w:sz w:val="21"/>
          <w:szCs w:val="21"/>
        </w:rPr>
        <w:t>-</w:t>
      </w:r>
      <w:r>
        <w:rPr>
          <w:sz w:val="21"/>
          <w:szCs w:val="21"/>
        </w:rPr>
        <w:t>NB15 network data set) [C]//Proceedings of the 2015 Military Communications and Information Systems Conference (MilCIS). 2015: 1-6.</w:t>
      </w:r>
      <w:bookmarkEnd w:id="218"/>
    </w:p>
    <w:p w14:paraId="75645A54">
      <w:pPr>
        <w:pStyle w:val="30"/>
        <w:numPr>
          <w:ilvl w:val="0"/>
          <w:numId w:val="2"/>
        </w:numPr>
        <w:ind w:firstLineChars="0"/>
        <w:rPr>
          <w:sz w:val="21"/>
          <w:szCs w:val="21"/>
        </w:rPr>
      </w:pPr>
      <w:bookmarkStart w:id="219" w:name="_Ref226555641"/>
      <w:r>
        <w:rPr>
          <w:sz w:val="21"/>
          <w:szCs w:val="21"/>
        </w:rPr>
        <w:t>Sharafaldin I, Lashkari A H, Ghorbani A A. Toward generating a new intrusion detection dataset and intrusion traffic characterization[C]//Proceedings of the 4th International Conference on Information Systems Security and Privacy. 2018: 108-116.</w:t>
      </w:r>
      <w:bookmarkEnd w:id="219"/>
    </w:p>
    <w:p w14:paraId="26587190">
      <w:pPr>
        <w:pStyle w:val="30"/>
        <w:numPr>
          <w:ilvl w:val="0"/>
          <w:numId w:val="2"/>
        </w:numPr>
        <w:ind w:firstLineChars="0"/>
        <w:rPr>
          <w:sz w:val="21"/>
          <w:szCs w:val="21"/>
        </w:rPr>
      </w:pPr>
      <w:bookmarkStart w:id="220" w:name="_Ref225696998"/>
      <w:r>
        <w:rPr>
          <w:sz w:val="21"/>
          <w:szCs w:val="21"/>
        </w:rPr>
        <w:t>Tavallaee M, Bagheri E, Lu W, et al. A detailed analysis of the KDD CUP 99 data set[C]//2009 IEEE Symposium on Computational Intelligence for Security and Defense Applications. 2009: 1-6.</w:t>
      </w:r>
      <w:bookmarkEnd w:id="220"/>
    </w:p>
    <w:p w14:paraId="6BB08803">
      <w:pPr>
        <w:pStyle w:val="30"/>
        <w:numPr>
          <w:ilvl w:val="0"/>
          <w:numId w:val="2"/>
        </w:numPr>
        <w:ind w:firstLineChars="0"/>
        <w:rPr>
          <w:sz w:val="21"/>
          <w:szCs w:val="21"/>
        </w:rPr>
      </w:pPr>
      <w:bookmarkStart w:id="221" w:name="_Ref225697210"/>
      <w:r>
        <w:rPr>
          <w:sz w:val="21"/>
          <w:szCs w:val="21"/>
        </w:rPr>
        <w:t>Myneni S, Chowdhary A, Sabur A, et al. DAPT2020 - Constructing benchmark dataset for advanced persistent threats[C]//Deployable Machine Learning for Security Defense. 2020: 138-163.</w:t>
      </w:r>
      <w:bookmarkEnd w:id="221"/>
    </w:p>
    <w:p w14:paraId="45E59164">
      <w:pPr>
        <w:pStyle w:val="30"/>
        <w:numPr>
          <w:ilvl w:val="0"/>
          <w:numId w:val="2"/>
        </w:numPr>
        <w:ind w:firstLineChars="0"/>
        <w:rPr>
          <w:sz w:val="21"/>
          <w:szCs w:val="21"/>
        </w:rPr>
      </w:pPr>
      <w:bookmarkStart w:id="222" w:name="_Ref225697375"/>
      <w:r>
        <w:rPr>
          <w:sz w:val="21"/>
          <w:szCs w:val="21"/>
        </w:rPr>
        <w:t>Ghiasvand E, Ray S, Iqbal S, et al. Resilience against APTs: A provenance-based IIoT dataset for cybersecurity research[C]// Mobile and Ubiquitous Systems: Computing, Networking, and Services. Cham: Springer Nature Switzerland, 2024: 121-144.</w:t>
      </w:r>
      <w:bookmarkEnd w:id="222"/>
    </w:p>
    <w:p w14:paraId="50E44AED">
      <w:pPr>
        <w:pStyle w:val="30"/>
        <w:numPr>
          <w:ilvl w:val="0"/>
          <w:numId w:val="2"/>
        </w:numPr>
        <w:ind w:firstLineChars="0"/>
        <w:rPr>
          <w:sz w:val="21"/>
          <w:szCs w:val="21"/>
        </w:rPr>
      </w:pPr>
      <w:bookmarkStart w:id="223" w:name="_Ref225697437"/>
      <w:r>
        <w:rPr>
          <w:sz w:val="21"/>
          <w:szCs w:val="21"/>
        </w:rPr>
        <w:t>Bagui S S, Mink D, Bagui S C, et al. Introducing uwf-zeekdata22: A comprehensive network traffic dataset based on the mitre att&amp;ck framework[J]. Data, 2023, 8(1): 18.</w:t>
      </w:r>
      <w:bookmarkEnd w:id="223"/>
    </w:p>
    <w:p w14:paraId="298EE81B">
      <w:pPr>
        <w:pStyle w:val="30"/>
        <w:numPr>
          <w:ilvl w:val="0"/>
          <w:numId w:val="2"/>
        </w:numPr>
        <w:ind w:firstLineChars="0"/>
        <w:rPr>
          <w:sz w:val="21"/>
          <w:szCs w:val="21"/>
        </w:rPr>
      </w:pPr>
      <w:bookmarkStart w:id="224" w:name="_Ref225697678"/>
      <w:r>
        <w:rPr>
          <w:sz w:val="21"/>
          <w:szCs w:val="21"/>
        </w:rPr>
        <w:t>Kiely M, Ahiskali M, Borde E, et al. CAGE challenge 4: A scalable multi‐agent reinforcement learning gym for autonomous cyber defence[J]. AI Magazine, 2025, 46(3): e70021.</w:t>
      </w:r>
      <w:bookmarkEnd w:id="224"/>
    </w:p>
    <w:p w14:paraId="4DE1064F">
      <w:pPr>
        <w:pStyle w:val="30"/>
        <w:numPr>
          <w:ilvl w:val="0"/>
          <w:numId w:val="2"/>
        </w:numPr>
        <w:ind w:firstLineChars="0"/>
        <w:rPr>
          <w:sz w:val="21"/>
          <w:szCs w:val="21"/>
        </w:rPr>
      </w:pPr>
      <w:bookmarkStart w:id="225" w:name="_Ref225697641"/>
      <w:r>
        <w:rPr>
          <w:sz w:val="21"/>
          <w:szCs w:val="21"/>
        </w:rPr>
        <w:t>Kiely M, Ahiskali M, Borde E, et al. Exploring the efficacy of multi-agent reinforcement learning for autonomous cyber defence: A cage challenge 4 perspective[C]//Proceedings of the AAAI Conference on Artificial Intelligence. 2025, 39(28): 28907-28913.</w:t>
      </w:r>
      <w:bookmarkEnd w:id="225"/>
    </w:p>
    <w:p w14:paraId="2E798545">
      <w:pPr>
        <w:pStyle w:val="30"/>
        <w:numPr>
          <w:ilvl w:val="0"/>
          <w:numId w:val="2"/>
        </w:numPr>
        <w:ind w:firstLineChars="0"/>
        <w:rPr>
          <w:sz w:val="21"/>
          <w:szCs w:val="21"/>
        </w:rPr>
      </w:pPr>
      <w:bookmarkStart w:id="226" w:name="_Ref225796628"/>
      <w:r>
        <w:rPr>
          <w:sz w:val="21"/>
          <w:szCs w:val="21"/>
        </w:rPr>
        <w:t>Sahani N, Liu C C. Model-based detection of coordinated attacks (</w:t>
      </w:r>
      <w:r>
        <w:rPr>
          <w:rFonts w:hint="eastAsia"/>
          <w:sz w:val="21"/>
          <w:szCs w:val="21"/>
        </w:rPr>
        <w:t>DCA</w:t>
      </w:r>
      <w:r>
        <w:rPr>
          <w:sz w:val="21"/>
          <w:szCs w:val="21"/>
        </w:rPr>
        <w:t>) in distribution systems[J]. IEEE Open Access Journal of Power and Energy, 2024, 11: 558-570.</w:t>
      </w:r>
      <w:bookmarkEnd w:id="226"/>
    </w:p>
    <w:p w14:paraId="65CA05A6">
      <w:pPr>
        <w:pStyle w:val="30"/>
        <w:numPr>
          <w:ilvl w:val="0"/>
          <w:numId w:val="2"/>
        </w:numPr>
        <w:ind w:firstLineChars="0"/>
        <w:rPr>
          <w:sz w:val="21"/>
          <w:szCs w:val="21"/>
        </w:rPr>
      </w:pPr>
      <w:bookmarkStart w:id="227" w:name="_Ref225866926"/>
      <w:r>
        <w:rPr>
          <w:sz w:val="21"/>
          <w:szCs w:val="21"/>
        </w:rPr>
        <w:t>Dudman T, Bull M. Towards a Generalisable Cyber Defence Agent for Real-World Computer Networks[C]//Proceedings of the 2025 Conference on Applied Machine Learning for Information Security.</w:t>
      </w:r>
      <w:r>
        <w:rPr>
          <w:rFonts w:hint="eastAsia"/>
          <w:sz w:val="21"/>
          <w:szCs w:val="21"/>
        </w:rPr>
        <w:t xml:space="preserve"> </w:t>
      </w:r>
      <w:r>
        <w:rPr>
          <w:sz w:val="21"/>
          <w:szCs w:val="21"/>
        </w:rPr>
        <w:t>2025: 87-109.</w:t>
      </w:r>
      <w:bookmarkEnd w:id="227"/>
      <w:r>
        <w:rPr>
          <w:sz w:val="21"/>
          <w:szCs w:val="21"/>
        </w:rPr>
        <w:br w:type="page"/>
      </w:r>
    </w:p>
    <w:bookmarkEnd w:id="124"/>
    <w:bookmarkEnd w:id="125"/>
    <w:bookmarkEnd w:id="126"/>
    <w:p w14:paraId="6400A344">
      <w:pPr>
        <w:pStyle w:val="2"/>
      </w:pPr>
      <w:bookmarkStart w:id="228" w:name="_Toc226830435"/>
      <w:bookmarkStart w:id="229" w:name="_Toc230086409"/>
      <w:r>
        <w:rPr>
          <w:rFonts w:hint="eastAsia"/>
        </w:rPr>
        <w:t>攻读硕士学位期间的科研成果</w:t>
      </w:r>
      <w:bookmarkEnd w:id="228"/>
      <w:bookmarkEnd w:id="229"/>
    </w:p>
    <w:p w14:paraId="0784667C">
      <w:pPr>
        <w:spacing w:line="400" w:lineRule="exact"/>
        <w:rPr>
          <w:rFonts w:hint="eastAsia" w:ascii="黑体" w:hAnsi="黑体" w:eastAsia="黑体"/>
        </w:rPr>
      </w:pPr>
      <w:r>
        <w:rPr>
          <w:rFonts w:hint="eastAsia" w:ascii="黑体" w:hAnsi="黑体" w:eastAsia="黑体"/>
        </w:rPr>
        <w:t>论文：</w:t>
      </w:r>
    </w:p>
    <w:p w14:paraId="7D5C6368">
      <w:pPr>
        <w:pStyle w:val="30"/>
        <w:numPr>
          <w:ilvl w:val="0"/>
          <w:numId w:val="3"/>
        </w:numPr>
        <w:spacing w:line="400" w:lineRule="exact"/>
        <w:ind w:left="924" w:hanging="442" w:firstLineChars="0"/>
        <w:rPr>
          <w:rFonts w:eastAsia="黑体" w:cs="Times New Roman"/>
          <w:bCs/>
        </w:rPr>
      </w:pPr>
      <w:r>
        <w:rPr>
          <w:rFonts w:cs="Times New Roman"/>
          <w:b/>
        </w:rPr>
        <w:t>Gao Q</w:t>
      </w:r>
      <w:r>
        <w:rPr>
          <w:rFonts w:cs="Times New Roman"/>
          <w:bCs/>
        </w:rPr>
        <w:t>, Lu Q, Li J, et al. HSL-CFS: Hybrid Stacked Learning with Cooperative Feature Selection for Cyberattack Detection in Smart Grids[J]. Energy Conversion and Economics, 2026.</w:t>
      </w:r>
      <w:r>
        <w:rPr>
          <w:rFonts w:hint="eastAsia" w:cs="Times New Roman"/>
          <w:bCs/>
        </w:rPr>
        <w:t>（已录用，EI期刊）</w:t>
      </w:r>
    </w:p>
    <w:p w14:paraId="5C5E8E1B">
      <w:pPr>
        <w:pStyle w:val="30"/>
        <w:numPr>
          <w:ilvl w:val="0"/>
          <w:numId w:val="3"/>
        </w:numPr>
        <w:spacing w:line="400" w:lineRule="exact"/>
        <w:ind w:left="924" w:hanging="442" w:firstLineChars="0"/>
        <w:rPr>
          <w:rFonts w:eastAsia="黑体" w:cs="Times New Roman"/>
          <w:bCs/>
        </w:rPr>
      </w:pPr>
      <w:r>
        <w:rPr>
          <w:rFonts w:eastAsia="黑体" w:cs="Times New Roman"/>
          <w:bCs/>
        </w:rPr>
        <w:t xml:space="preserve">Lu Q, </w:t>
      </w:r>
      <w:r>
        <w:rPr>
          <w:rFonts w:eastAsia="黑体" w:cs="Times New Roman"/>
          <w:b/>
        </w:rPr>
        <w:t>Gao Q</w:t>
      </w:r>
      <w:r>
        <w:rPr>
          <w:rFonts w:eastAsia="黑体" w:cs="Times New Roman"/>
          <w:bCs/>
        </w:rPr>
        <w:t>, Li J, et al. Distributed cyber-physical intrusion detection using stacking learning for wide-area protection system[J]. Computer Communications, 2024, 215: 91-102.</w:t>
      </w:r>
      <w:r>
        <w:rPr>
          <w:rFonts w:hint="eastAsia" w:cs="Times New Roman"/>
          <w:bCs/>
        </w:rPr>
        <w:t>（已见刊，SCI期刊）</w:t>
      </w:r>
    </w:p>
    <w:p w14:paraId="327E8F6E">
      <w:pPr>
        <w:spacing w:line="370" w:lineRule="exact"/>
        <w:ind w:left="480"/>
        <w:rPr>
          <w:rFonts w:eastAsia="黑体" w:cs="Times New Roman"/>
          <w:bCs/>
        </w:rPr>
      </w:pPr>
    </w:p>
    <w:p w14:paraId="3C513ED6">
      <w:pPr>
        <w:spacing w:line="400" w:lineRule="exact"/>
        <w:rPr>
          <w:rFonts w:eastAsia="黑体" w:cs="Times New Roman"/>
        </w:rPr>
      </w:pPr>
      <w:r>
        <w:rPr>
          <w:rFonts w:eastAsia="黑体" w:cs="Times New Roman"/>
        </w:rPr>
        <w:t>专利：</w:t>
      </w:r>
    </w:p>
    <w:p w14:paraId="13E46359">
      <w:pPr>
        <w:widowControl/>
        <w:numPr>
          <w:ilvl w:val="0"/>
          <w:numId w:val="4"/>
        </w:numPr>
        <w:spacing w:line="400" w:lineRule="exact"/>
        <w:rPr>
          <w:rFonts w:eastAsia="宋体" w:cs="Times New Roman"/>
          <w:bCs/>
        </w:rPr>
      </w:pPr>
      <w:r>
        <w:rPr>
          <w:rFonts w:hint="eastAsia" w:eastAsia="宋体" w:cs="Times New Roman"/>
          <w:bCs/>
        </w:rPr>
        <w:t>马子玉，陆秋余，李俊娥，钟旭，</w:t>
      </w:r>
      <w:r>
        <w:rPr>
          <w:rFonts w:hint="eastAsia" w:eastAsia="宋体" w:cs="Times New Roman"/>
          <w:b/>
        </w:rPr>
        <w:t>高齐泽</w:t>
      </w:r>
      <w:r>
        <w:rPr>
          <w:rFonts w:hint="eastAsia" w:eastAsia="宋体" w:cs="Times New Roman"/>
          <w:bCs/>
        </w:rPr>
        <w:t>等.</w:t>
      </w:r>
      <w:r>
        <w:rPr>
          <w:rFonts w:eastAsia="宋体" w:cs="Times New Roman"/>
          <w:bCs/>
        </w:rPr>
        <w:t xml:space="preserve"> </w:t>
      </w:r>
      <w:r>
        <w:rPr>
          <w:rFonts w:eastAsia="宋体" w:cs="Times New Roman"/>
        </w:rPr>
        <w:t>基于主题相关性的电力系统威胁情报收集方法及系统</w:t>
      </w:r>
      <w:r>
        <w:rPr>
          <w:rFonts w:hint="eastAsia" w:eastAsia="宋体" w:cs="Times New Roman"/>
        </w:rPr>
        <w:t>,</w:t>
      </w:r>
      <w:r>
        <w:rPr>
          <w:rFonts w:eastAsia="宋体" w:cs="Times New Roman"/>
          <w:bCs/>
        </w:rPr>
        <w:t xml:space="preserve"> 202</w:t>
      </w:r>
      <w:r>
        <w:rPr>
          <w:rFonts w:hint="eastAsia" w:eastAsia="宋体" w:cs="Times New Roman"/>
          <w:bCs/>
        </w:rPr>
        <w:t>5</w:t>
      </w:r>
      <w:r>
        <w:rPr>
          <w:rFonts w:eastAsia="宋体" w:cs="Times New Roman"/>
          <w:bCs/>
        </w:rPr>
        <w:t>.</w:t>
      </w:r>
      <w:r>
        <w:rPr>
          <w:rFonts w:hint="eastAsia" w:eastAsia="宋体" w:cs="Times New Roman"/>
          <w:bCs/>
        </w:rPr>
        <w:t>06</w:t>
      </w:r>
      <w:r>
        <w:rPr>
          <w:rFonts w:eastAsia="宋体" w:cs="Times New Roman"/>
          <w:bCs/>
        </w:rPr>
        <w:t>.0</w:t>
      </w:r>
      <w:r>
        <w:rPr>
          <w:rFonts w:hint="eastAsia" w:eastAsia="宋体" w:cs="Times New Roman"/>
          <w:bCs/>
        </w:rPr>
        <w:t>6</w:t>
      </w:r>
      <w:r>
        <w:rPr>
          <w:rFonts w:eastAsia="宋体" w:cs="Times New Roman"/>
          <w:bCs/>
        </w:rPr>
        <w:t xml:space="preserve">, </w:t>
      </w:r>
      <w:r>
        <w:rPr>
          <w:rFonts w:hint="eastAsia" w:eastAsia="宋体" w:cs="Times New Roman"/>
          <w:bCs/>
        </w:rPr>
        <w:t>中国,</w:t>
      </w:r>
      <w:r>
        <w:rPr>
          <w:rFonts w:eastAsia="宋体" w:cs="Times New Roman"/>
          <w:bCs/>
        </w:rPr>
        <w:t xml:space="preserve"> CN120633668A.</w:t>
      </w:r>
      <w:r>
        <w:rPr>
          <w:rFonts w:hint="eastAsia" w:eastAsia="宋体" w:cs="Times New Roman"/>
          <w:bCs/>
        </w:rPr>
        <w:t>（已受理，实质审查中）</w:t>
      </w:r>
    </w:p>
    <w:p w14:paraId="3BC40B60">
      <w:pPr>
        <w:widowControl/>
        <w:numPr>
          <w:ilvl w:val="0"/>
          <w:numId w:val="4"/>
        </w:numPr>
        <w:spacing w:line="400" w:lineRule="exact"/>
        <w:rPr>
          <w:rFonts w:eastAsia="宋体" w:cs="Times New Roman"/>
          <w:bCs/>
        </w:rPr>
      </w:pPr>
      <w:r>
        <w:rPr>
          <w:rFonts w:hint="eastAsia" w:eastAsia="宋体" w:cs="Times New Roman"/>
          <w:bCs/>
        </w:rPr>
        <w:t>马子玉，陆秋余，李俊娥，钟旭，</w:t>
      </w:r>
      <w:r>
        <w:rPr>
          <w:rFonts w:hint="eastAsia" w:eastAsia="宋体" w:cs="Times New Roman"/>
          <w:b/>
        </w:rPr>
        <w:t>高齐泽</w:t>
      </w:r>
      <w:r>
        <w:rPr>
          <w:rFonts w:hint="eastAsia" w:eastAsia="宋体" w:cs="Times New Roman"/>
          <w:bCs/>
        </w:rPr>
        <w:t>等.</w:t>
      </w:r>
      <w:r>
        <w:rPr>
          <w:rFonts w:eastAsia="宋体" w:cs="Times New Roman"/>
          <w:bCs/>
        </w:rPr>
        <w:t xml:space="preserve"> </w:t>
      </w:r>
      <w:r>
        <w:t>语义和句法融合的电力系统威胁实体关系提取方法及系统</w:t>
      </w:r>
      <w:r>
        <w:rPr>
          <w:rFonts w:hint="eastAsia"/>
        </w:rPr>
        <w:t>,</w:t>
      </w:r>
      <w:r>
        <w:rPr>
          <w:rFonts w:eastAsia="宋体" w:cs="Times New Roman"/>
          <w:bCs/>
        </w:rPr>
        <w:t xml:space="preserve"> 202</w:t>
      </w:r>
      <w:r>
        <w:rPr>
          <w:rFonts w:hint="eastAsia" w:eastAsia="宋体" w:cs="Times New Roman"/>
          <w:bCs/>
        </w:rPr>
        <w:t>5</w:t>
      </w:r>
      <w:r>
        <w:rPr>
          <w:rFonts w:eastAsia="宋体" w:cs="Times New Roman"/>
          <w:bCs/>
        </w:rPr>
        <w:t>.</w:t>
      </w:r>
      <w:r>
        <w:rPr>
          <w:rFonts w:hint="eastAsia" w:eastAsia="宋体" w:cs="Times New Roman"/>
          <w:bCs/>
        </w:rPr>
        <w:t>06</w:t>
      </w:r>
      <w:r>
        <w:rPr>
          <w:rFonts w:eastAsia="宋体" w:cs="Times New Roman"/>
          <w:bCs/>
        </w:rPr>
        <w:t>.0</w:t>
      </w:r>
      <w:r>
        <w:rPr>
          <w:rFonts w:hint="eastAsia" w:eastAsia="宋体" w:cs="Times New Roman"/>
          <w:bCs/>
        </w:rPr>
        <w:t>6</w:t>
      </w:r>
      <w:r>
        <w:rPr>
          <w:rFonts w:eastAsia="宋体" w:cs="Times New Roman"/>
          <w:bCs/>
        </w:rPr>
        <w:t xml:space="preserve">, </w:t>
      </w:r>
      <w:r>
        <w:rPr>
          <w:rFonts w:hint="eastAsia" w:eastAsia="宋体" w:cs="Times New Roman"/>
          <w:bCs/>
        </w:rPr>
        <w:t>中国,</w:t>
      </w:r>
      <w:r>
        <w:rPr>
          <w:rFonts w:eastAsia="宋体" w:cs="Times New Roman"/>
          <w:bCs/>
        </w:rPr>
        <w:t xml:space="preserve"> CN120633644A.</w:t>
      </w:r>
      <w:r>
        <w:rPr>
          <w:rFonts w:hint="eastAsia" w:eastAsia="宋体" w:cs="Times New Roman"/>
          <w:bCs/>
        </w:rPr>
        <w:t>（已受理，实质审查中）</w:t>
      </w:r>
    </w:p>
    <w:p w14:paraId="6AF524A2">
      <w:pPr>
        <w:widowControl/>
        <w:numPr>
          <w:ilvl w:val="0"/>
          <w:numId w:val="4"/>
        </w:numPr>
        <w:spacing w:line="400" w:lineRule="exact"/>
        <w:ind w:left="896" w:hanging="442"/>
        <w:rPr>
          <w:rFonts w:eastAsia="宋体" w:cs="Times New Roman"/>
          <w:bCs/>
        </w:rPr>
      </w:pPr>
      <w:r>
        <w:rPr>
          <w:rFonts w:hint="eastAsia" w:eastAsia="宋体" w:cs="Times New Roman"/>
          <w:bCs/>
        </w:rPr>
        <w:t>马子玉，陆秋余，李俊娥，钟旭，</w:t>
      </w:r>
      <w:r>
        <w:rPr>
          <w:rFonts w:hint="eastAsia" w:eastAsia="宋体" w:cs="Times New Roman"/>
          <w:b/>
        </w:rPr>
        <w:t>高齐泽</w:t>
      </w:r>
      <w:r>
        <w:rPr>
          <w:rFonts w:hint="eastAsia" w:eastAsia="宋体" w:cs="Times New Roman"/>
          <w:bCs/>
        </w:rPr>
        <w:t>等</w:t>
      </w:r>
      <w:r>
        <w:rPr>
          <w:rFonts w:hint="eastAsia"/>
        </w:rPr>
        <w:t>.</w:t>
      </w:r>
      <w:r>
        <w:t xml:space="preserve"> 结合领域知识的新型电力系统威胁实体识别方法及系统</w:t>
      </w:r>
      <w:r>
        <w:rPr>
          <w:rFonts w:hint="eastAsia"/>
        </w:rPr>
        <w:t>,</w:t>
      </w:r>
      <w:r>
        <w:t xml:space="preserve"> 202</w:t>
      </w:r>
      <w:r>
        <w:rPr>
          <w:rFonts w:hint="eastAsia"/>
        </w:rPr>
        <w:t>5</w:t>
      </w:r>
      <w:r>
        <w:t>.</w:t>
      </w:r>
      <w:r>
        <w:rPr>
          <w:rFonts w:hint="eastAsia"/>
        </w:rPr>
        <w:t>06</w:t>
      </w:r>
      <w:r>
        <w:t>.0</w:t>
      </w:r>
      <w:r>
        <w:rPr>
          <w:rFonts w:hint="eastAsia"/>
        </w:rPr>
        <w:t>6</w:t>
      </w:r>
      <w:r>
        <w:t xml:space="preserve">, </w:t>
      </w:r>
      <w:r>
        <w:rPr>
          <w:rFonts w:hint="eastAsia"/>
        </w:rPr>
        <w:t>中国,</w:t>
      </w:r>
      <w:r>
        <w:t xml:space="preserve"> CN120633657A.</w:t>
      </w:r>
      <w:r>
        <w:rPr>
          <w:rFonts w:hint="eastAsia"/>
        </w:rPr>
        <w:t>（已受理，实质审查中）</w:t>
      </w:r>
    </w:p>
    <w:p w14:paraId="598B54FC">
      <w:pPr>
        <w:spacing w:line="370" w:lineRule="exact"/>
        <w:rPr>
          <w:rFonts w:eastAsia="黑体" w:cs="Times New Roman"/>
        </w:rPr>
      </w:pPr>
    </w:p>
    <w:p w14:paraId="51482462">
      <w:pPr>
        <w:spacing w:line="400" w:lineRule="exact"/>
        <w:rPr>
          <w:rFonts w:eastAsia="黑体" w:cs="Times New Roman"/>
        </w:rPr>
      </w:pPr>
      <w:r>
        <w:rPr>
          <w:rFonts w:eastAsia="黑体" w:cs="Times New Roman"/>
        </w:rPr>
        <w:t>参与的科研项目：</w:t>
      </w:r>
    </w:p>
    <w:p w14:paraId="57A89F76">
      <w:pPr>
        <w:pStyle w:val="30"/>
        <w:numPr>
          <w:ilvl w:val="0"/>
          <w:numId w:val="5"/>
        </w:numPr>
        <w:spacing w:line="400" w:lineRule="exact"/>
        <w:ind w:firstLineChars="0"/>
        <w:rPr>
          <w:rFonts w:eastAsia="宋体" w:cs="Times New Roman"/>
        </w:rPr>
      </w:pPr>
      <w:r>
        <w:rPr>
          <w:rFonts w:cs="Times New Roman"/>
        </w:rPr>
        <w:t xml:space="preserve">国家自然科学基金项目, 新型电力系统中信息-物理-社会协同APT的检测与狩猎方法研究, </w:t>
      </w:r>
      <w:r>
        <w:rPr>
          <w:rFonts w:hint="eastAsia" w:cs="Times New Roman"/>
        </w:rPr>
        <w:t>2</w:t>
      </w:r>
      <w:r>
        <w:rPr>
          <w:rFonts w:cs="Times New Roman"/>
        </w:rPr>
        <w:t>025/01-2028/12</w:t>
      </w:r>
      <w:r>
        <w:rPr>
          <w:rFonts w:hint="eastAsia" w:cs="Times New Roman"/>
        </w:rPr>
        <w:t>.</w:t>
      </w:r>
    </w:p>
    <w:p w14:paraId="7AFA663A">
      <w:pPr>
        <w:pStyle w:val="30"/>
        <w:numPr>
          <w:ilvl w:val="0"/>
          <w:numId w:val="5"/>
        </w:numPr>
        <w:spacing w:line="400" w:lineRule="exact"/>
        <w:ind w:firstLineChars="0"/>
        <w:rPr>
          <w:rFonts w:eastAsia="宋体" w:cs="Times New Roman"/>
        </w:rPr>
      </w:pPr>
      <w:r>
        <w:rPr>
          <w:rFonts w:hint="eastAsia" w:eastAsia="宋体" w:cs="Times New Roman"/>
        </w:rPr>
        <w:t>南方电网贵州省电力调度控制中心科技项目，数字空域安全管控技术，2024/03-2027/03.</w:t>
      </w:r>
    </w:p>
    <w:p w14:paraId="7330C2A4">
      <w:pPr>
        <w:pStyle w:val="30"/>
        <w:numPr>
          <w:ilvl w:val="0"/>
          <w:numId w:val="5"/>
        </w:numPr>
        <w:spacing w:line="400" w:lineRule="exact"/>
        <w:ind w:firstLineChars="0"/>
        <w:rPr>
          <w:rFonts w:eastAsia="宋体" w:cs="Times New Roman"/>
        </w:rPr>
      </w:pPr>
      <w:r>
        <w:rPr>
          <w:rFonts w:hint="eastAsia" w:eastAsia="宋体" w:cs="Times New Roman"/>
        </w:rPr>
        <w:t>国家电网江苏省电力有限公司电力科学院委托项目</w:t>
      </w:r>
      <w:r>
        <w:rPr>
          <w:rFonts w:cs="Times New Roman"/>
        </w:rPr>
        <w:t>, 电力近场网络与边端设备漏洞挖掘及安全评估关键技术研究, 2024/01-2025/12.</w:t>
      </w:r>
    </w:p>
    <w:p w14:paraId="30A80C48">
      <w:pPr>
        <w:pStyle w:val="30"/>
        <w:numPr>
          <w:ilvl w:val="0"/>
          <w:numId w:val="6"/>
        </w:numPr>
        <w:spacing w:line="400" w:lineRule="exact"/>
        <w:ind w:left="0" w:firstLine="426" w:firstLineChars="0"/>
        <w:rPr>
          <w:rFonts w:cs="Times New Roman"/>
        </w:rPr>
      </w:pPr>
      <w:r>
        <w:br w:type="page"/>
      </w:r>
    </w:p>
    <w:p w14:paraId="39EC05FD">
      <w:pPr>
        <w:pStyle w:val="2"/>
      </w:pPr>
      <w:bookmarkStart w:id="230" w:name="_Toc230086410"/>
      <w:bookmarkStart w:id="231" w:name="_Toc226830436"/>
      <w:r>
        <w:rPr>
          <w:rFonts w:hint="eastAsia"/>
        </w:rPr>
        <w:t>致谢</w:t>
      </w:r>
      <w:bookmarkEnd w:id="230"/>
      <w:bookmarkEnd w:id="231"/>
    </w:p>
    <w:p w14:paraId="2EAEA0F7">
      <w:pPr>
        <w:ind w:firstLine="480" w:firstLineChars="200"/>
        <w:rPr>
          <w:szCs w:val="24"/>
        </w:rPr>
      </w:pPr>
      <w:r>
        <w:rPr>
          <w:rFonts w:hint="eastAsia"/>
          <w:szCs w:val="24"/>
        </w:rPr>
        <w:t>行文至此，感慨万千。三年的硕士生涯即将迎来尾声，在这三年中，有太多令我难以忘却的记忆。闭上眼，一幕幕仿佛电影放映般从我脑海中浮现而过。三年很短，即将结束；三年很长，长到我未曾意识到竟能有若此多的经历与回忆。</w:t>
      </w:r>
    </w:p>
    <w:p w14:paraId="7C61E657">
      <w:pPr>
        <w:ind w:firstLine="480" w:firstLineChars="200"/>
        <w:rPr>
          <w:szCs w:val="24"/>
        </w:rPr>
      </w:pPr>
      <w:r>
        <w:rPr>
          <w:rFonts w:hint="eastAsia"/>
          <w:szCs w:val="24"/>
        </w:rPr>
        <w:t>首先，感谢我的导师李俊娥教授。您在科研及学习上给予了我很多的指导，您的循循善诱、耐心指导使我的学术科研水平有了很大的提升，在文字写作方面也使我进步很大。我想数年后工作的时候，我仍会想起您的教诲，也会时常想起这些能力均来自读研时所学。</w:t>
      </w:r>
    </w:p>
    <w:p w14:paraId="52CE83CD">
      <w:pPr>
        <w:ind w:firstLine="480" w:firstLineChars="200"/>
        <w:rPr>
          <w:szCs w:val="24"/>
        </w:rPr>
      </w:pPr>
      <w:r>
        <w:rPr>
          <w:rFonts w:hint="eastAsia"/>
          <w:szCs w:val="24"/>
        </w:rPr>
        <w:t>然后，感谢我的师姐陆秋余。师姐给予了我毕业论文及其他科研工作极大的支持与指导，在此衷心地表达我的感谢。</w:t>
      </w:r>
    </w:p>
    <w:p w14:paraId="57A33466">
      <w:pPr>
        <w:ind w:firstLine="480" w:firstLineChars="200"/>
        <w:rPr>
          <w:szCs w:val="24"/>
        </w:rPr>
      </w:pPr>
      <w:r>
        <w:rPr>
          <w:rFonts w:hint="eastAsia"/>
          <w:szCs w:val="24"/>
        </w:rPr>
        <w:t>其次，感谢A413全体家人们。咸宁温泉、团建基地、胖胖牛骨头、欢乐谷，很多地方都留下了我们最美好的回忆，我们每天一起吃饭、一起学习，我们无所不谈。你们在我有压力的时候缓解了我的压力与焦虑，你们是我最好的朋友，也是我最好的回忆。</w:t>
      </w:r>
    </w:p>
    <w:p w14:paraId="2B1E2099">
      <w:pPr>
        <w:ind w:firstLine="480" w:firstLineChars="200"/>
        <w:rPr>
          <w:szCs w:val="24"/>
        </w:rPr>
      </w:pPr>
      <w:r>
        <w:rPr>
          <w:rFonts w:hint="eastAsia"/>
          <w:szCs w:val="24"/>
        </w:rPr>
        <w:t>接着，感谢我的父母。感谢他们一直以来给予我的支持，在我失落沮丧的时候鼓励我，在我成功的时候为我高兴。若没有你们，便不会有今天的我。</w:t>
      </w:r>
    </w:p>
    <w:p w14:paraId="3DD54481">
      <w:pPr>
        <w:ind w:firstLine="480" w:firstLineChars="200"/>
        <w:rPr>
          <w:szCs w:val="24"/>
        </w:rPr>
      </w:pPr>
      <w:r>
        <w:rPr>
          <w:rFonts w:hint="eastAsia"/>
          <w:szCs w:val="24"/>
        </w:rPr>
        <w:t>最后，感谢自己。感谢那个永不言弃，一直在努力的自己。</w:t>
      </w:r>
    </w:p>
    <w:p w14:paraId="39B1E82C">
      <w:pPr>
        <w:ind w:firstLine="480" w:firstLineChars="200"/>
        <w:rPr>
          <w:szCs w:val="24"/>
        </w:rPr>
      </w:pPr>
      <w:r>
        <w:rPr>
          <w:rFonts w:hint="eastAsia"/>
          <w:szCs w:val="24"/>
        </w:rPr>
        <w:t>山水一程，山高路远。新的阶段即将开始，愿我们都能有锦绣前程。也希望再回首时，我们仍是最好的朋友，我仍是网安基地的那个少年。</w:t>
      </w:r>
    </w:p>
    <w:p w14:paraId="394A94EC">
      <w:pPr>
        <w:pStyle w:val="2"/>
        <w:rPr>
          <w:rFonts w:eastAsia="宋体"/>
        </w:rPr>
      </w:pPr>
    </w:p>
    <w:sectPr>
      <w:footerReference r:id="rId15" w:type="default"/>
      <w:footerReference r:id="rId16"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A7C48">
    <w:pPr>
      <w:pStyle w:val="12"/>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DB757">
    <w:pPr>
      <w:pStyle w:val="12"/>
      <w:jc w:val="center"/>
      <w:rPr>
        <w:rFonts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CC7F9">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14869">
    <w:pPr>
      <w:pStyle w:val="12"/>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1</w:t>
    </w:r>
    <w:r>
      <w:rPr>
        <w:rFonts w:cs="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16EEB">
    <w:pPr>
      <w:pStyle w:val="12"/>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1</w:t>
    </w:r>
    <w:r>
      <w:rPr>
        <w:rFonts w:cs="Times New Roma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AB19B">
    <w:pPr>
      <w:pStyle w:val="12"/>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1</w:t>
    </w:r>
    <w:r>
      <w:rPr>
        <w:rFonts w:cs="Times New Roman"/>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437EA">
    <w:pPr>
      <w:pStyle w:val="12"/>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1</w:t>
    </w:r>
    <w:r>
      <w:rPr>
        <w:rFonts w:cs="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6AC4E">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F2F69">
    <w:pPr>
      <w:pStyle w:val="13"/>
      <w:pBdr>
        <w:bottom w:val="none" w:color="auto" w:sz="0" w:space="0"/>
      </w:pBdr>
      <w:rPr>
        <w:rFonts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DA081">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2B068">
    <w:pPr>
      <w:pStyle w:val="13"/>
    </w:pPr>
    <w:r>
      <w:rPr>
        <w:rFonts w:cs="Times New Roman"/>
      </w:rPr>
      <w:t>结合大模型和预测型强化学习的新型电力系统APT检测方法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0D240">
    <w:pPr>
      <w:pStyle w:val="13"/>
      <w:rPr>
        <w:rFonts w:cs="Times New Roman"/>
      </w:rPr>
    </w:pPr>
    <w:r>
      <w:rPr>
        <w:rFonts w:hint="eastAsia" w:cs="Times New Roman"/>
      </w:rPr>
      <w:t>武汉大学硕士学位论文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26BA1"/>
    <w:multiLevelType w:val="multilevel"/>
    <w:tmpl w:val="04F26BA1"/>
    <w:lvl w:ilvl="0" w:tentative="0">
      <w:start w:val="1"/>
      <w:numFmt w:val="chineseCountingThousand"/>
      <w:suff w:val="space"/>
      <w:lvlText w:val="第%1章"/>
      <w:lvlJc w:val="left"/>
      <w:pPr>
        <w:ind w:left="0" w:firstLine="0"/>
      </w:pPr>
      <w:rPr>
        <w:rFonts w:hint="eastAsia" w:eastAsia="黑体"/>
        <w:b w:val="0"/>
        <w:i w:val="0"/>
        <w:sz w:val="44"/>
      </w:rPr>
    </w:lvl>
    <w:lvl w:ilvl="1" w:tentative="0">
      <w:start w:val="1"/>
      <w:numFmt w:val="decimal"/>
      <w:isLgl/>
      <w:suff w:val="space"/>
      <w:lvlText w:val="%2"/>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rPr>
    </w:lvl>
    <w:lvl w:ilvl="2" w:tentative="0">
      <w:start w:val="1"/>
      <w:numFmt w:val="decimal"/>
      <w:isLgl/>
      <w:suff w:val="space"/>
      <w:lvlText w:val="%1.%2.%3"/>
      <w:lvlJc w:val="left"/>
      <w:pPr>
        <w:ind w:left="0" w:firstLine="0"/>
      </w:pPr>
      <w:rPr>
        <w:rFonts w:hint="eastAsia"/>
      </w:rPr>
    </w:lvl>
    <w:lvl w:ilvl="3" w:tentative="0">
      <w:start w:val="1"/>
      <w:numFmt w:val="decimal"/>
      <w:pStyle w:val="5"/>
      <w:isLgl/>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FF60D20"/>
    <w:multiLevelType w:val="multilevel"/>
    <w:tmpl w:val="0FF60D20"/>
    <w:lvl w:ilvl="0" w:tentative="0">
      <w:start w:val="1"/>
      <w:numFmt w:val="decimal"/>
      <w:lvlText w:val="[%1]"/>
      <w:lvlJc w:val="left"/>
      <w:pPr>
        <w:ind w:left="894" w:hanging="440"/>
      </w:pPr>
    </w:lvl>
    <w:lvl w:ilvl="1" w:tentative="0">
      <w:start w:val="1"/>
      <w:numFmt w:val="lowerLetter"/>
      <w:lvlText w:val="%2)"/>
      <w:lvlJc w:val="left"/>
      <w:pPr>
        <w:ind w:left="1334" w:hanging="440"/>
      </w:pPr>
    </w:lvl>
    <w:lvl w:ilvl="2" w:tentative="0">
      <w:start w:val="1"/>
      <w:numFmt w:val="lowerRoman"/>
      <w:lvlText w:val="%3."/>
      <w:lvlJc w:val="right"/>
      <w:pPr>
        <w:ind w:left="1774" w:hanging="440"/>
      </w:pPr>
    </w:lvl>
    <w:lvl w:ilvl="3" w:tentative="0">
      <w:start w:val="1"/>
      <w:numFmt w:val="decimal"/>
      <w:lvlText w:val="%4."/>
      <w:lvlJc w:val="left"/>
      <w:pPr>
        <w:ind w:left="2214" w:hanging="440"/>
      </w:pPr>
    </w:lvl>
    <w:lvl w:ilvl="4" w:tentative="0">
      <w:start w:val="1"/>
      <w:numFmt w:val="lowerLetter"/>
      <w:lvlText w:val="%5)"/>
      <w:lvlJc w:val="left"/>
      <w:pPr>
        <w:ind w:left="2654" w:hanging="440"/>
      </w:pPr>
    </w:lvl>
    <w:lvl w:ilvl="5" w:tentative="0">
      <w:start w:val="1"/>
      <w:numFmt w:val="lowerRoman"/>
      <w:lvlText w:val="%6."/>
      <w:lvlJc w:val="right"/>
      <w:pPr>
        <w:ind w:left="3094" w:hanging="440"/>
      </w:pPr>
    </w:lvl>
    <w:lvl w:ilvl="6" w:tentative="0">
      <w:start w:val="1"/>
      <w:numFmt w:val="decimal"/>
      <w:lvlText w:val="%7."/>
      <w:lvlJc w:val="left"/>
      <w:pPr>
        <w:ind w:left="3534" w:hanging="440"/>
      </w:pPr>
    </w:lvl>
    <w:lvl w:ilvl="7" w:tentative="0">
      <w:start w:val="1"/>
      <w:numFmt w:val="lowerLetter"/>
      <w:lvlText w:val="%8)"/>
      <w:lvlJc w:val="left"/>
      <w:pPr>
        <w:ind w:left="3974" w:hanging="440"/>
      </w:pPr>
    </w:lvl>
    <w:lvl w:ilvl="8" w:tentative="0">
      <w:start w:val="1"/>
      <w:numFmt w:val="lowerRoman"/>
      <w:lvlText w:val="%9."/>
      <w:lvlJc w:val="right"/>
      <w:pPr>
        <w:ind w:left="4414" w:hanging="440"/>
      </w:pPr>
    </w:lvl>
  </w:abstractNum>
  <w:abstractNum w:abstractNumId="2">
    <w:nsid w:val="49F20CF0"/>
    <w:multiLevelType w:val="multilevel"/>
    <w:tmpl w:val="49F20CF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1C06CE9"/>
    <w:multiLevelType w:val="multilevel"/>
    <w:tmpl w:val="51C06CE9"/>
    <w:lvl w:ilvl="0" w:tentative="0">
      <w:start w:val="1"/>
      <w:numFmt w:val="decimal"/>
      <w:lvlText w:val="[%1]"/>
      <w:lvlJc w:val="left"/>
      <w:pPr>
        <w:ind w:left="866" w:hanging="440"/>
      </w:pPr>
    </w:lvl>
    <w:lvl w:ilvl="1" w:tentative="0">
      <w:start w:val="1"/>
      <w:numFmt w:val="lowerLetter"/>
      <w:lvlText w:val="%2)"/>
      <w:lvlJc w:val="left"/>
      <w:pPr>
        <w:ind w:left="1306" w:hanging="440"/>
      </w:pPr>
    </w:lvl>
    <w:lvl w:ilvl="2" w:tentative="0">
      <w:start w:val="1"/>
      <w:numFmt w:val="lowerRoman"/>
      <w:lvlText w:val="%3."/>
      <w:lvlJc w:val="right"/>
      <w:pPr>
        <w:ind w:left="1746" w:hanging="440"/>
      </w:pPr>
    </w:lvl>
    <w:lvl w:ilvl="3" w:tentative="0">
      <w:start w:val="1"/>
      <w:numFmt w:val="decimal"/>
      <w:lvlText w:val="%4."/>
      <w:lvlJc w:val="left"/>
      <w:pPr>
        <w:ind w:left="2186" w:hanging="440"/>
      </w:pPr>
    </w:lvl>
    <w:lvl w:ilvl="4" w:tentative="0">
      <w:start w:val="1"/>
      <w:numFmt w:val="lowerLetter"/>
      <w:lvlText w:val="%5)"/>
      <w:lvlJc w:val="left"/>
      <w:pPr>
        <w:ind w:left="2626" w:hanging="440"/>
      </w:pPr>
    </w:lvl>
    <w:lvl w:ilvl="5" w:tentative="0">
      <w:start w:val="1"/>
      <w:numFmt w:val="lowerRoman"/>
      <w:lvlText w:val="%6."/>
      <w:lvlJc w:val="right"/>
      <w:pPr>
        <w:ind w:left="3066" w:hanging="440"/>
      </w:pPr>
    </w:lvl>
    <w:lvl w:ilvl="6" w:tentative="0">
      <w:start w:val="1"/>
      <w:numFmt w:val="decimal"/>
      <w:lvlText w:val="%7."/>
      <w:lvlJc w:val="left"/>
      <w:pPr>
        <w:ind w:left="3506" w:hanging="440"/>
      </w:pPr>
    </w:lvl>
    <w:lvl w:ilvl="7" w:tentative="0">
      <w:start w:val="1"/>
      <w:numFmt w:val="lowerLetter"/>
      <w:lvlText w:val="%8)"/>
      <w:lvlJc w:val="left"/>
      <w:pPr>
        <w:ind w:left="3946" w:hanging="440"/>
      </w:pPr>
    </w:lvl>
    <w:lvl w:ilvl="8" w:tentative="0">
      <w:start w:val="1"/>
      <w:numFmt w:val="lowerRoman"/>
      <w:lvlText w:val="%9."/>
      <w:lvlJc w:val="right"/>
      <w:pPr>
        <w:ind w:left="4386" w:hanging="440"/>
      </w:pPr>
    </w:lvl>
  </w:abstractNum>
  <w:abstractNum w:abstractNumId="4">
    <w:nsid w:val="590C5EAA"/>
    <w:multiLevelType w:val="multilevel"/>
    <w:tmpl w:val="590C5EA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75AF0AFF"/>
    <w:multiLevelType w:val="multilevel"/>
    <w:tmpl w:val="75AF0A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4"/>
  </w:num>
  <w:num w:numId="4">
    <w:abstractNumId w:val="1"/>
  </w:num>
  <w:num w:numId="5">
    <w:abstractNumId w:val="3"/>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0"/>
  <w:evenAndOddHeaders w:val="1"/>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D18"/>
    <w:rsid w:val="000001D8"/>
    <w:rsid w:val="0000021B"/>
    <w:rsid w:val="00000545"/>
    <w:rsid w:val="00000E00"/>
    <w:rsid w:val="00001065"/>
    <w:rsid w:val="000010BE"/>
    <w:rsid w:val="000010D7"/>
    <w:rsid w:val="000010EB"/>
    <w:rsid w:val="0000131C"/>
    <w:rsid w:val="00001514"/>
    <w:rsid w:val="0000167D"/>
    <w:rsid w:val="00001D97"/>
    <w:rsid w:val="00001DD6"/>
    <w:rsid w:val="00002341"/>
    <w:rsid w:val="00002407"/>
    <w:rsid w:val="00002797"/>
    <w:rsid w:val="00002F6C"/>
    <w:rsid w:val="000030F7"/>
    <w:rsid w:val="00003394"/>
    <w:rsid w:val="000035B3"/>
    <w:rsid w:val="000035E8"/>
    <w:rsid w:val="000036EB"/>
    <w:rsid w:val="0000374F"/>
    <w:rsid w:val="00003BF1"/>
    <w:rsid w:val="00003CD0"/>
    <w:rsid w:val="0000451B"/>
    <w:rsid w:val="00004982"/>
    <w:rsid w:val="00005237"/>
    <w:rsid w:val="00005E69"/>
    <w:rsid w:val="00006266"/>
    <w:rsid w:val="0000699B"/>
    <w:rsid w:val="00006EC4"/>
    <w:rsid w:val="000071F6"/>
    <w:rsid w:val="00007312"/>
    <w:rsid w:val="0000755E"/>
    <w:rsid w:val="000077A7"/>
    <w:rsid w:val="000077D9"/>
    <w:rsid w:val="00007BB3"/>
    <w:rsid w:val="00007C65"/>
    <w:rsid w:val="00010363"/>
    <w:rsid w:val="0001094E"/>
    <w:rsid w:val="00010F39"/>
    <w:rsid w:val="00010FF2"/>
    <w:rsid w:val="000111C4"/>
    <w:rsid w:val="00011361"/>
    <w:rsid w:val="00011913"/>
    <w:rsid w:val="00011AAB"/>
    <w:rsid w:val="00011AF9"/>
    <w:rsid w:val="00011DA6"/>
    <w:rsid w:val="0001246A"/>
    <w:rsid w:val="00012930"/>
    <w:rsid w:val="00012971"/>
    <w:rsid w:val="00012F0C"/>
    <w:rsid w:val="00013178"/>
    <w:rsid w:val="00013362"/>
    <w:rsid w:val="00013996"/>
    <w:rsid w:val="00013B3B"/>
    <w:rsid w:val="000141AD"/>
    <w:rsid w:val="000142DF"/>
    <w:rsid w:val="0001461B"/>
    <w:rsid w:val="0001529E"/>
    <w:rsid w:val="000154CF"/>
    <w:rsid w:val="00015802"/>
    <w:rsid w:val="000159FE"/>
    <w:rsid w:val="00016203"/>
    <w:rsid w:val="0001625C"/>
    <w:rsid w:val="00016342"/>
    <w:rsid w:val="0001671F"/>
    <w:rsid w:val="000174D7"/>
    <w:rsid w:val="00017C01"/>
    <w:rsid w:val="00017C56"/>
    <w:rsid w:val="00017CF4"/>
    <w:rsid w:val="000200EB"/>
    <w:rsid w:val="0002078E"/>
    <w:rsid w:val="00020B03"/>
    <w:rsid w:val="00020C39"/>
    <w:rsid w:val="00020D09"/>
    <w:rsid w:val="00021860"/>
    <w:rsid w:val="000220C5"/>
    <w:rsid w:val="000223E7"/>
    <w:rsid w:val="00022543"/>
    <w:rsid w:val="00022AAB"/>
    <w:rsid w:val="0002330D"/>
    <w:rsid w:val="00023679"/>
    <w:rsid w:val="00023682"/>
    <w:rsid w:val="0002384A"/>
    <w:rsid w:val="00023940"/>
    <w:rsid w:val="00023A2E"/>
    <w:rsid w:val="00023A72"/>
    <w:rsid w:val="000248D9"/>
    <w:rsid w:val="00024933"/>
    <w:rsid w:val="00024F5A"/>
    <w:rsid w:val="00025064"/>
    <w:rsid w:val="000252EF"/>
    <w:rsid w:val="0002571C"/>
    <w:rsid w:val="0002595A"/>
    <w:rsid w:val="00025DA4"/>
    <w:rsid w:val="0002639E"/>
    <w:rsid w:val="0002669F"/>
    <w:rsid w:val="00026816"/>
    <w:rsid w:val="00026B9C"/>
    <w:rsid w:val="0002737C"/>
    <w:rsid w:val="000275F4"/>
    <w:rsid w:val="000277D4"/>
    <w:rsid w:val="00027CE2"/>
    <w:rsid w:val="00027F9A"/>
    <w:rsid w:val="000303D3"/>
    <w:rsid w:val="00030558"/>
    <w:rsid w:val="00030559"/>
    <w:rsid w:val="00030578"/>
    <w:rsid w:val="00030FF2"/>
    <w:rsid w:val="00031320"/>
    <w:rsid w:val="0003192C"/>
    <w:rsid w:val="0003199F"/>
    <w:rsid w:val="000321C5"/>
    <w:rsid w:val="00032215"/>
    <w:rsid w:val="000327DF"/>
    <w:rsid w:val="00032BE0"/>
    <w:rsid w:val="0003335A"/>
    <w:rsid w:val="000333C2"/>
    <w:rsid w:val="000334C4"/>
    <w:rsid w:val="00033AFD"/>
    <w:rsid w:val="00033D05"/>
    <w:rsid w:val="00033E08"/>
    <w:rsid w:val="00033E96"/>
    <w:rsid w:val="0003413A"/>
    <w:rsid w:val="00034417"/>
    <w:rsid w:val="00034B4B"/>
    <w:rsid w:val="00035189"/>
    <w:rsid w:val="000352FE"/>
    <w:rsid w:val="00035891"/>
    <w:rsid w:val="00035BE2"/>
    <w:rsid w:val="00035C6B"/>
    <w:rsid w:val="00035E2B"/>
    <w:rsid w:val="00036115"/>
    <w:rsid w:val="000366B8"/>
    <w:rsid w:val="00036B5F"/>
    <w:rsid w:val="00036EAC"/>
    <w:rsid w:val="000370B0"/>
    <w:rsid w:val="000371EA"/>
    <w:rsid w:val="000372C7"/>
    <w:rsid w:val="00037964"/>
    <w:rsid w:val="00037A52"/>
    <w:rsid w:val="00040209"/>
    <w:rsid w:val="000402AC"/>
    <w:rsid w:val="00040389"/>
    <w:rsid w:val="00040B0D"/>
    <w:rsid w:val="00040D90"/>
    <w:rsid w:val="00040E0D"/>
    <w:rsid w:val="00040E50"/>
    <w:rsid w:val="00041180"/>
    <w:rsid w:val="00041334"/>
    <w:rsid w:val="00041488"/>
    <w:rsid w:val="000417D5"/>
    <w:rsid w:val="00041C51"/>
    <w:rsid w:val="00041FC4"/>
    <w:rsid w:val="00042471"/>
    <w:rsid w:val="00042933"/>
    <w:rsid w:val="00042B9A"/>
    <w:rsid w:val="00042EB5"/>
    <w:rsid w:val="00042F74"/>
    <w:rsid w:val="00043337"/>
    <w:rsid w:val="00043ADE"/>
    <w:rsid w:val="00043DE2"/>
    <w:rsid w:val="00043E9C"/>
    <w:rsid w:val="00043FD6"/>
    <w:rsid w:val="000441F1"/>
    <w:rsid w:val="00044AC0"/>
    <w:rsid w:val="00044B41"/>
    <w:rsid w:val="00044BCF"/>
    <w:rsid w:val="00045447"/>
    <w:rsid w:val="000454CF"/>
    <w:rsid w:val="00045501"/>
    <w:rsid w:val="0004559D"/>
    <w:rsid w:val="0004589C"/>
    <w:rsid w:val="00046AE1"/>
    <w:rsid w:val="00046BDB"/>
    <w:rsid w:val="00046D6B"/>
    <w:rsid w:val="00046DFA"/>
    <w:rsid w:val="00046E45"/>
    <w:rsid w:val="00046FB2"/>
    <w:rsid w:val="0004704E"/>
    <w:rsid w:val="00047ACF"/>
    <w:rsid w:val="00047C7C"/>
    <w:rsid w:val="00047CFB"/>
    <w:rsid w:val="00047E75"/>
    <w:rsid w:val="00047F86"/>
    <w:rsid w:val="00047FAE"/>
    <w:rsid w:val="00050023"/>
    <w:rsid w:val="00050BE6"/>
    <w:rsid w:val="00050F8F"/>
    <w:rsid w:val="000517CC"/>
    <w:rsid w:val="000518B3"/>
    <w:rsid w:val="00051A73"/>
    <w:rsid w:val="00051C15"/>
    <w:rsid w:val="00051D4F"/>
    <w:rsid w:val="00051F84"/>
    <w:rsid w:val="00051FFF"/>
    <w:rsid w:val="0005209F"/>
    <w:rsid w:val="0005217C"/>
    <w:rsid w:val="00053718"/>
    <w:rsid w:val="00054288"/>
    <w:rsid w:val="000545F1"/>
    <w:rsid w:val="00054B64"/>
    <w:rsid w:val="00054CB4"/>
    <w:rsid w:val="000556C6"/>
    <w:rsid w:val="00055722"/>
    <w:rsid w:val="000559CD"/>
    <w:rsid w:val="00055B34"/>
    <w:rsid w:val="00057302"/>
    <w:rsid w:val="000576CF"/>
    <w:rsid w:val="0005770B"/>
    <w:rsid w:val="00057A49"/>
    <w:rsid w:val="00057AC0"/>
    <w:rsid w:val="00057B8C"/>
    <w:rsid w:val="000600B8"/>
    <w:rsid w:val="00060123"/>
    <w:rsid w:val="0006056F"/>
    <w:rsid w:val="00060EF4"/>
    <w:rsid w:val="00061559"/>
    <w:rsid w:val="00061B64"/>
    <w:rsid w:val="00061C31"/>
    <w:rsid w:val="0006218B"/>
    <w:rsid w:val="000624FC"/>
    <w:rsid w:val="00062944"/>
    <w:rsid w:val="00063304"/>
    <w:rsid w:val="00063A15"/>
    <w:rsid w:val="00063A9D"/>
    <w:rsid w:val="00064666"/>
    <w:rsid w:val="00064951"/>
    <w:rsid w:val="000649CF"/>
    <w:rsid w:val="0006535F"/>
    <w:rsid w:val="000653D0"/>
    <w:rsid w:val="00065886"/>
    <w:rsid w:val="00065A19"/>
    <w:rsid w:val="00065C50"/>
    <w:rsid w:val="00065E3A"/>
    <w:rsid w:val="00065E6E"/>
    <w:rsid w:val="000660F8"/>
    <w:rsid w:val="00066A5D"/>
    <w:rsid w:val="00066B8B"/>
    <w:rsid w:val="00066C30"/>
    <w:rsid w:val="00066CCD"/>
    <w:rsid w:val="00066EAF"/>
    <w:rsid w:val="0006706A"/>
    <w:rsid w:val="000673CA"/>
    <w:rsid w:val="00067840"/>
    <w:rsid w:val="000678CF"/>
    <w:rsid w:val="00067956"/>
    <w:rsid w:val="00067AD8"/>
    <w:rsid w:val="00070204"/>
    <w:rsid w:val="00070410"/>
    <w:rsid w:val="0007081D"/>
    <w:rsid w:val="00070913"/>
    <w:rsid w:val="000709D4"/>
    <w:rsid w:val="000715FE"/>
    <w:rsid w:val="0007166B"/>
    <w:rsid w:val="00071795"/>
    <w:rsid w:val="000718EA"/>
    <w:rsid w:val="00071DD8"/>
    <w:rsid w:val="00071E67"/>
    <w:rsid w:val="00071F2D"/>
    <w:rsid w:val="00072110"/>
    <w:rsid w:val="0007228E"/>
    <w:rsid w:val="00072456"/>
    <w:rsid w:val="000728D7"/>
    <w:rsid w:val="00072965"/>
    <w:rsid w:val="00072A67"/>
    <w:rsid w:val="00072A80"/>
    <w:rsid w:val="0007361D"/>
    <w:rsid w:val="000736AA"/>
    <w:rsid w:val="00073CCB"/>
    <w:rsid w:val="00074226"/>
    <w:rsid w:val="0007485A"/>
    <w:rsid w:val="0007513F"/>
    <w:rsid w:val="00075546"/>
    <w:rsid w:val="00075A31"/>
    <w:rsid w:val="00076492"/>
    <w:rsid w:val="000767E1"/>
    <w:rsid w:val="00077030"/>
    <w:rsid w:val="00077280"/>
    <w:rsid w:val="000774B2"/>
    <w:rsid w:val="000777E7"/>
    <w:rsid w:val="00077C91"/>
    <w:rsid w:val="00077FC7"/>
    <w:rsid w:val="0008021B"/>
    <w:rsid w:val="00080588"/>
    <w:rsid w:val="000806A9"/>
    <w:rsid w:val="00080783"/>
    <w:rsid w:val="00080B82"/>
    <w:rsid w:val="00080BB1"/>
    <w:rsid w:val="00081035"/>
    <w:rsid w:val="000814A5"/>
    <w:rsid w:val="000814BA"/>
    <w:rsid w:val="00081A4E"/>
    <w:rsid w:val="000826E6"/>
    <w:rsid w:val="00082903"/>
    <w:rsid w:val="00083122"/>
    <w:rsid w:val="000831AE"/>
    <w:rsid w:val="00083262"/>
    <w:rsid w:val="0008385B"/>
    <w:rsid w:val="00083990"/>
    <w:rsid w:val="00083B57"/>
    <w:rsid w:val="000840FF"/>
    <w:rsid w:val="0008410C"/>
    <w:rsid w:val="0008422B"/>
    <w:rsid w:val="00084455"/>
    <w:rsid w:val="000845DD"/>
    <w:rsid w:val="00084999"/>
    <w:rsid w:val="00084E10"/>
    <w:rsid w:val="00084F73"/>
    <w:rsid w:val="00085063"/>
    <w:rsid w:val="00085CF1"/>
    <w:rsid w:val="00085F30"/>
    <w:rsid w:val="00085F93"/>
    <w:rsid w:val="00086104"/>
    <w:rsid w:val="0008634F"/>
    <w:rsid w:val="00086A50"/>
    <w:rsid w:val="00086AC5"/>
    <w:rsid w:val="00086C2D"/>
    <w:rsid w:val="000876DC"/>
    <w:rsid w:val="00087859"/>
    <w:rsid w:val="00087E5F"/>
    <w:rsid w:val="00087EAD"/>
    <w:rsid w:val="00087EE5"/>
    <w:rsid w:val="00087F94"/>
    <w:rsid w:val="00087FA6"/>
    <w:rsid w:val="00090C84"/>
    <w:rsid w:val="00091369"/>
    <w:rsid w:val="000918DB"/>
    <w:rsid w:val="00091A8D"/>
    <w:rsid w:val="00091C2B"/>
    <w:rsid w:val="00091C89"/>
    <w:rsid w:val="00091D67"/>
    <w:rsid w:val="00092117"/>
    <w:rsid w:val="00092A65"/>
    <w:rsid w:val="00092B23"/>
    <w:rsid w:val="00092D6A"/>
    <w:rsid w:val="00092F5E"/>
    <w:rsid w:val="000930D7"/>
    <w:rsid w:val="00093146"/>
    <w:rsid w:val="0009324A"/>
    <w:rsid w:val="00093B2E"/>
    <w:rsid w:val="00094228"/>
    <w:rsid w:val="00094587"/>
    <w:rsid w:val="00094953"/>
    <w:rsid w:val="0009504B"/>
    <w:rsid w:val="000953B8"/>
    <w:rsid w:val="0009600A"/>
    <w:rsid w:val="00096185"/>
    <w:rsid w:val="0009620B"/>
    <w:rsid w:val="00096257"/>
    <w:rsid w:val="00096450"/>
    <w:rsid w:val="0009663A"/>
    <w:rsid w:val="00096726"/>
    <w:rsid w:val="000968CE"/>
    <w:rsid w:val="00096B1A"/>
    <w:rsid w:val="000975B2"/>
    <w:rsid w:val="00097626"/>
    <w:rsid w:val="00097889"/>
    <w:rsid w:val="00097951"/>
    <w:rsid w:val="00097E79"/>
    <w:rsid w:val="00097EE4"/>
    <w:rsid w:val="000A0159"/>
    <w:rsid w:val="000A056C"/>
    <w:rsid w:val="000A057B"/>
    <w:rsid w:val="000A0621"/>
    <w:rsid w:val="000A0AD1"/>
    <w:rsid w:val="000A0D18"/>
    <w:rsid w:val="000A0D24"/>
    <w:rsid w:val="000A0F2F"/>
    <w:rsid w:val="000A1315"/>
    <w:rsid w:val="000A19D7"/>
    <w:rsid w:val="000A1BDD"/>
    <w:rsid w:val="000A1E41"/>
    <w:rsid w:val="000A1EBA"/>
    <w:rsid w:val="000A2040"/>
    <w:rsid w:val="000A265D"/>
    <w:rsid w:val="000A26D7"/>
    <w:rsid w:val="000A2896"/>
    <w:rsid w:val="000A2F21"/>
    <w:rsid w:val="000A312C"/>
    <w:rsid w:val="000A3597"/>
    <w:rsid w:val="000A3643"/>
    <w:rsid w:val="000A376C"/>
    <w:rsid w:val="000A3BD8"/>
    <w:rsid w:val="000A3CEA"/>
    <w:rsid w:val="000A435C"/>
    <w:rsid w:val="000A451C"/>
    <w:rsid w:val="000A45E2"/>
    <w:rsid w:val="000A4A4B"/>
    <w:rsid w:val="000A5361"/>
    <w:rsid w:val="000A5531"/>
    <w:rsid w:val="000A56A4"/>
    <w:rsid w:val="000A5886"/>
    <w:rsid w:val="000A5B16"/>
    <w:rsid w:val="000A5B48"/>
    <w:rsid w:val="000A5C81"/>
    <w:rsid w:val="000A655C"/>
    <w:rsid w:val="000A6C18"/>
    <w:rsid w:val="000A72E8"/>
    <w:rsid w:val="000A7A12"/>
    <w:rsid w:val="000A7C31"/>
    <w:rsid w:val="000B0530"/>
    <w:rsid w:val="000B0747"/>
    <w:rsid w:val="000B075E"/>
    <w:rsid w:val="000B0B46"/>
    <w:rsid w:val="000B105D"/>
    <w:rsid w:val="000B19BD"/>
    <w:rsid w:val="000B19C8"/>
    <w:rsid w:val="000B1A37"/>
    <w:rsid w:val="000B2587"/>
    <w:rsid w:val="000B2837"/>
    <w:rsid w:val="000B312C"/>
    <w:rsid w:val="000B313F"/>
    <w:rsid w:val="000B342F"/>
    <w:rsid w:val="000B34E4"/>
    <w:rsid w:val="000B3681"/>
    <w:rsid w:val="000B41F0"/>
    <w:rsid w:val="000B4421"/>
    <w:rsid w:val="000B44C3"/>
    <w:rsid w:val="000B4938"/>
    <w:rsid w:val="000B4BC3"/>
    <w:rsid w:val="000B5665"/>
    <w:rsid w:val="000B5754"/>
    <w:rsid w:val="000B5D75"/>
    <w:rsid w:val="000B5F44"/>
    <w:rsid w:val="000B5FD2"/>
    <w:rsid w:val="000B60B2"/>
    <w:rsid w:val="000B6103"/>
    <w:rsid w:val="000B641B"/>
    <w:rsid w:val="000B67FE"/>
    <w:rsid w:val="000B6F0B"/>
    <w:rsid w:val="000B6F1D"/>
    <w:rsid w:val="000B7203"/>
    <w:rsid w:val="000B733C"/>
    <w:rsid w:val="000B7659"/>
    <w:rsid w:val="000B7D9A"/>
    <w:rsid w:val="000B7E91"/>
    <w:rsid w:val="000C0061"/>
    <w:rsid w:val="000C01C6"/>
    <w:rsid w:val="000C022C"/>
    <w:rsid w:val="000C0927"/>
    <w:rsid w:val="000C11ED"/>
    <w:rsid w:val="000C13AE"/>
    <w:rsid w:val="000C1AFC"/>
    <w:rsid w:val="000C1BA2"/>
    <w:rsid w:val="000C1D7A"/>
    <w:rsid w:val="000C1DC3"/>
    <w:rsid w:val="000C1DFC"/>
    <w:rsid w:val="000C1E3D"/>
    <w:rsid w:val="000C27AC"/>
    <w:rsid w:val="000C306C"/>
    <w:rsid w:val="000C30A5"/>
    <w:rsid w:val="000C3154"/>
    <w:rsid w:val="000C371C"/>
    <w:rsid w:val="000C40FC"/>
    <w:rsid w:val="000C42AD"/>
    <w:rsid w:val="000C45AB"/>
    <w:rsid w:val="000C4C17"/>
    <w:rsid w:val="000C4D41"/>
    <w:rsid w:val="000C4DC6"/>
    <w:rsid w:val="000C524E"/>
    <w:rsid w:val="000C5858"/>
    <w:rsid w:val="000C5B7B"/>
    <w:rsid w:val="000C5B82"/>
    <w:rsid w:val="000C5FAE"/>
    <w:rsid w:val="000C6215"/>
    <w:rsid w:val="000C6A8A"/>
    <w:rsid w:val="000C743F"/>
    <w:rsid w:val="000C7B0F"/>
    <w:rsid w:val="000C7D83"/>
    <w:rsid w:val="000D0BE9"/>
    <w:rsid w:val="000D0E6B"/>
    <w:rsid w:val="000D1408"/>
    <w:rsid w:val="000D18C3"/>
    <w:rsid w:val="000D198F"/>
    <w:rsid w:val="000D1B47"/>
    <w:rsid w:val="000D1E8D"/>
    <w:rsid w:val="000D1ED8"/>
    <w:rsid w:val="000D2487"/>
    <w:rsid w:val="000D29CF"/>
    <w:rsid w:val="000D2BF0"/>
    <w:rsid w:val="000D2CD3"/>
    <w:rsid w:val="000D2E64"/>
    <w:rsid w:val="000D2E70"/>
    <w:rsid w:val="000D2EE5"/>
    <w:rsid w:val="000D2FE9"/>
    <w:rsid w:val="000D2FF0"/>
    <w:rsid w:val="000D31EC"/>
    <w:rsid w:val="000D32D5"/>
    <w:rsid w:val="000D336D"/>
    <w:rsid w:val="000D34D0"/>
    <w:rsid w:val="000D3EDA"/>
    <w:rsid w:val="000D4047"/>
    <w:rsid w:val="000D4DA3"/>
    <w:rsid w:val="000D4EB7"/>
    <w:rsid w:val="000D5166"/>
    <w:rsid w:val="000D5CEE"/>
    <w:rsid w:val="000D641C"/>
    <w:rsid w:val="000D6474"/>
    <w:rsid w:val="000D67FF"/>
    <w:rsid w:val="000D6964"/>
    <w:rsid w:val="000D6C6A"/>
    <w:rsid w:val="000D6FDB"/>
    <w:rsid w:val="000D7007"/>
    <w:rsid w:val="000D723C"/>
    <w:rsid w:val="000D7301"/>
    <w:rsid w:val="000D73CF"/>
    <w:rsid w:val="000D744A"/>
    <w:rsid w:val="000D74DB"/>
    <w:rsid w:val="000D7599"/>
    <w:rsid w:val="000D7B93"/>
    <w:rsid w:val="000E014F"/>
    <w:rsid w:val="000E048D"/>
    <w:rsid w:val="000E0679"/>
    <w:rsid w:val="000E09C4"/>
    <w:rsid w:val="000E0CFB"/>
    <w:rsid w:val="000E0EB8"/>
    <w:rsid w:val="000E1126"/>
    <w:rsid w:val="000E17D5"/>
    <w:rsid w:val="000E19CC"/>
    <w:rsid w:val="000E1FD9"/>
    <w:rsid w:val="000E21E9"/>
    <w:rsid w:val="000E249A"/>
    <w:rsid w:val="000E24F7"/>
    <w:rsid w:val="000E2991"/>
    <w:rsid w:val="000E2BE6"/>
    <w:rsid w:val="000E2F92"/>
    <w:rsid w:val="000E355D"/>
    <w:rsid w:val="000E35E8"/>
    <w:rsid w:val="000E3668"/>
    <w:rsid w:val="000E36D4"/>
    <w:rsid w:val="000E38DE"/>
    <w:rsid w:val="000E3DBF"/>
    <w:rsid w:val="000E4186"/>
    <w:rsid w:val="000E4500"/>
    <w:rsid w:val="000E4561"/>
    <w:rsid w:val="000E4BE6"/>
    <w:rsid w:val="000E4EBC"/>
    <w:rsid w:val="000E4F1E"/>
    <w:rsid w:val="000E51C6"/>
    <w:rsid w:val="000E5822"/>
    <w:rsid w:val="000E5B59"/>
    <w:rsid w:val="000E5B8E"/>
    <w:rsid w:val="000E5BF5"/>
    <w:rsid w:val="000E633B"/>
    <w:rsid w:val="000E6373"/>
    <w:rsid w:val="000E650C"/>
    <w:rsid w:val="000E68B5"/>
    <w:rsid w:val="000E6C43"/>
    <w:rsid w:val="000E70AB"/>
    <w:rsid w:val="000E721A"/>
    <w:rsid w:val="000E74E7"/>
    <w:rsid w:val="000E75E0"/>
    <w:rsid w:val="000E797A"/>
    <w:rsid w:val="000E7D86"/>
    <w:rsid w:val="000F0108"/>
    <w:rsid w:val="000F07AD"/>
    <w:rsid w:val="000F0A1D"/>
    <w:rsid w:val="000F0FF7"/>
    <w:rsid w:val="000F1069"/>
    <w:rsid w:val="000F10FA"/>
    <w:rsid w:val="000F1F7C"/>
    <w:rsid w:val="000F2B2C"/>
    <w:rsid w:val="000F3112"/>
    <w:rsid w:val="000F3371"/>
    <w:rsid w:val="000F347A"/>
    <w:rsid w:val="000F3763"/>
    <w:rsid w:val="000F394F"/>
    <w:rsid w:val="000F39CC"/>
    <w:rsid w:val="000F3E02"/>
    <w:rsid w:val="000F3F25"/>
    <w:rsid w:val="000F4017"/>
    <w:rsid w:val="000F43A0"/>
    <w:rsid w:val="000F43AD"/>
    <w:rsid w:val="000F4A31"/>
    <w:rsid w:val="000F4B5E"/>
    <w:rsid w:val="000F4C27"/>
    <w:rsid w:val="000F4FC8"/>
    <w:rsid w:val="000F50CF"/>
    <w:rsid w:val="000F5BE6"/>
    <w:rsid w:val="000F5EAE"/>
    <w:rsid w:val="000F6005"/>
    <w:rsid w:val="000F602B"/>
    <w:rsid w:val="000F610D"/>
    <w:rsid w:val="000F62CB"/>
    <w:rsid w:val="000F663A"/>
    <w:rsid w:val="000F66D2"/>
    <w:rsid w:val="000F67B1"/>
    <w:rsid w:val="000F6A5E"/>
    <w:rsid w:val="000F7264"/>
    <w:rsid w:val="000F7516"/>
    <w:rsid w:val="000F764A"/>
    <w:rsid w:val="000F7858"/>
    <w:rsid w:val="000F789C"/>
    <w:rsid w:val="000F7978"/>
    <w:rsid w:val="000F7D04"/>
    <w:rsid w:val="000F7EE4"/>
    <w:rsid w:val="001003C7"/>
    <w:rsid w:val="0010050B"/>
    <w:rsid w:val="00100897"/>
    <w:rsid w:val="00100F3B"/>
    <w:rsid w:val="00100FBE"/>
    <w:rsid w:val="00101649"/>
    <w:rsid w:val="00101805"/>
    <w:rsid w:val="00101F21"/>
    <w:rsid w:val="00101F77"/>
    <w:rsid w:val="00102150"/>
    <w:rsid w:val="00102209"/>
    <w:rsid w:val="001023C6"/>
    <w:rsid w:val="0010271A"/>
    <w:rsid w:val="001029EE"/>
    <w:rsid w:val="00102DE7"/>
    <w:rsid w:val="00103062"/>
    <w:rsid w:val="001038BC"/>
    <w:rsid w:val="00103E97"/>
    <w:rsid w:val="001046F1"/>
    <w:rsid w:val="0010472C"/>
    <w:rsid w:val="0010497E"/>
    <w:rsid w:val="00104D27"/>
    <w:rsid w:val="00105084"/>
    <w:rsid w:val="0010511F"/>
    <w:rsid w:val="001052D6"/>
    <w:rsid w:val="0010540D"/>
    <w:rsid w:val="0010556A"/>
    <w:rsid w:val="00105802"/>
    <w:rsid w:val="00105DB2"/>
    <w:rsid w:val="00105EED"/>
    <w:rsid w:val="00106182"/>
    <w:rsid w:val="001066E9"/>
    <w:rsid w:val="0010696E"/>
    <w:rsid w:val="00106A4B"/>
    <w:rsid w:val="00106F77"/>
    <w:rsid w:val="001070FB"/>
    <w:rsid w:val="00107382"/>
    <w:rsid w:val="00107C0A"/>
    <w:rsid w:val="001105A4"/>
    <w:rsid w:val="001105FD"/>
    <w:rsid w:val="001108CF"/>
    <w:rsid w:val="001109E9"/>
    <w:rsid w:val="001113E5"/>
    <w:rsid w:val="00111502"/>
    <w:rsid w:val="00111851"/>
    <w:rsid w:val="00111C1E"/>
    <w:rsid w:val="0011202C"/>
    <w:rsid w:val="0011263F"/>
    <w:rsid w:val="001127B9"/>
    <w:rsid w:val="001129BD"/>
    <w:rsid w:val="00112D7B"/>
    <w:rsid w:val="00112DCB"/>
    <w:rsid w:val="00112F47"/>
    <w:rsid w:val="00112FA5"/>
    <w:rsid w:val="0011334A"/>
    <w:rsid w:val="001134A4"/>
    <w:rsid w:val="00113795"/>
    <w:rsid w:val="001137F5"/>
    <w:rsid w:val="00113C14"/>
    <w:rsid w:val="0011408E"/>
    <w:rsid w:val="00114303"/>
    <w:rsid w:val="00114358"/>
    <w:rsid w:val="001144A2"/>
    <w:rsid w:val="00114981"/>
    <w:rsid w:val="0011499D"/>
    <w:rsid w:val="00114E34"/>
    <w:rsid w:val="00115038"/>
    <w:rsid w:val="0011510C"/>
    <w:rsid w:val="00115234"/>
    <w:rsid w:val="001159A8"/>
    <w:rsid w:val="00115D66"/>
    <w:rsid w:val="00115DAE"/>
    <w:rsid w:val="0011607E"/>
    <w:rsid w:val="001160DF"/>
    <w:rsid w:val="0011629F"/>
    <w:rsid w:val="00116C58"/>
    <w:rsid w:val="0011762C"/>
    <w:rsid w:val="001178F4"/>
    <w:rsid w:val="00117A18"/>
    <w:rsid w:val="001201E3"/>
    <w:rsid w:val="0012023D"/>
    <w:rsid w:val="00120A7A"/>
    <w:rsid w:val="0012103F"/>
    <w:rsid w:val="0012109E"/>
    <w:rsid w:val="0012111D"/>
    <w:rsid w:val="001213EC"/>
    <w:rsid w:val="0012144E"/>
    <w:rsid w:val="001220C1"/>
    <w:rsid w:val="001222E6"/>
    <w:rsid w:val="00122681"/>
    <w:rsid w:val="00122773"/>
    <w:rsid w:val="001227F2"/>
    <w:rsid w:val="00122CDE"/>
    <w:rsid w:val="00122DC4"/>
    <w:rsid w:val="00123023"/>
    <w:rsid w:val="0012338A"/>
    <w:rsid w:val="00123407"/>
    <w:rsid w:val="0012390E"/>
    <w:rsid w:val="0012396F"/>
    <w:rsid w:val="00123AD7"/>
    <w:rsid w:val="00123B71"/>
    <w:rsid w:val="00123DB0"/>
    <w:rsid w:val="00124196"/>
    <w:rsid w:val="001246B8"/>
    <w:rsid w:val="00124F4A"/>
    <w:rsid w:val="0012513C"/>
    <w:rsid w:val="00125E60"/>
    <w:rsid w:val="00125FC9"/>
    <w:rsid w:val="00126380"/>
    <w:rsid w:val="00126716"/>
    <w:rsid w:val="00126739"/>
    <w:rsid w:val="0012700C"/>
    <w:rsid w:val="00127030"/>
    <w:rsid w:val="001271B2"/>
    <w:rsid w:val="0012741B"/>
    <w:rsid w:val="00127436"/>
    <w:rsid w:val="001274D6"/>
    <w:rsid w:val="0012755F"/>
    <w:rsid w:val="00127911"/>
    <w:rsid w:val="00127C4D"/>
    <w:rsid w:val="00127D3A"/>
    <w:rsid w:val="0013050B"/>
    <w:rsid w:val="0013060E"/>
    <w:rsid w:val="001307A2"/>
    <w:rsid w:val="00130B15"/>
    <w:rsid w:val="00130C0A"/>
    <w:rsid w:val="00130F18"/>
    <w:rsid w:val="00131475"/>
    <w:rsid w:val="0013147A"/>
    <w:rsid w:val="001318BF"/>
    <w:rsid w:val="00131D18"/>
    <w:rsid w:val="00131E8B"/>
    <w:rsid w:val="00131E8D"/>
    <w:rsid w:val="00131EB3"/>
    <w:rsid w:val="00132138"/>
    <w:rsid w:val="00132146"/>
    <w:rsid w:val="0013256F"/>
    <w:rsid w:val="001326C0"/>
    <w:rsid w:val="001326F2"/>
    <w:rsid w:val="00132C9F"/>
    <w:rsid w:val="00132EC7"/>
    <w:rsid w:val="00133145"/>
    <w:rsid w:val="001331E9"/>
    <w:rsid w:val="0013349D"/>
    <w:rsid w:val="00133770"/>
    <w:rsid w:val="00133CA6"/>
    <w:rsid w:val="00133EE1"/>
    <w:rsid w:val="0013429A"/>
    <w:rsid w:val="0013482B"/>
    <w:rsid w:val="00134C50"/>
    <w:rsid w:val="00134CBB"/>
    <w:rsid w:val="001351C9"/>
    <w:rsid w:val="0013533A"/>
    <w:rsid w:val="00135622"/>
    <w:rsid w:val="00135693"/>
    <w:rsid w:val="00135838"/>
    <w:rsid w:val="001358B7"/>
    <w:rsid w:val="00135EF8"/>
    <w:rsid w:val="001362A0"/>
    <w:rsid w:val="001362CE"/>
    <w:rsid w:val="00136313"/>
    <w:rsid w:val="00136724"/>
    <w:rsid w:val="00136851"/>
    <w:rsid w:val="00136FD5"/>
    <w:rsid w:val="00136FE2"/>
    <w:rsid w:val="0013705D"/>
    <w:rsid w:val="001371B3"/>
    <w:rsid w:val="0013722A"/>
    <w:rsid w:val="001379A3"/>
    <w:rsid w:val="001406D2"/>
    <w:rsid w:val="001409D9"/>
    <w:rsid w:val="00140B86"/>
    <w:rsid w:val="00140D6B"/>
    <w:rsid w:val="00141014"/>
    <w:rsid w:val="0014193F"/>
    <w:rsid w:val="00141B1F"/>
    <w:rsid w:val="00142088"/>
    <w:rsid w:val="00142180"/>
    <w:rsid w:val="00142553"/>
    <w:rsid w:val="00142556"/>
    <w:rsid w:val="00142BDB"/>
    <w:rsid w:val="00142CBB"/>
    <w:rsid w:val="00142DB3"/>
    <w:rsid w:val="00143123"/>
    <w:rsid w:val="00143283"/>
    <w:rsid w:val="001433B1"/>
    <w:rsid w:val="001437F1"/>
    <w:rsid w:val="001439D2"/>
    <w:rsid w:val="001448D2"/>
    <w:rsid w:val="00144958"/>
    <w:rsid w:val="00144BE5"/>
    <w:rsid w:val="00144C36"/>
    <w:rsid w:val="0014504F"/>
    <w:rsid w:val="0014561C"/>
    <w:rsid w:val="001457DE"/>
    <w:rsid w:val="00145805"/>
    <w:rsid w:val="00145BA6"/>
    <w:rsid w:val="001460C5"/>
    <w:rsid w:val="001462EF"/>
    <w:rsid w:val="00147038"/>
    <w:rsid w:val="0014720B"/>
    <w:rsid w:val="0014787E"/>
    <w:rsid w:val="00147B02"/>
    <w:rsid w:val="00147BF0"/>
    <w:rsid w:val="00147E6A"/>
    <w:rsid w:val="00150156"/>
    <w:rsid w:val="001502C2"/>
    <w:rsid w:val="0015047C"/>
    <w:rsid w:val="0015109C"/>
    <w:rsid w:val="0015116F"/>
    <w:rsid w:val="00151278"/>
    <w:rsid w:val="001514C3"/>
    <w:rsid w:val="001514F0"/>
    <w:rsid w:val="00151F3C"/>
    <w:rsid w:val="001522A4"/>
    <w:rsid w:val="001522CA"/>
    <w:rsid w:val="001524C1"/>
    <w:rsid w:val="00152586"/>
    <w:rsid w:val="001525D9"/>
    <w:rsid w:val="00152C48"/>
    <w:rsid w:val="001530EA"/>
    <w:rsid w:val="00153BF5"/>
    <w:rsid w:val="00153FDF"/>
    <w:rsid w:val="001540A3"/>
    <w:rsid w:val="00154E16"/>
    <w:rsid w:val="00154F4F"/>
    <w:rsid w:val="00155332"/>
    <w:rsid w:val="001555CA"/>
    <w:rsid w:val="00155B5F"/>
    <w:rsid w:val="00155BBF"/>
    <w:rsid w:val="00155E49"/>
    <w:rsid w:val="00155EB3"/>
    <w:rsid w:val="001560C6"/>
    <w:rsid w:val="00156295"/>
    <w:rsid w:val="00156986"/>
    <w:rsid w:val="00156E7E"/>
    <w:rsid w:val="00157660"/>
    <w:rsid w:val="00157782"/>
    <w:rsid w:val="001577B9"/>
    <w:rsid w:val="00157A2F"/>
    <w:rsid w:val="00157A7E"/>
    <w:rsid w:val="00157BA0"/>
    <w:rsid w:val="00157CF8"/>
    <w:rsid w:val="00157EE4"/>
    <w:rsid w:val="00157EE5"/>
    <w:rsid w:val="00160460"/>
    <w:rsid w:val="00160681"/>
    <w:rsid w:val="00160B14"/>
    <w:rsid w:val="00160BED"/>
    <w:rsid w:val="00160D23"/>
    <w:rsid w:val="00160D5D"/>
    <w:rsid w:val="00161033"/>
    <w:rsid w:val="00161504"/>
    <w:rsid w:val="001615BC"/>
    <w:rsid w:val="0016191F"/>
    <w:rsid w:val="00161ADB"/>
    <w:rsid w:val="00161BB7"/>
    <w:rsid w:val="00161CA1"/>
    <w:rsid w:val="00161EAD"/>
    <w:rsid w:val="0016219E"/>
    <w:rsid w:val="001629CA"/>
    <w:rsid w:val="00163149"/>
    <w:rsid w:val="001631B8"/>
    <w:rsid w:val="001633FB"/>
    <w:rsid w:val="001635E6"/>
    <w:rsid w:val="00163717"/>
    <w:rsid w:val="00163CDF"/>
    <w:rsid w:val="00163E17"/>
    <w:rsid w:val="00163ED5"/>
    <w:rsid w:val="00163EF5"/>
    <w:rsid w:val="00163F2C"/>
    <w:rsid w:val="0016453A"/>
    <w:rsid w:val="00165149"/>
    <w:rsid w:val="001653FA"/>
    <w:rsid w:val="00165A88"/>
    <w:rsid w:val="00165DFD"/>
    <w:rsid w:val="001665B7"/>
    <w:rsid w:val="0016672D"/>
    <w:rsid w:val="001669D0"/>
    <w:rsid w:val="00167136"/>
    <w:rsid w:val="001671C0"/>
    <w:rsid w:val="00167B62"/>
    <w:rsid w:val="00167C8B"/>
    <w:rsid w:val="0017007E"/>
    <w:rsid w:val="001702E9"/>
    <w:rsid w:val="001708DA"/>
    <w:rsid w:val="0017097A"/>
    <w:rsid w:val="00170BA5"/>
    <w:rsid w:val="00170D50"/>
    <w:rsid w:val="00170DDD"/>
    <w:rsid w:val="00170EB2"/>
    <w:rsid w:val="00171858"/>
    <w:rsid w:val="00171BE9"/>
    <w:rsid w:val="00171C46"/>
    <w:rsid w:val="00172288"/>
    <w:rsid w:val="00172A7F"/>
    <w:rsid w:val="00172DBA"/>
    <w:rsid w:val="00172E73"/>
    <w:rsid w:val="00174287"/>
    <w:rsid w:val="0017453D"/>
    <w:rsid w:val="00174B27"/>
    <w:rsid w:val="00174D82"/>
    <w:rsid w:val="00174E55"/>
    <w:rsid w:val="0017525B"/>
    <w:rsid w:val="001754D6"/>
    <w:rsid w:val="001756A4"/>
    <w:rsid w:val="001756F2"/>
    <w:rsid w:val="001757C1"/>
    <w:rsid w:val="0017582E"/>
    <w:rsid w:val="0017595F"/>
    <w:rsid w:val="00176E38"/>
    <w:rsid w:val="00176F17"/>
    <w:rsid w:val="0017704E"/>
    <w:rsid w:val="001776BF"/>
    <w:rsid w:val="0017793B"/>
    <w:rsid w:val="00177AD5"/>
    <w:rsid w:val="00177ECA"/>
    <w:rsid w:val="001800D1"/>
    <w:rsid w:val="001809A3"/>
    <w:rsid w:val="00180BD9"/>
    <w:rsid w:val="001810B7"/>
    <w:rsid w:val="001811E1"/>
    <w:rsid w:val="00181445"/>
    <w:rsid w:val="00181530"/>
    <w:rsid w:val="0018168E"/>
    <w:rsid w:val="00181763"/>
    <w:rsid w:val="00182228"/>
    <w:rsid w:val="0018225F"/>
    <w:rsid w:val="00182267"/>
    <w:rsid w:val="0018238E"/>
    <w:rsid w:val="00182DAC"/>
    <w:rsid w:val="0018321C"/>
    <w:rsid w:val="001836E4"/>
    <w:rsid w:val="0018381A"/>
    <w:rsid w:val="00183B5B"/>
    <w:rsid w:val="00184194"/>
    <w:rsid w:val="001841D6"/>
    <w:rsid w:val="001842E9"/>
    <w:rsid w:val="001845C3"/>
    <w:rsid w:val="00184866"/>
    <w:rsid w:val="00184A04"/>
    <w:rsid w:val="00184AFF"/>
    <w:rsid w:val="00184D76"/>
    <w:rsid w:val="0018519A"/>
    <w:rsid w:val="001853F0"/>
    <w:rsid w:val="00185552"/>
    <w:rsid w:val="00185791"/>
    <w:rsid w:val="001859F0"/>
    <w:rsid w:val="00186762"/>
    <w:rsid w:val="001867D1"/>
    <w:rsid w:val="00186AA6"/>
    <w:rsid w:val="00186BFF"/>
    <w:rsid w:val="00186D38"/>
    <w:rsid w:val="00186E13"/>
    <w:rsid w:val="00187D9E"/>
    <w:rsid w:val="00187E97"/>
    <w:rsid w:val="00187F74"/>
    <w:rsid w:val="001900C0"/>
    <w:rsid w:val="00190478"/>
    <w:rsid w:val="0019067A"/>
    <w:rsid w:val="00190977"/>
    <w:rsid w:val="00190F3E"/>
    <w:rsid w:val="00190FDC"/>
    <w:rsid w:val="00191328"/>
    <w:rsid w:val="0019143E"/>
    <w:rsid w:val="0019187B"/>
    <w:rsid w:val="00191B26"/>
    <w:rsid w:val="00192412"/>
    <w:rsid w:val="00192470"/>
    <w:rsid w:val="001925A4"/>
    <w:rsid w:val="00192902"/>
    <w:rsid w:val="00192999"/>
    <w:rsid w:val="00192D1A"/>
    <w:rsid w:val="00192E38"/>
    <w:rsid w:val="00192EDD"/>
    <w:rsid w:val="00192FC0"/>
    <w:rsid w:val="001938ED"/>
    <w:rsid w:val="0019404D"/>
    <w:rsid w:val="00194050"/>
    <w:rsid w:val="001945C5"/>
    <w:rsid w:val="00194923"/>
    <w:rsid w:val="00194961"/>
    <w:rsid w:val="00194A3F"/>
    <w:rsid w:val="00194A6E"/>
    <w:rsid w:val="00194C44"/>
    <w:rsid w:val="00194EFB"/>
    <w:rsid w:val="0019529F"/>
    <w:rsid w:val="0019542C"/>
    <w:rsid w:val="00195454"/>
    <w:rsid w:val="00196428"/>
    <w:rsid w:val="00196509"/>
    <w:rsid w:val="001966CE"/>
    <w:rsid w:val="00196B7C"/>
    <w:rsid w:val="001972F7"/>
    <w:rsid w:val="0019762E"/>
    <w:rsid w:val="00197A24"/>
    <w:rsid w:val="001A064B"/>
    <w:rsid w:val="001A0765"/>
    <w:rsid w:val="001A12F2"/>
    <w:rsid w:val="001A1549"/>
    <w:rsid w:val="001A1B4A"/>
    <w:rsid w:val="001A1F37"/>
    <w:rsid w:val="001A280C"/>
    <w:rsid w:val="001A28C8"/>
    <w:rsid w:val="001A2C97"/>
    <w:rsid w:val="001A2FD8"/>
    <w:rsid w:val="001A3724"/>
    <w:rsid w:val="001A3903"/>
    <w:rsid w:val="001A3A72"/>
    <w:rsid w:val="001A3BC6"/>
    <w:rsid w:val="001A440B"/>
    <w:rsid w:val="001A477E"/>
    <w:rsid w:val="001A4891"/>
    <w:rsid w:val="001A4C27"/>
    <w:rsid w:val="001A51DC"/>
    <w:rsid w:val="001A52CE"/>
    <w:rsid w:val="001A573C"/>
    <w:rsid w:val="001A59D4"/>
    <w:rsid w:val="001A5CF2"/>
    <w:rsid w:val="001A5F89"/>
    <w:rsid w:val="001A6254"/>
    <w:rsid w:val="001A66C3"/>
    <w:rsid w:val="001A6746"/>
    <w:rsid w:val="001A6BDD"/>
    <w:rsid w:val="001A70C0"/>
    <w:rsid w:val="001A762C"/>
    <w:rsid w:val="001A7707"/>
    <w:rsid w:val="001A7841"/>
    <w:rsid w:val="001B05EF"/>
    <w:rsid w:val="001B0DA0"/>
    <w:rsid w:val="001B0DCB"/>
    <w:rsid w:val="001B0EA3"/>
    <w:rsid w:val="001B1197"/>
    <w:rsid w:val="001B16D8"/>
    <w:rsid w:val="001B1BC8"/>
    <w:rsid w:val="001B1C0A"/>
    <w:rsid w:val="001B1D61"/>
    <w:rsid w:val="001B2053"/>
    <w:rsid w:val="001B20D2"/>
    <w:rsid w:val="001B2452"/>
    <w:rsid w:val="001B2A17"/>
    <w:rsid w:val="001B3B9D"/>
    <w:rsid w:val="001B3EDB"/>
    <w:rsid w:val="001B3F6C"/>
    <w:rsid w:val="001B4252"/>
    <w:rsid w:val="001B42CD"/>
    <w:rsid w:val="001B4601"/>
    <w:rsid w:val="001B489D"/>
    <w:rsid w:val="001B4C0F"/>
    <w:rsid w:val="001B5274"/>
    <w:rsid w:val="001B57E7"/>
    <w:rsid w:val="001B62AA"/>
    <w:rsid w:val="001B6610"/>
    <w:rsid w:val="001B675A"/>
    <w:rsid w:val="001B687C"/>
    <w:rsid w:val="001B6E21"/>
    <w:rsid w:val="001B73DF"/>
    <w:rsid w:val="001B7435"/>
    <w:rsid w:val="001B785E"/>
    <w:rsid w:val="001B7A20"/>
    <w:rsid w:val="001B7B89"/>
    <w:rsid w:val="001C008E"/>
    <w:rsid w:val="001C04E8"/>
    <w:rsid w:val="001C0F96"/>
    <w:rsid w:val="001C1774"/>
    <w:rsid w:val="001C1E0C"/>
    <w:rsid w:val="001C2040"/>
    <w:rsid w:val="001C27EC"/>
    <w:rsid w:val="001C2A00"/>
    <w:rsid w:val="001C2CA1"/>
    <w:rsid w:val="001C308B"/>
    <w:rsid w:val="001C3727"/>
    <w:rsid w:val="001C451B"/>
    <w:rsid w:val="001C46C6"/>
    <w:rsid w:val="001C4773"/>
    <w:rsid w:val="001C4D95"/>
    <w:rsid w:val="001C4E13"/>
    <w:rsid w:val="001C4EAC"/>
    <w:rsid w:val="001C509A"/>
    <w:rsid w:val="001C51B2"/>
    <w:rsid w:val="001C5593"/>
    <w:rsid w:val="001C55B6"/>
    <w:rsid w:val="001C5E20"/>
    <w:rsid w:val="001C5EC2"/>
    <w:rsid w:val="001C6293"/>
    <w:rsid w:val="001C6640"/>
    <w:rsid w:val="001C673E"/>
    <w:rsid w:val="001C6C30"/>
    <w:rsid w:val="001C7C40"/>
    <w:rsid w:val="001C7D93"/>
    <w:rsid w:val="001D0535"/>
    <w:rsid w:val="001D07BA"/>
    <w:rsid w:val="001D0920"/>
    <w:rsid w:val="001D096A"/>
    <w:rsid w:val="001D09BF"/>
    <w:rsid w:val="001D0AB8"/>
    <w:rsid w:val="001D0BDF"/>
    <w:rsid w:val="001D0E0B"/>
    <w:rsid w:val="001D1126"/>
    <w:rsid w:val="001D1BBF"/>
    <w:rsid w:val="001D1D08"/>
    <w:rsid w:val="001D1EF9"/>
    <w:rsid w:val="001D202C"/>
    <w:rsid w:val="001D2571"/>
    <w:rsid w:val="001D3553"/>
    <w:rsid w:val="001D3807"/>
    <w:rsid w:val="001D4685"/>
    <w:rsid w:val="001D4C7C"/>
    <w:rsid w:val="001D4CA1"/>
    <w:rsid w:val="001D581D"/>
    <w:rsid w:val="001D5AB0"/>
    <w:rsid w:val="001D5F36"/>
    <w:rsid w:val="001D6198"/>
    <w:rsid w:val="001D6314"/>
    <w:rsid w:val="001D63E5"/>
    <w:rsid w:val="001D6808"/>
    <w:rsid w:val="001D6AE7"/>
    <w:rsid w:val="001D7191"/>
    <w:rsid w:val="001D757B"/>
    <w:rsid w:val="001D7637"/>
    <w:rsid w:val="001D7664"/>
    <w:rsid w:val="001D7739"/>
    <w:rsid w:val="001D7902"/>
    <w:rsid w:val="001E03D3"/>
    <w:rsid w:val="001E03FE"/>
    <w:rsid w:val="001E0626"/>
    <w:rsid w:val="001E0723"/>
    <w:rsid w:val="001E0E1D"/>
    <w:rsid w:val="001E1151"/>
    <w:rsid w:val="001E134B"/>
    <w:rsid w:val="001E1422"/>
    <w:rsid w:val="001E14CC"/>
    <w:rsid w:val="001E1784"/>
    <w:rsid w:val="001E181C"/>
    <w:rsid w:val="001E1ECC"/>
    <w:rsid w:val="001E21DA"/>
    <w:rsid w:val="001E24F8"/>
    <w:rsid w:val="001E2501"/>
    <w:rsid w:val="001E2711"/>
    <w:rsid w:val="001E2A80"/>
    <w:rsid w:val="001E2AAB"/>
    <w:rsid w:val="001E2B22"/>
    <w:rsid w:val="001E2BB1"/>
    <w:rsid w:val="001E2BFA"/>
    <w:rsid w:val="001E320A"/>
    <w:rsid w:val="001E336F"/>
    <w:rsid w:val="001E34DB"/>
    <w:rsid w:val="001E34E5"/>
    <w:rsid w:val="001E3785"/>
    <w:rsid w:val="001E42F6"/>
    <w:rsid w:val="001E44D8"/>
    <w:rsid w:val="001E45A8"/>
    <w:rsid w:val="001E45B5"/>
    <w:rsid w:val="001E4A26"/>
    <w:rsid w:val="001E4A31"/>
    <w:rsid w:val="001E4BEC"/>
    <w:rsid w:val="001E4E23"/>
    <w:rsid w:val="001E4F1C"/>
    <w:rsid w:val="001E5094"/>
    <w:rsid w:val="001E59C5"/>
    <w:rsid w:val="001E5FFA"/>
    <w:rsid w:val="001E684F"/>
    <w:rsid w:val="001E6C17"/>
    <w:rsid w:val="001E6D51"/>
    <w:rsid w:val="001E6FA4"/>
    <w:rsid w:val="001E6FE6"/>
    <w:rsid w:val="001E744C"/>
    <w:rsid w:val="001E7679"/>
    <w:rsid w:val="001E7B5F"/>
    <w:rsid w:val="001F0034"/>
    <w:rsid w:val="001F0226"/>
    <w:rsid w:val="001F0CCF"/>
    <w:rsid w:val="001F0DEA"/>
    <w:rsid w:val="001F155D"/>
    <w:rsid w:val="001F15CF"/>
    <w:rsid w:val="001F16E8"/>
    <w:rsid w:val="001F19FD"/>
    <w:rsid w:val="001F1B12"/>
    <w:rsid w:val="001F2302"/>
    <w:rsid w:val="001F2954"/>
    <w:rsid w:val="001F31A8"/>
    <w:rsid w:val="001F31D6"/>
    <w:rsid w:val="001F3784"/>
    <w:rsid w:val="001F3AAE"/>
    <w:rsid w:val="001F3D0E"/>
    <w:rsid w:val="001F3E8A"/>
    <w:rsid w:val="001F3FFC"/>
    <w:rsid w:val="001F4070"/>
    <w:rsid w:val="001F43C4"/>
    <w:rsid w:val="001F48A6"/>
    <w:rsid w:val="001F4BD0"/>
    <w:rsid w:val="001F51B2"/>
    <w:rsid w:val="001F5434"/>
    <w:rsid w:val="001F5437"/>
    <w:rsid w:val="001F5923"/>
    <w:rsid w:val="001F5E6A"/>
    <w:rsid w:val="001F5E9F"/>
    <w:rsid w:val="001F5FE4"/>
    <w:rsid w:val="001F62FC"/>
    <w:rsid w:val="001F632A"/>
    <w:rsid w:val="001F65B1"/>
    <w:rsid w:val="001F685E"/>
    <w:rsid w:val="001F6C32"/>
    <w:rsid w:val="001F74CA"/>
    <w:rsid w:val="001F75CF"/>
    <w:rsid w:val="001F7744"/>
    <w:rsid w:val="001F796D"/>
    <w:rsid w:val="001F7971"/>
    <w:rsid w:val="001F7BC9"/>
    <w:rsid w:val="001F7F01"/>
    <w:rsid w:val="002000A0"/>
    <w:rsid w:val="00200F11"/>
    <w:rsid w:val="002010CE"/>
    <w:rsid w:val="002013C1"/>
    <w:rsid w:val="002016BE"/>
    <w:rsid w:val="002019AF"/>
    <w:rsid w:val="00201B97"/>
    <w:rsid w:val="00201CAA"/>
    <w:rsid w:val="00202352"/>
    <w:rsid w:val="002027FB"/>
    <w:rsid w:val="00202DE3"/>
    <w:rsid w:val="002035A2"/>
    <w:rsid w:val="002036B8"/>
    <w:rsid w:val="00203899"/>
    <w:rsid w:val="00203B84"/>
    <w:rsid w:val="00203DAD"/>
    <w:rsid w:val="00204039"/>
    <w:rsid w:val="0020407A"/>
    <w:rsid w:val="002044D0"/>
    <w:rsid w:val="00204624"/>
    <w:rsid w:val="00204698"/>
    <w:rsid w:val="00204960"/>
    <w:rsid w:val="00204A72"/>
    <w:rsid w:val="00204BC2"/>
    <w:rsid w:val="00204E38"/>
    <w:rsid w:val="00204F39"/>
    <w:rsid w:val="00205167"/>
    <w:rsid w:val="002053AD"/>
    <w:rsid w:val="002053B5"/>
    <w:rsid w:val="002061B7"/>
    <w:rsid w:val="0020667E"/>
    <w:rsid w:val="00206994"/>
    <w:rsid w:val="002070D8"/>
    <w:rsid w:val="0020716E"/>
    <w:rsid w:val="0020759D"/>
    <w:rsid w:val="002075EE"/>
    <w:rsid w:val="0020787C"/>
    <w:rsid w:val="00207A69"/>
    <w:rsid w:val="00207C2C"/>
    <w:rsid w:val="00207CE0"/>
    <w:rsid w:val="00207D35"/>
    <w:rsid w:val="002100AF"/>
    <w:rsid w:val="002110EF"/>
    <w:rsid w:val="0021123F"/>
    <w:rsid w:val="002112DC"/>
    <w:rsid w:val="002117A5"/>
    <w:rsid w:val="002119E8"/>
    <w:rsid w:val="00211A73"/>
    <w:rsid w:val="00211B57"/>
    <w:rsid w:val="00211DF7"/>
    <w:rsid w:val="00212364"/>
    <w:rsid w:val="00212429"/>
    <w:rsid w:val="00212711"/>
    <w:rsid w:val="002127F9"/>
    <w:rsid w:val="00212D42"/>
    <w:rsid w:val="00213528"/>
    <w:rsid w:val="002136BE"/>
    <w:rsid w:val="00213C9B"/>
    <w:rsid w:val="00213D16"/>
    <w:rsid w:val="00213D64"/>
    <w:rsid w:val="002141B2"/>
    <w:rsid w:val="00214C23"/>
    <w:rsid w:val="00214F8C"/>
    <w:rsid w:val="0021534F"/>
    <w:rsid w:val="00215355"/>
    <w:rsid w:val="00215583"/>
    <w:rsid w:val="0021612E"/>
    <w:rsid w:val="0021614D"/>
    <w:rsid w:val="002161DC"/>
    <w:rsid w:val="0021636E"/>
    <w:rsid w:val="002164C0"/>
    <w:rsid w:val="00216502"/>
    <w:rsid w:val="002167CC"/>
    <w:rsid w:val="0021686F"/>
    <w:rsid w:val="00216D01"/>
    <w:rsid w:val="0021703F"/>
    <w:rsid w:val="0021728A"/>
    <w:rsid w:val="002176DC"/>
    <w:rsid w:val="00220530"/>
    <w:rsid w:val="00220587"/>
    <w:rsid w:val="00220793"/>
    <w:rsid w:val="00221137"/>
    <w:rsid w:val="0022125A"/>
    <w:rsid w:val="002217B8"/>
    <w:rsid w:val="00221B1F"/>
    <w:rsid w:val="002220DE"/>
    <w:rsid w:val="002225AB"/>
    <w:rsid w:val="002226C9"/>
    <w:rsid w:val="00222E3E"/>
    <w:rsid w:val="00222ED2"/>
    <w:rsid w:val="0022336F"/>
    <w:rsid w:val="002233B6"/>
    <w:rsid w:val="0022346F"/>
    <w:rsid w:val="0022379A"/>
    <w:rsid w:val="00223ADD"/>
    <w:rsid w:val="00223CEE"/>
    <w:rsid w:val="00224289"/>
    <w:rsid w:val="00224810"/>
    <w:rsid w:val="00224B44"/>
    <w:rsid w:val="00224C68"/>
    <w:rsid w:val="00224C9A"/>
    <w:rsid w:val="00225242"/>
    <w:rsid w:val="002252EE"/>
    <w:rsid w:val="0022556D"/>
    <w:rsid w:val="00225889"/>
    <w:rsid w:val="00225BB6"/>
    <w:rsid w:val="002265FA"/>
    <w:rsid w:val="00226763"/>
    <w:rsid w:val="00226C5E"/>
    <w:rsid w:val="00226E34"/>
    <w:rsid w:val="002277BC"/>
    <w:rsid w:val="002278A0"/>
    <w:rsid w:val="00227D6A"/>
    <w:rsid w:val="00230290"/>
    <w:rsid w:val="002302FF"/>
    <w:rsid w:val="00230519"/>
    <w:rsid w:val="00230953"/>
    <w:rsid w:val="00230E94"/>
    <w:rsid w:val="00231C0A"/>
    <w:rsid w:val="00231EBF"/>
    <w:rsid w:val="00232480"/>
    <w:rsid w:val="0023285D"/>
    <w:rsid w:val="00232D50"/>
    <w:rsid w:val="00232E89"/>
    <w:rsid w:val="00232FB0"/>
    <w:rsid w:val="002331CE"/>
    <w:rsid w:val="00233619"/>
    <w:rsid w:val="00233DEF"/>
    <w:rsid w:val="002347E1"/>
    <w:rsid w:val="00234940"/>
    <w:rsid w:val="00234B6B"/>
    <w:rsid w:val="00234B74"/>
    <w:rsid w:val="00235057"/>
    <w:rsid w:val="00235A5E"/>
    <w:rsid w:val="00235EC3"/>
    <w:rsid w:val="0023625B"/>
    <w:rsid w:val="002363E7"/>
    <w:rsid w:val="00236463"/>
    <w:rsid w:val="0023660E"/>
    <w:rsid w:val="00236D5A"/>
    <w:rsid w:val="00236D79"/>
    <w:rsid w:val="00236D7F"/>
    <w:rsid w:val="00236E7A"/>
    <w:rsid w:val="00237B56"/>
    <w:rsid w:val="00237BFF"/>
    <w:rsid w:val="00240037"/>
    <w:rsid w:val="0024020E"/>
    <w:rsid w:val="0024027F"/>
    <w:rsid w:val="002402B4"/>
    <w:rsid w:val="00240431"/>
    <w:rsid w:val="002406BC"/>
    <w:rsid w:val="00240B71"/>
    <w:rsid w:val="00240C66"/>
    <w:rsid w:val="00240FCB"/>
    <w:rsid w:val="00241221"/>
    <w:rsid w:val="002413F5"/>
    <w:rsid w:val="0024175B"/>
    <w:rsid w:val="0024276B"/>
    <w:rsid w:val="002428D2"/>
    <w:rsid w:val="00242C01"/>
    <w:rsid w:val="002432E1"/>
    <w:rsid w:val="00243347"/>
    <w:rsid w:val="002433C2"/>
    <w:rsid w:val="002434F7"/>
    <w:rsid w:val="002436D7"/>
    <w:rsid w:val="00243D04"/>
    <w:rsid w:val="00243D7C"/>
    <w:rsid w:val="0024423C"/>
    <w:rsid w:val="0024441C"/>
    <w:rsid w:val="00244AFF"/>
    <w:rsid w:val="00244DEF"/>
    <w:rsid w:val="00244EC2"/>
    <w:rsid w:val="00245259"/>
    <w:rsid w:val="00245D14"/>
    <w:rsid w:val="00245E7E"/>
    <w:rsid w:val="0024622C"/>
    <w:rsid w:val="0024631F"/>
    <w:rsid w:val="00246A3B"/>
    <w:rsid w:val="00246AB8"/>
    <w:rsid w:val="00246D48"/>
    <w:rsid w:val="00246DF7"/>
    <w:rsid w:val="0024712D"/>
    <w:rsid w:val="00247350"/>
    <w:rsid w:val="0025031C"/>
    <w:rsid w:val="00250D25"/>
    <w:rsid w:val="00251CBB"/>
    <w:rsid w:val="002525EB"/>
    <w:rsid w:val="00252637"/>
    <w:rsid w:val="002528ED"/>
    <w:rsid w:val="00252BDE"/>
    <w:rsid w:val="00252BFD"/>
    <w:rsid w:val="00252D97"/>
    <w:rsid w:val="00252F02"/>
    <w:rsid w:val="00252FA7"/>
    <w:rsid w:val="002531EF"/>
    <w:rsid w:val="00253823"/>
    <w:rsid w:val="00253B1C"/>
    <w:rsid w:val="00253B3C"/>
    <w:rsid w:val="00254836"/>
    <w:rsid w:val="00254A6A"/>
    <w:rsid w:val="00254C5D"/>
    <w:rsid w:val="00255543"/>
    <w:rsid w:val="002556AB"/>
    <w:rsid w:val="002556DD"/>
    <w:rsid w:val="00255AA0"/>
    <w:rsid w:val="00255C3D"/>
    <w:rsid w:val="00255F38"/>
    <w:rsid w:val="002564AE"/>
    <w:rsid w:val="0025688D"/>
    <w:rsid w:val="00256C07"/>
    <w:rsid w:val="0025701F"/>
    <w:rsid w:val="002572A1"/>
    <w:rsid w:val="0025766F"/>
    <w:rsid w:val="00257DC1"/>
    <w:rsid w:val="00257F7E"/>
    <w:rsid w:val="002600CA"/>
    <w:rsid w:val="00260405"/>
    <w:rsid w:val="00260644"/>
    <w:rsid w:val="00260732"/>
    <w:rsid w:val="00260D4C"/>
    <w:rsid w:val="00260F26"/>
    <w:rsid w:val="0026131E"/>
    <w:rsid w:val="00261737"/>
    <w:rsid w:val="00261B87"/>
    <w:rsid w:val="00261E39"/>
    <w:rsid w:val="00261EDE"/>
    <w:rsid w:val="00261F96"/>
    <w:rsid w:val="00262075"/>
    <w:rsid w:val="00262D41"/>
    <w:rsid w:val="00262DAF"/>
    <w:rsid w:val="002630CD"/>
    <w:rsid w:val="002644A5"/>
    <w:rsid w:val="002648AC"/>
    <w:rsid w:val="002648D8"/>
    <w:rsid w:val="00264970"/>
    <w:rsid w:val="00264A5E"/>
    <w:rsid w:val="00264E3B"/>
    <w:rsid w:val="00264EAF"/>
    <w:rsid w:val="00264F44"/>
    <w:rsid w:val="00265120"/>
    <w:rsid w:val="00265946"/>
    <w:rsid w:val="0026595B"/>
    <w:rsid w:val="00265F6C"/>
    <w:rsid w:val="00265F85"/>
    <w:rsid w:val="002661F5"/>
    <w:rsid w:val="0026652D"/>
    <w:rsid w:val="00266DC2"/>
    <w:rsid w:val="00266E27"/>
    <w:rsid w:val="00267368"/>
    <w:rsid w:val="002674BA"/>
    <w:rsid w:val="002675C0"/>
    <w:rsid w:val="00267769"/>
    <w:rsid w:val="00267B6E"/>
    <w:rsid w:val="00267D1A"/>
    <w:rsid w:val="00270135"/>
    <w:rsid w:val="0027043C"/>
    <w:rsid w:val="00270999"/>
    <w:rsid w:val="002714ED"/>
    <w:rsid w:val="00271716"/>
    <w:rsid w:val="0027186B"/>
    <w:rsid w:val="00271EAB"/>
    <w:rsid w:val="00271F50"/>
    <w:rsid w:val="00272556"/>
    <w:rsid w:val="00273265"/>
    <w:rsid w:val="0027348B"/>
    <w:rsid w:val="0027450A"/>
    <w:rsid w:val="00274A7E"/>
    <w:rsid w:val="00274A9E"/>
    <w:rsid w:val="00274C37"/>
    <w:rsid w:val="00274CAA"/>
    <w:rsid w:val="00274CBF"/>
    <w:rsid w:val="00274EDB"/>
    <w:rsid w:val="00274F81"/>
    <w:rsid w:val="002752F9"/>
    <w:rsid w:val="00275A2B"/>
    <w:rsid w:val="00275AF8"/>
    <w:rsid w:val="00275F43"/>
    <w:rsid w:val="00276183"/>
    <w:rsid w:val="002761A8"/>
    <w:rsid w:val="002762E1"/>
    <w:rsid w:val="00276B69"/>
    <w:rsid w:val="00276E12"/>
    <w:rsid w:val="00276E89"/>
    <w:rsid w:val="0027712F"/>
    <w:rsid w:val="002771D0"/>
    <w:rsid w:val="00277479"/>
    <w:rsid w:val="0027750A"/>
    <w:rsid w:val="00277A04"/>
    <w:rsid w:val="0028039A"/>
    <w:rsid w:val="00280897"/>
    <w:rsid w:val="002809CC"/>
    <w:rsid w:val="0028124B"/>
    <w:rsid w:val="00281485"/>
    <w:rsid w:val="00281A18"/>
    <w:rsid w:val="00281A3D"/>
    <w:rsid w:val="00281AF9"/>
    <w:rsid w:val="00281BD1"/>
    <w:rsid w:val="0028204E"/>
    <w:rsid w:val="00282130"/>
    <w:rsid w:val="00282815"/>
    <w:rsid w:val="002834E4"/>
    <w:rsid w:val="00283583"/>
    <w:rsid w:val="00283D82"/>
    <w:rsid w:val="00284751"/>
    <w:rsid w:val="00284AA4"/>
    <w:rsid w:val="00284CB4"/>
    <w:rsid w:val="00284E4F"/>
    <w:rsid w:val="00284FE5"/>
    <w:rsid w:val="002853D0"/>
    <w:rsid w:val="00285535"/>
    <w:rsid w:val="00285F0E"/>
    <w:rsid w:val="00286000"/>
    <w:rsid w:val="00286100"/>
    <w:rsid w:val="00286894"/>
    <w:rsid w:val="002868B1"/>
    <w:rsid w:val="00286A99"/>
    <w:rsid w:val="00286C91"/>
    <w:rsid w:val="00286CE2"/>
    <w:rsid w:val="00286EE9"/>
    <w:rsid w:val="00286F95"/>
    <w:rsid w:val="002870B2"/>
    <w:rsid w:val="00287CD7"/>
    <w:rsid w:val="00287F5A"/>
    <w:rsid w:val="00290229"/>
    <w:rsid w:val="00290BD9"/>
    <w:rsid w:val="00290CAB"/>
    <w:rsid w:val="00290E50"/>
    <w:rsid w:val="00290F74"/>
    <w:rsid w:val="0029157F"/>
    <w:rsid w:val="00291683"/>
    <w:rsid w:val="002917E4"/>
    <w:rsid w:val="00291F1D"/>
    <w:rsid w:val="0029205E"/>
    <w:rsid w:val="002928C2"/>
    <w:rsid w:val="00292907"/>
    <w:rsid w:val="0029295F"/>
    <w:rsid w:val="00292E8E"/>
    <w:rsid w:val="00292F26"/>
    <w:rsid w:val="002935A0"/>
    <w:rsid w:val="00293700"/>
    <w:rsid w:val="002938E4"/>
    <w:rsid w:val="00293A94"/>
    <w:rsid w:val="00293C5F"/>
    <w:rsid w:val="0029416E"/>
    <w:rsid w:val="00294335"/>
    <w:rsid w:val="00294549"/>
    <w:rsid w:val="00294767"/>
    <w:rsid w:val="00294775"/>
    <w:rsid w:val="00294C79"/>
    <w:rsid w:val="00294E73"/>
    <w:rsid w:val="00294F3C"/>
    <w:rsid w:val="00295502"/>
    <w:rsid w:val="00295AFE"/>
    <w:rsid w:val="00295C7E"/>
    <w:rsid w:val="002963B4"/>
    <w:rsid w:val="00297329"/>
    <w:rsid w:val="0029757B"/>
    <w:rsid w:val="00297787"/>
    <w:rsid w:val="00297992"/>
    <w:rsid w:val="002A017D"/>
    <w:rsid w:val="002A0474"/>
    <w:rsid w:val="002A069E"/>
    <w:rsid w:val="002A08BC"/>
    <w:rsid w:val="002A0CE6"/>
    <w:rsid w:val="002A104B"/>
    <w:rsid w:val="002A10DC"/>
    <w:rsid w:val="002A12F1"/>
    <w:rsid w:val="002A1468"/>
    <w:rsid w:val="002A1519"/>
    <w:rsid w:val="002A1748"/>
    <w:rsid w:val="002A17BC"/>
    <w:rsid w:val="002A1810"/>
    <w:rsid w:val="002A1921"/>
    <w:rsid w:val="002A198B"/>
    <w:rsid w:val="002A1DFE"/>
    <w:rsid w:val="002A200C"/>
    <w:rsid w:val="002A2431"/>
    <w:rsid w:val="002A25BE"/>
    <w:rsid w:val="002A26C8"/>
    <w:rsid w:val="002A29FC"/>
    <w:rsid w:val="002A2A21"/>
    <w:rsid w:val="002A2BC8"/>
    <w:rsid w:val="002A2D7A"/>
    <w:rsid w:val="002A34CF"/>
    <w:rsid w:val="002A35DA"/>
    <w:rsid w:val="002A381A"/>
    <w:rsid w:val="002A3D3E"/>
    <w:rsid w:val="002A3F94"/>
    <w:rsid w:val="002A4086"/>
    <w:rsid w:val="002A44AA"/>
    <w:rsid w:val="002A45CE"/>
    <w:rsid w:val="002A47FB"/>
    <w:rsid w:val="002A4B16"/>
    <w:rsid w:val="002A4B79"/>
    <w:rsid w:val="002A567A"/>
    <w:rsid w:val="002A5683"/>
    <w:rsid w:val="002A59B9"/>
    <w:rsid w:val="002A5F05"/>
    <w:rsid w:val="002A641F"/>
    <w:rsid w:val="002A66BE"/>
    <w:rsid w:val="002A6B79"/>
    <w:rsid w:val="002A6DC5"/>
    <w:rsid w:val="002A6FC1"/>
    <w:rsid w:val="002A793C"/>
    <w:rsid w:val="002B07E6"/>
    <w:rsid w:val="002B0D66"/>
    <w:rsid w:val="002B107F"/>
    <w:rsid w:val="002B183C"/>
    <w:rsid w:val="002B19A3"/>
    <w:rsid w:val="002B1B60"/>
    <w:rsid w:val="002B241C"/>
    <w:rsid w:val="002B323E"/>
    <w:rsid w:val="002B36C4"/>
    <w:rsid w:val="002B394D"/>
    <w:rsid w:val="002B3A81"/>
    <w:rsid w:val="002B3F5B"/>
    <w:rsid w:val="002B3F70"/>
    <w:rsid w:val="002B3F7D"/>
    <w:rsid w:val="002B44FC"/>
    <w:rsid w:val="002B47FC"/>
    <w:rsid w:val="002B5191"/>
    <w:rsid w:val="002B5281"/>
    <w:rsid w:val="002B53CC"/>
    <w:rsid w:val="002B549A"/>
    <w:rsid w:val="002B5B4B"/>
    <w:rsid w:val="002B5CC8"/>
    <w:rsid w:val="002B5CCC"/>
    <w:rsid w:val="002B5EF9"/>
    <w:rsid w:val="002B657C"/>
    <w:rsid w:val="002B67D2"/>
    <w:rsid w:val="002B6CC9"/>
    <w:rsid w:val="002B71CD"/>
    <w:rsid w:val="002B7521"/>
    <w:rsid w:val="002B7991"/>
    <w:rsid w:val="002B7B26"/>
    <w:rsid w:val="002C02FA"/>
    <w:rsid w:val="002C0307"/>
    <w:rsid w:val="002C0355"/>
    <w:rsid w:val="002C0391"/>
    <w:rsid w:val="002C07FE"/>
    <w:rsid w:val="002C09B0"/>
    <w:rsid w:val="002C0B74"/>
    <w:rsid w:val="002C0D4D"/>
    <w:rsid w:val="002C0E7D"/>
    <w:rsid w:val="002C11CD"/>
    <w:rsid w:val="002C1384"/>
    <w:rsid w:val="002C1604"/>
    <w:rsid w:val="002C19BD"/>
    <w:rsid w:val="002C1A93"/>
    <w:rsid w:val="002C1BD9"/>
    <w:rsid w:val="002C1C16"/>
    <w:rsid w:val="002C1C1A"/>
    <w:rsid w:val="002C1C1F"/>
    <w:rsid w:val="002C22A9"/>
    <w:rsid w:val="002C2468"/>
    <w:rsid w:val="002C30F1"/>
    <w:rsid w:val="002C319E"/>
    <w:rsid w:val="002C35A7"/>
    <w:rsid w:val="002C3667"/>
    <w:rsid w:val="002C39BB"/>
    <w:rsid w:val="002C3A25"/>
    <w:rsid w:val="002C3EE5"/>
    <w:rsid w:val="002C479A"/>
    <w:rsid w:val="002C4AD2"/>
    <w:rsid w:val="002C4B5F"/>
    <w:rsid w:val="002C6425"/>
    <w:rsid w:val="002C6778"/>
    <w:rsid w:val="002C691C"/>
    <w:rsid w:val="002C6EFF"/>
    <w:rsid w:val="002C6F4F"/>
    <w:rsid w:val="002C71D6"/>
    <w:rsid w:val="002C7321"/>
    <w:rsid w:val="002C7BA1"/>
    <w:rsid w:val="002D0688"/>
    <w:rsid w:val="002D0C3A"/>
    <w:rsid w:val="002D0DDB"/>
    <w:rsid w:val="002D0E08"/>
    <w:rsid w:val="002D12C0"/>
    <w:rsid w:val="002D1824"/>
    <w:rsid w:val="002D19BC"/>
    <w:rsid w:val="002D1E51"/>
    <w:rsid w:val="002D285E"/>
    <w:rsid w:val="002D2934"/>
    <w:rsid w:val="002D2BFE"/>
    <w:rsid w:val="002D3507"/>
    <w:rsid w:val="002D3613"/>
    <w:rsid w:val="002D396F"/>
    <w:rsid w:val="002D3D36"/>
    <w:rsid w:val="002D3E95"/>
    <w:rsid w:val="002D4141"/>
    <w:rsid w:val="002D476D"/>
    <w:rsid w:val="002D4A68"/>
    <w:rsid w:val="002D536C"/>
    <w:rsid w:val="002D5896"/>
    <w:rsid w:val="002D58BF"/>
    <w:rsid w:val="002D5BFF"/>
    <w:rsid w:val="002D5C02"/>
    <w:rsid w:val="002D5C27"/>
    <w:rsid w:val="002D6406"/>
    <w:rsid w:val="002D6777"/>
    <w:rsid w:val="002D6E9C"/>
    <w:rsid w:val="002D6EBA"/>
    <w:rsid w:val="002D75BA"/>
    <w:rsid w:val="002D7BF1"/>
    <w:rsid w:val="002D7C86"/>
    <w:rsid w:val="002D7CB9"/>
    <w:rsid w:val="002D7F37"/>
    <w:rsid w:val="002D7FBE"/>
    <w:rsid w:val="002D7FFB"/>
    <w:rsid w:val="002E0223"/>
    <w:rsid w:val="002E0273"/>
    <w:rsid w:val="002E07D6"/>
    <w:rsid w:val="002E0872"/>
    <w:rsid w:val="002E0B1A"/>
    <w:rsid w:val="002E0DED"/>
    <w:rsid w:val="002E12ED"/>
    <w:rsid w:val="002E199F"/>
    <w:rsid w:val="002E1D8C"/>
    <w:rsid w:val="002E1DC3"/>
    <w:rsid w:val="002E1F61"/>
    <w:rsid w:val="002E22D1"/>
    <w:rsid w:val="002E2A59"/>
    <w:rsid w:val="002E2CB7"/>
    <w:rsid w:val="002E2E59"/>
    <w:rsid w:val="002E303D"/>
    <w:rsid w:val="002E4326"/>
    <w:rsid w:val="002E4E2E"/>
    <w:rsid w:val="002E4F74"/>
    <w:rsid w:val="002E507B"/>
    <w:rsid w:val="002E5540"/>
    <w:rsid w:val="002E56FB"/>
    <w:rsid w:val="002E5AC8"/>
    <w:rsid w:val="002E6026"/>
    <w:rsid w:val="002E610A"/>
    <w:rsid w:val="002E6CE8"/>
    <w:rsid w:val="002E74B4"/>
    <w:rsid w:val="002E787D"/>
    <w:rsid w:val="002E7CFB"/>
    <w:rsid w:val="002E7DF8"/>
    <w:rsid w:val="002E7F02"/>
    <w:rsid w:val="002F0200"/>
    <w:rsid w:val="002F0444"/>
    <w:rsid w:val="002F06D0"/>
    <w:rsid w:val="002F08AB"/>
    <w:rsid w:val="002F0B84"/>
    <w:rsid w:val="002F0D74"/>
    <w:rsid w:val="002F0F7D"/>
    <w:rsid w:val="002F14B9"/>
    <w:rsid w:val="002F17F7"/>
    <w:rsid w:val="002F196E"/>
    <w:rsid w:val="002F1EC6"/>
    <w:rsid w:val="002F20E4"/>
    <w:rsid w:val="002F227C"/>
    <w:rsid w:val="002F2280"/>
    <w:rsid w:val="002F2646"/>
    <w:rsid w:val="002F27CE"/>
    <w:rsid w:val="002F2C37"/>
    <w:rsid w:val="002F37BB"/>
    <w:rsid w:val="002F38A2"/>
    <w:rsid w:val="002F3C9B"/>
    <w:rsid w:val="002F3E42"/>
    <w:rsid w:val="002F418D"/>
    <w:rsid w:val="002F48D4"/>
    <w:rsid w:val="002F505E"/>
    <w:rsid w:val="002F5279"/>
    <w:rsid w:val="002F55F1"/>
    <w:rsid w:val="002F5883"/>
    <w:rsid w:val="002F597F"/>
    <w:rsid w:val="002F5A29"/>
    <w:rsid w:val="002F5A37"/>
    <w:rsid w:val="002F5AD8"/>
    <w:rsid w:val="002F5BB0"/>
    <w:rsid w:val="002F5C06"/>
    <w:rsid w:val="002F656D"/>
    <w:rsid w:val="002F6669"/>
    <w:rsid w:val="002F6D54"/>
    <w:rsid w:val="002F6DB8"/>
    <w:rsid w:val="002F7304"/>
    <w:rsid w:val="002F73A6"/>
    <w:rsid w:val="002F774E"/>
    <w:rsid w:val="002F78D7"/>
    <w:rsid w:val="002F78F8"/>
    <w:rsid w:val="002F7F59"/>
    <w:rsid w:val="00300258"/>
    <w:rsid w:val="003004A3"/>
    <w:rsid w:val="00300567"/>
    <w:rsid w:val="00300C09"/>
    <w:rsid w:val="003011AD"/>
    <w:rsid w:val="003011B4"/>
    <w:rsid w:val="003011ED"/>
    <w:rsid w:val="00301242"/>
    <w:rsid w:val="00301564"/>
    <w:rsid w:val="00301745"/>
    <w:rsid w:val="0030193E"/>
    <w:rsid w:val="00302101"/>
    <w:rsid w:val="00302453"/>
    <w:rsid w:val="0030251E"/>
    <w:rsid w:val="003025C6"/>
    <w:rsid w:val="00302C18"/>
    <w:rsid w:val="00302EAB"/>
    <w:rsid w:val="00303B7F"/>
    <w:rsid w:val="00303C87"/>
    <w:rsid w:val="00303FB2"/>
    <w:rsid w:val="0030435B"/>
    <w:rsid w:val="00304EBC"/>
    <w:rsid w:val="00304F3E"/>
    <w:rsid w:val="00305279"/>
    <w:rsid w:val="003052CE"/>
    <w:rsid w:val="003053F1"/>
    <w:rsid w:val="003054B1"/>
    <w:rsid w:val="00305751"/>
    <w:rsid w:val="00305C3F"/>
    <w:rsid w:val="00306013"/>
    <w:rsid w:val="003068C5"/>
    <w:rsid w:val="003069CB"/>
    <w:rsid w:val="00306B36"/>
    <w:rsid w:val="00306C4C"/>
    <w:rsid w:val="00306F47"/>
    <w:rsid w:val="003070D8"/>
    <w:rsid w:val="00307502"/>
    <w:rsid w:val="0030789F"/>
    <w:rsid w:val="00307951"/>
    <w:rsid w:val="00307C32"/>
    <w:rsid w:val="00307CC0"/>
    <w:rsid w:val="00307D49"/>
    <w:rsid w:val="00307DBD"/>
    <w:rsid w:val="00307FE4"/>
    <w:rsid w:val="0031047D"/>
    <w:rsid w:val="00310A31"/>
    <w:rsid w:val="00310AEE"/>
    <w:rsid w:val="00310C55"/>
    <w:rsid w:val="00311432"/>
    <w:rsid w:val="00311B1B"/>
    <w:rsid w:val="00311B77"/>
    <w:rsid w:val="00311DB0"/>
    <w:rsid w:val="00311E1B"/>
    <w:rsid w:val="00311EED"/>
    <w:rsid w:val="00312060"/>
    <w:rsid w:val="0031245A"/>
    <w:rsid w:val="00312567"/>
    <w:rsid w:val="003125FA"/>
    <w:rsid w:val="00312EA0"/>
    <w:rsid w:val="003136A9"/>
    <w:rsid w:val="003137BD"/>
    <w:rsid w:val="00313A31"/>
    <w:rsid w:val="00313B11"/>
    <w:rsid w:val="0031482D"/>
    <w:rsid w:val="00314F60"/>
    <w:rsid w:val="00314F96"/>
    <w:rsid w:val="00315908"/>
    <w:rsid w:val="00315C81"/>
    <w:rsid w:val="00316206"/>
    <w:rsid w:val="00316C20"/>
    <w:rsid w:val="00316CA1"/>
    <w:rsid w:val="00316D35"/>
    <w:rsid w:val="00316EC7"/>
    <w:rsid w:val="0031700A"/>
    <w:rsid w:val="00317166"/>
    <w:rsid w:val="003172EF"/>
    <w:rsid w:val="00317870"/>
    <w:rsid w:val="00317DCA"/>
    <w:rsid w:val="003205F2"/>
    <w:rsid w:val="00320BD2"/>
    <w:rsid w:val="00321116"/>
    <w:rsid w:val="0032120C"/>
    <w:rsid w:val="003221C0"/>
    <w:rsid w:val="003227B8"/>
    <w:rsid w:val="00322946"/>
    <w:rsid w:val="00322DD5"/>
    <w:rsid w:val="003236CF"/>
    <w:rsid w:val="0032396E"/>
    <w:rsid w:val="00323C74"/>
    <w:rsid w:val="003242C7"/>
    <w:rsid w:val="003250BD"/>
    <w:rsid w:val="003256A4"/>
    <w:rsid w:val="003258A6"/>
    <w:rsid w:val="003259F0"/>
    <w:rsid w:val="00325BF9"/>
    <w:rsid w:val="00325D30"/>
    <w:rsid w:val="00325E2E"/>
    <w:rsid w:val="0032633D"/>
    <w:rsid w:val="003266A9"/>
    <w:rsid w:val="003268BE"/>
    <w:rsid w:val="0032694C"/>
    <w:rsid w:val="00326AC4"/>
    <w:rsid w:val="00326C1B"/>
    <w:rsid w:val="003270A1"/>
    <w:rsid w:val="0032787F"/>
    <w:rsid w:val="00327E67"/>
    <w:rsid w:val="0033018E"/>
    <w:rsid w:val="00330277"/>
    <w:rsid w:val="00330574"/>
    <w:rsid w:val="0033062A"/>
    <w:rsid w:val="003309F2"/>
    <w:rsid w:val="00330BCD"/>
    <w:rsid w:val="00330F20"/>
    <w:rsid w:val="0033118D"/>
    <w:rsid w:val="003315FB"/>
    <w:rsid w:val="00331F7F"/>
    <w:rsid w:val="003321E9"/>
    <w:rsid w:val="00332508"/>
    <w:rsid w:val="003329AD"/>
    <w:rsid w:val="0033300D"/>
    <w:rsid w:val="00333342"/>
    <w:rsid w:val="00333348"/>
    <w:rsid w:val="00333B75"/>
    <w:rsid w:val="00333DB4"/>
    <w:rsid w:val="003342BD"/>
    <w:rsid w:val="00334634"/>
    <w:rsid w:val="003349F4"/>
    <w:rsid w:val="00334A6E"/>
    <w:rsid w:val="00334BDE"/>
    <w:rsid w:val="003351AC"/>
    <w:rsid w:val="003356D6"/>
    <w:rsid w:val="0033571F"/>
    <w:rsid w:val="00336427"/>
    <w:rsid w:val="00336597"/>
    <w:rsid w:val="00336A4A"/>
    <w:rsid w:val="00336E9B"/>
    <w:rsid w:val="00337286"/>
    <w:rsid w:val="00337346"/>
    <w:rsid w:val="003373BE"/>
    <w:rsid w:val="00337741"/>
    <w:rsid w:val="00337786"/>
    <w:rsid w:val="00337801"/>
    <w:rsid w:val="00337A62"/>
    <w:rsid w:val="00337B4D"/>
    <w:rsid w:val="0034017B"/>
    <w:rsid w:val="00340B88"/>
    <w:rsid w:val="00340D92"/>
    <w:rsid w:val="00341052"/>
    <w:rsid w:val="0034107C"/>
    <w:rsid w:val="003410B8"/>
    <w:rsid w:val="003411C7"/>
    <w:rsid w:val="003413F8"/>
    <w:rsid w:val="00341D93"/>
    <w:rsid w:val="00341EE3"/>
    <w:rsid w:val="00341F83"/>
    <w:rsid w:val="0034237E"/>
    <w:rsid w:val="00342A30"/>
    <w:rsid w:val="00342BED"/>
    <w:rsid w:val="00342E3C"/>
    <w:rsid w:val="0034373D"/>
    <w:rsid w:val="0034416C"/>
    <w:rsid w:val="00344464"/>
    <w:rsid w:val="00344495"/>
    <w:rsid w:val="0034455D"/>
    <w:rsid w:val="0034472C"/>
    <w:rsid w:val="003447C9"/>
    <w:rsid w:val="00344968"/>
    <w:rsid w:val="003449F7"/>
    <w:rsid w:val="00344D7D"/>
    <w:rsid w:val="00345960"/>
    <w:rsid w:val="003459DC"/>
    <w:rsid w:val="00345CD3"/>
    <w:rsid w:val="0034666E"/>
    <w:rsid w:val="00346F8E"/>
    <w:rsid w:val="00347010"/>
    <w:rsid w:val="00347333"/>
    <w:rsid w:val="0034734A"/>
    <w:rsid w:val="003474B2"/>
    <w:rsid w:val="00347762"/>
    <w:rsid w:val="0034786D"/>
    <w:rsid w:val="003478F9"/>
    <w:rsid w:val="00347A56"/>
    <w:rsid w:val="00347B5E"/>
    <w:rsid w:val="00347E0D"/>
    <w:rsid w:val="003500FD"/>
    <w:rsid w:val="003501FB"/>
    <w:rsid w:val="00350320"/>
    <w:rsid w:val="0035050B"/>
    <w:rsid w:val="00350CA3"/>
    <w:rsid w:val="00350E29"/>
    <w:rsid w:val="003510E1"/>
    <w:rsid w:val="0035114C"/>
    <w:rsid w:val="00351212"/>
    <w:rsid w:val="00351874"/>
    <w:rsid w:val="00351AB3"/>
    <w:rsid w:val="00351C05"/>
    <w:rsid w:val="00351E0C"/>
    <w:rsid w:val="0035208B"/>
    <w:rsid w:val="00352523"/>
    <w:rsid w:val="0035259C"/>
    <w:rsid w:val="00352F72"/>
    <w:rsid w:val="00353211"/>
    <w:rsid w:val="00353787"/>
    <w:rsid w:val="003537FE"/>
    <w:rsid w:val="00353818"/>
    <w:rsid w:val="00353AA6"/>
    <w:rsid w:val="00353C9A"/>
    <w:rsid w:val="0035405A"/>
    <w:rsid w:val="00354303"/>
    <w:rsid w:val="0035480E"/>
    <w:rsid w:val="0035495E"/>
    <w:rsid w:val="0035498F"/>
    <w:rsid w:val="00354BE8"/>
    <w:rsid w:val="00354C72"/>
    <w:rsid w:val="00354C77"/>
    <w:rsid w:val="00354E35"/>
    <w:rsid w:val="00354E6A"/>
    <w:rsid w:val="00355B51"/>
    <w:rsid w:val="003566B7"/>
    <w:rsid w:val="00356795"/>
    <w:rsid w:val="00356BD9"/>
    <w:rsid w:val="00356BE5"/>
    <w:rsid w:val="0035700F"/>
    <w:rsid w:val="003570FC"/>
    <w:rsid w:val="003572D6"/>
    <w:rsid w:val="0035744B"/>
    <w:rsid w:val="003576B9"/>
    <w:rsid w:val="00360040"/>
    <w:rsid w:val="003601A0"/>
    <w:rsid w:val="0036057F"/>
    <w:rsid w:val="00360857"/>
    <w:rsid w:val="00361165"/>
    <w:rsid w:val="003613DB"/>
    <w:rsid w:val="00361FDB"/>
    <w:rsid w:val="003625B3"/>
    <w:rsid w:val="00362921"/>
    <w:rsid w:val="00362D35"/>
    <w:rsid w:val="0036305F"/>
    <w:rsid w:val="00363121"/>
    <w:rsid w:val="00363922"/>
    <w:rsid w:val="00363A77"/>
    <w:rsid w:val="00363E39"/>
    <w:rsid w:val="00364000"/>
    <w:rsid w:val="00364037"/>
    <w:rsid w:val="00364888"/>
    <w:rsid w:val="003649AA"/>
    <w:rsid w:val="00364C43"/>
    <w:rsid w:val="00365149"/>
    <w:rsid w:val="0036594A"/>
    <w:rsid w:val="00365A9D"/>
    <w:rsid w:val="00365D54"/>
    <w:rsid w:val="00366F32"/>
    <w:rsid w:val="003677E4"/>
    <w:rsid w:val="003679DA"/>
    <w:rsid w:val="00367B39"/>
    <w:rsid w:val="00367CDE"/>
    <w:rsid w:val="00367D27"/>
    <w:rsid w:val="003700FF"/>
    <w:rsid w:val="003703BC"/>
    <w:rsid w:val="00370523"/>
    <w:rsid w:val="0037067E"/>
    <w:rsid w:val="00370716"/>
    <w:rsid w:val="00370B32"/>
    <w:rsid w:val="00370ED6"/>
    <w:rsid w:val="00370EE2"/>
    <w:rsid w:val="00371105"/>
    <w:rsid w:val="00371253"/>
    <w:rsid w:val="00372262"/>
    <w:rsid w:val="003727F8"/>
    <w:rsid w:val="0037288A"/>
    <w:rsid w:val="00372B76"/>
    <w:rsid w:val="00372C8F"/>
    <w:rsid w:val="00373236"/>
    <w:rsid w:val="003735A0"/>
    <w:rsid w:val="00373678"/>
    <w:rsid w:val="00373680"/>
    <w:rsid w:val="003736D1"/>
    <w:rsid w:val="00373E37"/>
    <w:rsid w:val="00374133"/>
    <w:rsid w:val="0037424E"/>
    <w:rsid w:val="003743CF"/>
    <w:rsid w:val="0037493A"/>
    <w:rsid w:val="0037498B"/>
    <w:rsid w:val="00375036"/>
    <w:rsid w:val="003753A9"/>
    <w:rsid w:val="0037563C"/>
    <w:rsid w:val="00375670"/>
    <w:rsid w:val="00375B37"/>
    <w:rsid w:val="00376216"/>
    <w:rsid w:val="0037641A"/>
    <w:rsid w:val="00376D55"/>
    <w:rsid w:val="00377351"/>
    <w:rsid w:val="00377BEB"/>
    <w:rsid w:val="00377D12"/>
    <w:rsid w:val="003800B1"/>
    <w:rsid w:val="0038046A"/>
    <w:rsid w:val="00380529"/>
    <w:rsid w:val="00381717"/>
    <w:rsid w:val="00381853"/>
    <w:rsid w:val="00381A77"/>
    <w:rsid w:val="00381BB4"/>
    <w:rsid w:val="003821DB"/>
    <w:rsid w:val="00382366"/>
    <w:rsid w:val="00382D87"/>
    <w:rsid w:val="00382D8E"/>
    <w:rsid w:val="00382EA1"/>
    <w:rsid w:val="003830BF"/>
    <w:rsid w:val="003839C2"/>
    <w:rsid w:val="00383ACF"/>
    <w:rsid w:val="00383E3F"/>
    <w:rsid w:val="00383EF4"/>
    <w:rsid w:val="00383F9A"/>
    <w:rsid w:val="003842F8"/>
    <w:rsid w:val="003844EC"/>
    <w:rsid w:val="003847B3"/>
    <w:rsid w:val="003848A5"/>
    <w:rsid w:val="00384D77"/>
    <w:rsid w:val="0038521F"/>
    <w:rsid w:val="00385223"/>
    <w:rsid w:val="003852DE"/>
    <w:rsid w:val="00386836"/>
    <w:rsid w:val="00386DC5"/>
    <w:rsid w:val="0038705F"/>
    <w:rsid w:val="0038734A"/>
    <w:rsid w:val="003874E5"/>
    <w:rsid w:val="0038770F"/>
    <w:rsid w:val="00387A77"/>
    <w:rsid w:val="00387E18"/>
    <w:rsid w:val="00387E24"/>
    <w:rsid w:val="00387E25"/>
    <w:rsid w:val="0039039C"/>
    <w:rsid w:val="00390933"/>
    <w:rsid w:val="003909D0"/>
    <w:rsid w:val="00390A62"/>
    <w:rsid w:val="00390DDF"/>
    <w:rsid w:val="00390EBF"/>
    <w:rsid w:val="00391954"/>
    <w:rsid w:val="00391BAA"/>
    <w:rsid w:val="00391CAC"/>
    <w:rsid w:val="00392B18"/>
    <w:rsid w:val="00392F64"/>
    <w:rsid w:val="003933E0"/>
    <w:rsid w:val="003935CF"/>
    <w:rsid w:val="003936FE"/>
    <w:rsid w:val="00393A3E"/>
    <w:rsid w:val="00393C17"/>
    <w:rsid w:val="003943F9"/>
    <w:rsid w:val="003945E6"/>
    <w:rsid w:val="00394773"/>
    <w:rsid w:val="003947BE"/>
    <w:rsid w:val="00394A10"/>
    <w:rsid w:val="00395129"/>
    <w:rsid w:val="00395148"/>
    <w:rsid w:val="003952AD"/>
    <w:rsid w:val="003952BA"/>
    <w:rsid w:val="003956DE"/>
    <w:rsid w:val="00395869"/>
    <w:rsid w:val="003959BC"/>
    <w:rsid w:val="00396177"/>
    <w:rsid w:val="00396D43"/>
    <w:rsid w:val="0039700A"/>
    <w:rsid w:val="0039711C"/>
    <w:rsid w:val="00397310"/>
    <w:rsid w:val="0039738F"/>
    <w:rsid w:val="00397CA7"/>
    <w:rsid w:val="00397E27"/>
    <w:rsid w:val="003A00A0"/>
    <w:rsid w:val="003A03C6"/>
    <w:rsid w:val="003A0750"/>
    <w:rsid w:val="003A082B"/>
    <w:rsid w:val="003A1347"/>
    <w:rsid w:val="003A137A"/>
    <w:rsid w:val="003A173B"/>
    <w:rsid w:val="003A192C"/>
    <w:rsid w:val="003A1B3F"/>
    <w:rsid w:val="003A2076"/>
    <w:rsid w:val="003A2323"/>
    <w:rsid w:val="003A2488"/>
    <w:rsid w:val="003A2509"/>
    <w:rsid w:val="003A2EDB"/>
    <w:rsid w:val="003A301E"/>
    <w:rsid w:val="003A31E9"/>
    <w:rsid w:val="003A33F1"/>
    <w:rsid w:val="003A38AF"/>
    <w:rsid w:val="003A3CB7"/>
    <w:rsid w:val="003A467D"/>
    <w:rsid w:val="003A4D6F"/>
    <w:rsid w:val="003A4DAF"/>
    <w:rsid w:val="003A505C"/>
    <w:rsid w:val="003A50CD"/>
    <w:rsid w:val="003A5253"/>
    <w:rsid w:val="003A5D7A"/>
    <w:rsid w:val="003A5E07"/>
    <w:rsid w:val="003A695B"/>
    <w:rsid w:val="003A6B2A"/>
    <w:rsid w:val="003A7A00"/>
    <w:rsid w:val="003A7A26"/>
    <w:rsid w:val="003A7B0E"/>
    <w:rsid w:val="003A7B2D"/>
    <w:rsid w:val="003A7E42"/>
    <w:rsid w:val="003B00EE"/>
    <w:rsid w:val="003B0179"/>
    <w:rsid w:val="003B0B41"/>
    <w:rsid w:val="003B0C98"/>
    <w:rsid w:val="003B1113"/>
    <w:rsid w:val="003B1260"/>
    <w:rsid w:val="003B164F"/>
    <w:rsid w:val="003B1FFA"/>
    <w:rsid w:val="003B22E0"/>
    <w:rsid w:val="003B2B80"/>
    <w:rsid w:val="003B2BF3"/>
    <w:rsid w:val="003B2C52"/>
    <w:rsid w:val="003B2CF8"/>
    <w:rsid w:val="003B2D45"/>
    <w:rsid w:val="003B2E5C"/>
    <w:rsid w:val="003B2EAB"/>
    <w:rsid w:val="003B3383"/>
    <w:rsid w:val="003B36D5"/>
    <w:rsid w:val="003B383D"/>
    <w:rsid w:val="003B3973"/>
    <w:rsid w:val="003B3D14"/>
    <w:rsid w:val="003B3D5A"/>
    <w:rsid w:val="003B4113"/>
    <w:rsid w:val="003B41C0"/>
    <w:rsid w:val="003B498F"/>
    <w:rsid w:val="003B4AA7"/>
    <w:rsid w:val="003B4C67"/>
    <w:rsid w:val="003B4D63"/>
    <w:rsid w:val="003B4FD4"/>
    <w:rsid w:val="003B50AE"/>
    <w:rsid w:val="003B51E2"/>
    <w:rsid w:val="003B594A"/>
    <w:rsid w:val="003B5A0F"/>
    <w:rsid w:val="003B5FD6"/>
    <w:rsid w:val="003B6667"/>
    <w:rsid w:val="003B67CC"/>
    <w:rsid w:val="003B68CF"/>
    <w:rsid w:val="003B6A96"/>
    <w:rsid w:val="003B70DF"/>
    <w:rsid w:val="003B7370"/>
    <w:rsid w:val="003B738D"/>
    <w:rsid w:val="003B73DE"/>
    <w:rsid w:val="003B7AC1"/>
    <w:rsid w:val="003C02AC"/>
    <w:rsid w:val="003C078E"/>
    <w:rsid w:val="003C0CBD"/>
    <w:rsid w:val="003C1A97"/>
    <w:rsid w:val="003C1F5E"/>
    <w:rsid w:val="003C26F4"/>
    <w:rsid w:val="003C2C5A"/>
    <w:rsid w:val="003C35BE"/>
    <w:rsid w:val="003C374A"/>
    <w:rsid w:val="003C3758"/>
    <w:rsid w:val="003C3838"/>
    <w:rsid w:val="003C3BE8"/>
    <w:rsid w:val="003C3F30"/>
    <w:rsid w:val="003C3FF7"/>
    <w:rsid w:val="003C42AB"/>
    <w:rsid w:val="003C438E"/>
    <w:rsid w:val="003C479E"/>
    <w:rsid w:val="003C4BF8"/>
    <w:rsid w:val="003C4CEA"/>
    <w:rsid w:val="003C5356"/>
    <w:rsid w:val="003C572A"/>
    <w:rsid w:val="003C577D"/>
    <w:rsid w:val="003C5957"/>
    <w:rsid w:val="003C595C"/>
    <w:rsid w:val="003C6311"/>
    <w:rsid w:val="003C634B"/>
    <w:rsid w:val="003C69C7"/>
    <w:rsid w:val="003C6AED"/>
    <w:rsid w:val="003C6D9F"/>
    <w:rsid w:val="003C6E68"/>
    <w:rsid w:val="003C70B4"/>
    <w:rsid w:val="003C7779"/>
    <w:rsid w:val="003C7842"/>
    <w:rsid w:val="003D0113"/>
    <w:rsid w:val="003D031F"/>
    <w:rsid w:val="003D032F"/>
    <w:rsid w:val="003D051A"/>
    <w:rsid w:val="003D0884"/>
    <w:rsid w:val="003D0A37"/>
    <w:rsid w:val="003D0E83"/>
    <w:rsid w:val="003D0F20"/>
    <w:rsid w:val="003D14D7"/>
    <w:rsid w:val="003D15FD"/>
    <w:rsid w:val="003D1A31"/>
    <w:rsid w:val="003D1E7C"/>
    <w:rsid w:val="003D1EA1"/>
    <w:rsid w:val="003D223B"/>
    <w:rsid w:val="003D24CA"/>
    <w:rsid w:val="003D2773"/>
    <w:rsid w:val="003D2A3C"/>
    <w:rsid w:val="003D2E87"/>
    <w:rsid w:val="003D2F04"/>
    <w:rsid w:val="003D30C5"/>
    <w:rsid w:val="003D3569"/>
    <w:rsid w:val="003D37B2"/>
    <w:rsid w:val="003D3A02"/>
    <w:rsid w:val="003D3B72"/>
    <w:rsid w:val="003D3CC7"/>
    <w:rsid w:val="003D3F1E"/>
    <w:rsid w:val="003D411A"/>
    <w:rsid w:val="003D4536"/>
    <w:rsid w:val="003D4788"/>
    <w:rsid w:val="003D5940"/>
    <w:rsid w:val="003D5BD9"/>
    <w:rsid w:val="003D5C54"/>
    <w:rsid w:val="003D5C7E"/>
    <w:rsid w:val="003D5E93"/>
    <w:rsid w:val="003D614B"/>
    <w:rsid w:val="003D6181"/>
    <w:rsid w:val="003D6615"/>
    <w:rsid w:val="003D6A3D"/>
    <w:rsid w:val="003D7112"/>
    <w:rsid w:val="003D714D"/>
    <w:rsid w:val="003D7214"/>
    <w:rsid w:val="003D7E4B"/>
    <w:rsid w:val="003E0A14"/>
    <w:rsid w:val="003E0AD0"/>
    <w:rsid w:val="003E0B4B"/>
    <w:rsid w:val="003E0D1C"/>
    <w:rsid w:val="003E145C"/>
    <w:rsid w:val="003E1609"/>
    <w:rsid w:val="003E18D8"/>
    <w:rsid w:val="003E19BA"/>
    <w:rsid w:val="003E1BA9"/>
    <w:rsid w:val="003E1D0E"/>
    <w:rsid w:val="003E254B"/>
    <w:rsid w:val="003E2A23"/>
    <w:rsid w:val="003E2EBC"/>
    <w:rsid w:val="003E3248"/>
    <w:rsid w:val="003E3553"/>
    <w:rsid w:val="003E36E5"/>
    <w:rsid w:val="003E379C"/>
    <w:rsid w:val="003E3949"/>
    <w:rsid w:val="003E3C63"/>
    <w:rsid w:val="003E459D"/>
    <w:rsid w:val="003E497A"/>
    <w:rsid w:val="003E4983"/>
    <w:rsid w:val="003E5125"/>
    <w:rsid w:val="003E512A"/>
    <w:rsid w:val="003E5563"/>
    <w:rsid w:val="003E55F9"/>
    <w:rsid w:val="003E6870"/>
    <w:rsid w:val="003E6ACA"/>
    <w:rsid w:val="003E7031"/>
    <w:rsid w:val="003E723F"/>
    <w:rsid w:val="003E76CE"/>
    <w:rsid w:val="003E7781"/>
    <w:rsid w:val="003E798C"/>
    <w:rsid w:val="003F0012"/>
    <w:rsid w:val="003F03EF"/>
    <w:rsid w:val="003F0C6C"/>
    <w:rsid w:val="003F0F0F"/>
    <w:rsid w:val="003F0FA4"/>
    <w:rsid w:val="003F114D"/>
    <w:rsid w:val="003F158F"/>
    <w:rsid w:val="003F1E8F"/>
    <w:rsid w:val="003F1EA1"/>
    <w:rsid w:val="003F1F5E"/>
    <w:rsid w:val="003F2382"/>
    <w:rsid w:val="003F2C60"/>
    <w:rsid w:val="003F2C83"/>
    <w:rsid w:val="003F2C84"/>
    <w:rsid w:val="003F327C"/>
    <w:rsid w:val="003F3574"/>
    <w:rsid w:val="003F368C"/>
    <w:rsid w:val="003F3699"/>
    <w:rsid w:val="003F3830"/>
    <w:rsid w:val="003F3850"/>
    <w:rsid w:val="003F3D05"/>
    <w:rsid w:val="003F3FA4"/>
    <w:rsid w:val="003F418D"/>
    <w:rsid w:val="003F47FE"/>
    <w:rsid w:val="003F4D75"/>
    <w:rsid w:val="003F4E4F"/>
    <w:rsid w:val="003F50B2"/>
    <w:rsid w:val="003F54CE"/>
    <w:rsid w:val="003F61EB"/>
    <w:rsid w:val="003F666D"/>
    <w:rsid w:val="003F6B88"/>
    <w:rsid w:val="003F6D98"/>
    <w:rsid w:val="003F74BE"/>
    <w:rsid w:val="003F77D9"/>
    <w:rsid w:val="00401020"/>
    <w:rsid w:val="00401131"/>
    <w:rsid w:val="0040114B"/>
    <w:rsid w:val="0040117A"/>
    <w:rsid w:val="0040136A"/>
    <w:rsid w:val="00401494"/>
    <w:rsid w:val="004018B0"/>
    <w:rsid w:val="00401E84"/>
    <w:rsid w:val="00401ED5"/>
    <w:rsid w:val="0040232D"/>
    <w:rsid w:val="004024BB"/>
    <w:rsid w:val="00402610"/>
    <w:rsid w:val="00402647"/>
    <w:rsid w:val="00402A62"/>
    <w:rsid w:val="00402E2D"/>
    <w:rsid w:val="00403276"/>
    <w:rsid w:val="004032CD"/>
    <w:rsid w:val="00403461"/>
    <w:rsid w:val="004034E9"/>
    <w:rsid w:val="004038E4"/>
    <w:rsid w:val="00403D3B"/>
    <w:rsid w:val="00403D56"/>
    <w:rsid w:val="00404270"/>
    <w:rsid w:val="004043B7"/>
    <w:rsid w:val="0040447D"/>
    <w:rsid w:val="0040488B"/>
    <w:rsid w:val="00404FA8"/>
    <w:rsid w:val="004053C0"/>
    <w:rsid w:val="004053FA"/>
    <w:rsid w:val="00405457"/>
    <w:rsid w:val="00405655"/>
    <w:rsid w:val="00405EE2"/>
    <w:rsid w:val="00406336"/>
    <w:rsid w:val="00406575"/>
    <w:rsid w:val="00406BA0"/>
    <w:rsid w:val="00406BC2"/>
    <w:rsid w:val="00406E23"/>
    <w:rsid w:val="004076E6"/>
    <w:rsid w:val="0040777E"/>
    <w:rsid w:val="00407960"/>
    <w:rsid w:val="00407A69"/>
    <w:rsid w:val="00407BB7"/>
    <w:rsid w:val="00407C52"/>
    <w:rsid w:val="00407F0E"/>
    <w:rsid w:val="00407FA4"/>
    <w:rsid w:val="004106E6"/>
    <w:rsid w:val="004107CC"/>
    <w:rsid w:val="0041094D"/>
    <w:rsid w:val="004109B0"/>
    <w:rsid w:val="0041129E"/>
    <w:rsid w:val="00411481"/>
    <w:rsid w:val="004116C0"/>
    <w:rsid w:val="004116DA"/>
    <w:rsid w:val="0041197D"/>
    <w:rsid w:val="00411C20"/>
    <w:rsid w:val="004124FD"/>
    <w:rsid w:val="004127FB"/>
    <w:rsid w:val="00412C47"/>
    <w:rsid w:val="00412D1E"/>
    <w:rsid w:val="00412F28"/>
    <w:rsid w:val="004134A6"/>
    <w:rsid w:val="004135CF"/>
    <w:rsid w:val="00413642"/>
    <w:rsid w:val="00413777"/>
    <w:rsid w:val="004138C9"/>
    <w:rsid w:val="0041394A"/>
    <w:rsid w:val="00413A87"/>
    <w:rsid w:val="004141D0"/>
    <w:rsid w:val="0041456A"/>
    <w:rsid w:val="00414628"/>
    <w:rsid w:val="00414CAC"/>
    <w:rsid w:val="00414D3C"/>
    <w:rsid w:val="00415326"/>
    <w:rsid w:val="00415659"/>
    <w:rsid w:val="00415C92"/>
    <w:rsid w:val="00415E2E"/>
    <w:rsid w:val="004160DC"/>
    <w:rsid w:val="004163CA"/>
    <w:rsid w:val="0041643B"/>
    <w:rsid w:val="00416833"/>
    <w:rsid w:val="00416A77"/>
    <w:rsid w:val="00416B6D"/>
    <w:rsid w:val="00416C91"/>
    <w:rsid w:val="004171D3"/>
    <w:rsid w:val="00417639"/>
    <w:rsid w:val="00420109"/>
    <w:rsid w:val="0042029B"/>
    <w:rsid w:val="00420672"/>
    <w:rsid w:val="00420BAC"/>
    <w:rsid w:val="00420BB0"/>
    <w:rsid w:val="00420E92"/>
    <w:rsid w:val="00420FC2"/>
    <w:rsid w:val="004210AA"/>
    <w:rsid w:val="00421AE4"/>
    <w:rsid w:val="00421E29"/>
    <w:rsid w:val="00421E40"/>
    <w:rsid w:val="00421F0D"/>
    <w:rsid w:val="00422458"/>
    <w:rsid w:val="0042293F"/>
    <w:rsid w:val="00422A76"/>
    <w:rsid w:val="00422AA3"/>
    <w:rsid w:val="00422C18"/>
    <w:rsid w:val="00422CBB"/>
    <w:rsid w:val="00423C0A"/>
    <w:rsid w:val="004244C0"/>
    <w:rsid w:val="0042515F"/>
    <w:rsid w:val="004253D4"/>
    <w:rsid w:val="004254B6"/>
    <w:rsid w:val="00425542"/>
    <w:rsid w:val="0042559B"/>
    <w:rsid w:val="00425D2A"/>
    <w:rsid w:val="00425D3C"/>
    <w:rsid w:val="00425DC3"/>
    <w:rsid w:val="00426301"/>
    <w:rsid w:val="00426654"/>
    <w:rsid w:val="00426973"/>
    <w:rsid w:val="004269CC"/>
    <w:rsid w:val="00426A19"/>
    <w:rsid w:val="00426E6F"/>
    <w:rsid w:val="00426F13"/>
    <w:rsid w:val="00426FB3"/>
    <w:rsid w:val="004272B4"/>
    <w:rsid w:val="004273D5"/>
    <w:rsid w:val="00427869"/>
    <w:rsid w:val="004279D6"/>
    <w:rsid w:val="00430131"/>
    <w:rsid w:val="0043041F"/>
    <w:rsid w:val="00430666"/>
    <w:rsid w:val="00430BEA"/>
    <w:rsid w:val="00430BF5"/>
    <w:rsid w:val="004313B0"/>
    <w:rsid w:val="0043145B"/>
    <w:rsid w:val="004316BA"/>
    <w:rsid w:val="00431715"/>
    <w:rsid w:val="004318DB"/>
    <w:rsid w:val="004319F1"/>
    <w:rsid w:val="00431D1F"/>
    <w:rsid w:val="00431F54"/>
    <w:rsid w:val="004324DF"/>
    <w:rsid w:val="0043255C"/>
    <w:rsid w:val="00432587"/>
    <w:rsid w:val="00432B63"/>
    <w:rsid w:val="00433291"/>
    <w:rsid w:val="00433829"/>
    <w:rsid w:val="00433B60"/>
    <w:rsid w:val="00433ED3"/>
    <w:rsid w:val="00434699"/>
    <w:rsid w:val="00434C13"/>
    <w:rsid w:val="00434CBE"/>
    <w:rsid w:val="00434D33"/>
    <w:rsid w:val="00435113"/>
    <w:rsid w:val="0043572A"/>
    <w:rsid w:val="00436022"/>
    <w:rsid w:val="0043625C"/>
    <w:rsid w:val="00436A4D"/>
    <w:rsid w:val="00436C0B"/>
    <w:rsid w:val="00436D3C"/>
    <w:rsid w:val="00436E43"/>
    <w:rsid w:val="00437190"/>
    <w:rsid w:val="004372B7"/>
    <w:rsid w:val="0043744C"/>
    <w:rsid w:val="004374C7"/>
    <w:rsid w:val="00437A24"/>
    <w:rsid w:val="00437A31"/>
    <w:rsid w:val="00437CCD"/>
    <w:rsid w:val="0044001C"/>
    <w:rsid w:val="0044001D"/>
    <w:rsid w:val="004406B9"/>
    <w:rsid w:val="00440B0E"/>
    <w:rsid w:val="00441165"/>
    <w:rsid w:val="00441C5A"/>
    <w:rsid w:val="00441E04"/>
    <w:rsid w:val="0044209C"/>
    <w:rsid w:val="004420E0"/>
    <w:rsid w:val="004422E4"/>
    <w:rsid w:val="004426F3"/>
    <w:rsid w:val="004428DC"/>
    <w:rsid w:val="00442938"/>
    <w:rsid w:val="00442D60"/>
    <w:rsid w:val="0044330C"/>
    <w:rsid w:val="00443313"/>
    <w:rsid w:val="004435EC"/>
    <w:rsid w:val="004438F1"/>
    <w:rsid w:val="00443E01"/>
    <w:rsid w:val="00443ED8"/>
    <w:rsid w:val="00444035"/>
    <w:rsid w:val="00444C2D"/>
    <w:rsid w:val="00444FC5"/>
    <w:rsid w:val="004451EA"/>
    <w:rsid w:val="0044556A"/>
    <w:rsid w:val="004457BF"/>
    <w:rsid w:val="00445963"/>
    <w:rsid w:val="0044599C"/>
    <w:rsid w:val="00445F08"/>
    <w:rsid w:val="004462CB"/>
    <w:rsid w:val="004463D9"/>
    <w:rsid w:val="0044646E"/>
    <w:rsid w:val="0044688C"/>
    <w:rsid w:val="0044689A"/>
    <w:rsid w:val="004469F4"/>
    <w:rsid w:val="004471D3"/>
    <w:rsid w:val="00447939"/>
    <w:rsid w:val="00447947"/>
    <w:rsid w:val="00447A25"/>
    <w:rsid w:val="00447E3C"/>
    <w:rsid w:val="00447E47"/>
    <w:rsid w:val="00450013"/>
    <w:rsid w:val="004500AC"/>
    <w:rsid w:val="004500B3"/>
    <w:rsid w:val="00450184"/>
    <w:rsid w:val="004501E9"/>
    <w:rsid w:val="00450D27"/>
    <w:rsid w:val="00450EDA"/>
    <w:rsid w:val="00450F86"/>
    <w:rsid w:val="004512B0"/>
    <w:rsid w:val="00451888"/>
    <w:rsid w:val="00451B71"/>
    <w:rsid w:val="00451E2A"/>
    <w:rsid w:val="00451F00"/>
    <w:rsid w:val="0045247D"/>
    <w:rsid w:val="00452798"/>
    <w:rsid w:val="004527CD"/>
    <w:rsid w:val="00452924"/>
    <w:rsid w:val="00452DF9"/>
    <w:rsid w:val="00452FFF"/>
    <w:rsid w:val="00453234"/>
    <w:rsid w:val="00453616"/>
    <w:rsid w:val="004544FB"/>
    <w:rsid w:val="004546D6"/>
    <w:rsid w:val="0045489A"/>
    <w:rsid w:val="00455154"/>
    <w:rsid w:val="00455302"/>
    <w:rsid w:val="004558E6"/>
    <w:rsid w:val="00455D17"/>
    <w:rsid w:val="00455F3D"/>
    <w:rsid w:val="00456178"/>
    <w:rsid w:val="004561C2"/>
    <w:rsid w:val="004562D4"/>
    <w:rsid w:val="00456373"/>
    <w:rsid w:val="00456491"/>
    <w:rsid w:val="0045681C"/>
    <w:rsid w:val="00456C74"/>
    <w:rsid w:val="00456DDE"/>
    <w:rsid w:val="00456E91"/>
    <w:rsid w:val="004576BA"/>
    <w:rsid w:val="00457847"/>
    <w:rsid w:val="004578B9"/>
    <w:rsid w:val="0046074F"/>
    <w:rsid w:val="00460BEC"/>
    <w:rsid w:val="004613D5"/>
    <w:rsid w:val="00461C97"/>
    <w:rsid w:val="00461DFF"/>
    <w:rsid w:val="00461E3E"/>
    <w:rsid w:val="00462099"/>
    <w:rsid w:val="0046297C"/>
    <w:rsid w:val="004629CC"/>
    <w:rsid w:val="00462F8F"/>
    <w:rsid w:val="00462FB8"/>
    <w:rsid w:val="00462FF4"/>
    <w:rsid w:val="00463031"/>
    <w:rsid w:val="00463C1A"/>
    <w:rsid w:val="00464059"/>
    <w:rsid w:val="0046449E"/>
    <w:rsid w:val="00464520"/>
    <w:rsid w:val="0046517B"/>
    <w:rsid w:val="004653C9"/>
    <w:rsid w:val="0046590E"/>
    <w:rsid w:val="0046596E"/>
    <w:rsid w:val="00465AA9"/>
    <w:rsid w:val="00465B0A"/>
    <w:rsid w:val="00466005"/>
    <w:rsid w:val="00466128"/>
    <w:rsid w:val="004661ED"/>
    <w:rsid w:val="004663CD"/>
    <w:rsid w:val="00466E34"/>
    <w:rsid w:val="0046786F"/>
    <w:rsid w:val="00467967"/>
    <w:rsid w:val="00467A35"/>
    <w:rsid w:val="00467D65"/>
    <w:rsid w:val="004700BF"/>
    <w:rsid w:val="00470481"/>
    <w:rsid w:val="00470570"/>
    <w:rsid w:val="004710B0"/>
    <w:rsid w:val="00471266"/>
    <w:rsid w:val="004713B6"/>
    <w:rsid w:val="004715E9"/>
    <w:rsid w:val="004719E1"/>
    <w:rsid w:val="00471DC6"/>
    <w:rsid w:val="004720D0"/>
    <w:rsid w:val="00472147"/>
    <w:rsid w:val="00472151"/>
    <w:rsid w:val="00472342"/>
    <w:rsid w:val="00472634"/>
    <w:rsid w:val="004726E8"/>
    <w:rsid w:val="00473662"/>
    <w:rsid w:val="00473713"/>
    <w:rsid w:val="00473760"/>
    <w:rsid w:val="00473DDC"/>
    <w:rsid w:val="004740CD"/>
    <w:rsid w:val="0047471A"/>
    <w:rsid w:val="00474C3B"/>
    <w:rsid w:val="00474D26"/>
    <w:rsid w:val="00474D3C"/>
    <w:rsid w:val="00474E50"/>
    <w:rsid w:val="00474E87"/>
    <w:rsid w:val="0047502F"/>
    <w:rsid w:val="0047533A"/>
    <w:rsid w:val="00475423"/>
    <w:rsid w:val="0047542F"/>
    <w:rsid w:val="00475E4E"/>
    <w:rsid w:val="00475F0B"/>
    <w:rsid w:val="00476136"/>
    <w:rsid w:val="0047635B"/>
    <w:rsid w:val="0047726D"/>
    <w:rsid w:val="00477500"/>
    <w:rsid w:val="0047776A"/>
    <w:rsid w:val="0047796D"/>
    <w:rsid w:val="00477BA9"/>
    <w:rsid w:val="00477BD5"/>
    <w:rsid w:val="00477CD1"/>
    <w:rsid w:val="0048050B"/>
    <w:rsid w:val="00480A75"/>
    <w:rsid w:val="00480D41"/>
    <w:rsid w:val="00480F01"/>
    <w:rsid w:val="00481E68"/>
    <w:rsid w:val="00482054"/>
    <w:rsid w:val="00482478"/>
    <w:rsid w:val="00482DA0"/>
    <w:rsid w:val="00482E6F"/>
    <w:rsid w:val="004830AB"/>
    <w:rsid w:val="00483834"/>
    <w:rsid w:val="0048386E"/>
    <w:rsid w:val="00483C44"/>
    <w:rsid w:val="00484309"/>
    <w:rsid w:val="004843A2"/>
    <w:rsid w:val="00484437"/>
    <w:rsid w:val="00484717"/>
    <w:rsid w:val="004853EF"/>
    <w:rsid w:val="0048563B"/>
    <w:rsid w:val="00486180"/>
    <w:rsid w:val="004863C8"/>
    <w:rsid w:val="004863D4"/>
    <w:rsid w:val="00486B01"/>
    <w:rsid w:val="0048731E"/>
    <w:rsid w:val="0048742D"/>
    <w:rsid w:val="004874E6"/>
    <w:rsid w:val="0048758B"/>
    <w:rsid w:val="00487A15"/>
    <w:rsid w:val="00487F37"/>
    <w:rsid w:val="004906FA"/>
    <w:rsid w:val="00490CAE"/>
    <w:rsid w:val="004919C3"/>
    <w:rsid w:val="004920A5"/>
    <w:rsid w:val="00492391"/>
    <w:rsid w:val="00492DD1"/>
    <w:rsid w:val="00492E1A"/>
    <w:rsid w:val="00492F8F"/>
    <w:rsid w:val="004930F7"/>
    <w:rsid w:val="0049311D"/>
    <w:rsid w:val="004939ED"/>
    <w:rsid w:val="00493D2A"/>
    <w:rsid w:val="00493EE7"/>
    <w:rsid w:val="00494094"/>
    <w:rsid w:val="00494383"/>
    <w:rsid w:val="0049474B"/>
    <w:rsid w:val="004950A0"/>
    <w:rsid w:val="004952AA"/>
    <w:rsid w:val="004956E3"/>
    <w:rsid w:val="00495DD5"/>
    <w:rsid w:val="0049634B"/>
    <w:rsid w:val="00496856"/>
    <w:rsid w:val="00496FC0"/>
    <w:rsid w:val="004A0128"/>
    <w:rsid w:val="004A0269"/>
    <w:rsid w:val="004A026A"/>
    <w:rsid w:val="004A02B5"/>
    <w:rsid w:val="004A040B"/>
    <w:rsid w:val="004A0484"/>
    <w:rsid w:val="004A0575"/>
    <w:rsid w:val="004A07A0"/>
    <w:rsid w:val="004A07E1"/>
    <w:rsid w:val="004A0A64"/>
    <w:rsid w:val="004A1319"/>
    <w:rsid w:val="004A17DF"/>
    <w:rsid w:val="004A1814"/>
    <w:rsid w:val="004A184E"/>
    <w:rsid w:val="004A1F2C"/>
    <w:rsid w:val="004A1F88"/>
    <w:rsid w:val="004A2735"/>
    <w:rsid w:val="004A2866"/>
    <w:rsid w:val="004A291D"/>
    <w:rsid w:val="004A293A"/>
    <w:rsid w:val="004A2A74"/>
    <w:rsid w:val="004A2DD6"/>
    <w:rsid w:val="004A3400"/>
    <w:rsid w:val="004A3846"/>
    <w:rsid w:val="004A3A1A"/>
    <w:rsid w:val="004A3AA6"/>
    <w:rsid w:val="004A3C81"/>
    <w:rsid w:val="004A3ECB"/>
    <w:rsid w:val="004A435F"/>
    <w:rsid w:val="004A4A0C"/>
    <w:rsid w:val="004A4FED"/>
    <w:rsid w:val="004A5253"/>
    <w:rsid w:val="004A526D"/>
    <w:rsid w:val="004A5574"/>
    <w:rsid w:val="004A583F"/>
    <w:rsid w:val="004A58E8"/>
    <w:rsid w:val="004A5E99"/>
    <w:rsid w:val="004A5EEF"/>
    <w:rsid w:val="004A6171"/>
    <w:rsid w:val="004A61B4"/>
    <w:rsid w:val="004A62FA"/>
    <w:rsid w:val="004A69FB"/>
    <w:rsid w:val="004A7206"/>
    <w:rsid w:val="004A72AB"/>
    <w:rsid w:val="004A74ED"/>
    <w:rsid w:val="004A7694"/>
    <w:rsid w:val="004A76D8"/>
    <w:rsid w:val="004A79E7"/>
    <w:rsid w:val="004B00C6"/>
    <w:rsid w:val="004B041F"/>
    <w:rsid w:val="004B0A7A"/>
    <w:rsid w:val="004B0D05"/>
    <w:rsid w:val="004B1059"/>
    <w:rsid w:val="004B10FF"/>
    <w:rsid w:val="004B1314"/>
    <w:rsid w:val="004B13FD"/>
    <w:rsid w:val="004B1ADC"/>
    <w:rsid w:val="004B1DD4"/>
    <w:rsid w:val="004B20F3"/>
    <w:rsid w:val="004B272C"/>
    <w:rsid w:val="004B27EA"/>
    <w:rsid w:val="004B2B21"/>
    <w:rsid w:val="004B2E7A"/>
    <w:rsid w:val="004B3112"/>
    <w:rsid w:val="004B3952"/>
    <w:rsid w:val="004B4740"/>
    <w:rsid w:val="004B4A74"/>
    <w:rsid w:val="004B529E"/>
    <w:rsid w:val="004B5A17"/>
    <w:rsid w:val="004B5B06"/>
    <w:rsid w:val="004B6543"/>
    <w:rsid w:val="004B65BA"/>
    <w:rsid w:val="004B6760"/>
    <w:rsid w:val="004B67F0"/>
    <w:rsid w:val="004B6C67"/>
    <w:rsid w:val="004B6DBB"/>
    <w:rsid w:val="004B7542"/>
    <w:rsid w:val="004C013F"/>
    <w:rsid w:val="004C0F2C"/>
    <w:rsid w:val="004C1274"/>
    <w:rsid w:val="004C1448"/>
    <w:rsid w:val="004C1662"/>
    <w:rsid w:val="004C186F"/>
    <w:rsid w:val="004C1A82"/>
    <w:rsid w:val="004C1ADE"/>
    <w:rsid w:val="004C1ED3"/>
    <w:rsid w:val="004C20B5"/>
    <w:rsid w:val="004C28A4"/>
    <w:rsid w:val="004C2AAD"/>
    <w:rsid w:val="004C2B13"/>
    <w:rsid w:val="004C3097"/>
    <w:rsid w:val="004C318C"/>
    <w:rsid w:val="004C33ED"/>
    <w:rsid w:val="004C3C07"/>
    <w:rsid w:val="004C3E91"/>
    <w:rsid w:val="004C414B"/>
    <w:rsid w:val="004C41B7"/>
    <w:rsid w:val="004C4325"/>
    <w:rsid w:val="004C4562"/>
    <w:rsid w:val="004C4991"/>
    <w:rsid w:val="004C4DCA"/>
    <w:rsid w:val="004C5949"/>
    <w:rsid w:val="004C5FEE"/>
    <w:rsid w:val="004C68C3"/>
    <w:rsid w:val="004C695F"/>
    <w:rsid w:val="004C6B62"/>
    <w:rsid w:val="004C71E7"/>
    <w:rsid w:val="004C729A"/>
    <w:rsid w:val="004C773A"/>
    <w:rsid w:val="004C7816"/>
    <w:rsid w:val="004C794E"/>
    <w:rsid w:val="004C7DD9"/>
    <w:rsid w:val="004D01CA"/>
    <w:rsid w:val="004D040A"/>
    <w:rsid w:val="004D098F"/>
    <w:rsid w:val="004D0B28"/>
    <w:rsid w:val="004D0BEA"/>
    <w:rsid w:val="004D1179"/>
    <w:rsid w:val="004D19FB"/>
    <w:rsid w:val="004D2120"/>
    <w:rsid w:val="004D2283"/>
    <w:rsid w:val="004D2A05"/>
    <w:rsid w:val="004D2D63"/>
    <w:rsid w:val="004D331D"/>
    <w:rsid w:val="004D35B5"/>
    <w:rsid w:val="004D35CF"/>
    <w:rsid w:val="004D38EC"/>
    <w:rsid w:val="004D3BAD"/>
    <w:rsid w:val="004D3E33"/>
    <w:rsid w:val="004D3E8B"/>
    <w:rsid w:val="004D3FA0"/>
    <w:rsid w:val="004D488F"/>
    <w:rsid w:val="004D4911"/>
    <w:rsid w:val="004D4E76"/>
    <w:rsid w:val="004D5227"/>
    <w:rsid w:val="004D56AA"/>
    <w:rsid w:val="004D59B1"/>
    <w:rsid w:val="004D5DD1"/>
    <w:rsid w:val="004D6263"/>
    <w:rsid w:val="004D6897"/>
    <w:rsid w:val="004D697C"/>
    <w:rsid w:val="004D6BFD"/>
    <w:rsid w:val="004D6D5D"/>
    <w:rsid w:val="004D6FEE"/>
    <w:rsid w:val="004D777D"/>
    <w:rsid w:val="004D7E93"/>
    <w:rsid w:val="004E02EE"/>
    <w:rsid w:val="004E0445"/>
    <w:rsid w:val="004E06FD"/>
    <w:rsid w:val="004E096F"/>
    <w:rsid w:val="004E0CAC"/>
    <w:rsid w:val="004E1283"/>
    <w:rsid w:val="004E1CC0"/>
    <w:rsid w:val="004E26DA"/>
    <w:rsid w:val="004E2A64"/>
    <w:rsid w:val="004E2B24"/>
    <w:rsid w:val="004E2F94"/>
    <w:rsid w:val="004E3463"/>
    <w:rsid w:val="004E3552"/>
    <w:rsid w:val="004E3634"/>
    <w:rsid w:val="004E46E0"/>
    <w:rsid w:val="004E4DD9"/>
    <w:rsid w:val="004E5296"/>
    <w:rsid w:val="004E5BB7"/>
    <w:rsid w:val="004E5CD0"/>
    <w:rsid w:val="004E6154"/>
    <w:rsid w:val="004E6167"/>
    <w:rsid w:val="004E6225"/>
    <w:rsid w:val="004E649D"/>
    <w:rsid w:val="004E66AB"/>
    <w:rsid w:val="004E66D4"/>
    <w:rsid w:val="004E6903"/>
    <w:rsid w:val="004E6A8E"/>
    <w:rsid w:val="004E6AB9"/>
    <w:rsid w:val="004E6DB5"/>
    <w:rsid w:val="004E7885"/>
    <w:rsid w:val="004F043B"/>
    <w:rsid w:val="004F09F4"/>
    <w:rsid w:val="004F0A1C"/>
    <w:rsid w:val="004F0E87"/>
    <w:rsid w:val="004F1169"/>
    <w:rsid w:val="004F12CE"/>
    <w:rsid w:val="004F28F9"/>
    <w:rsid w:val="004F364D"/>
    <w:rsid w:val="004F393C"/>
    <w:rsid w:val="004F3A42"/>
    <w:rsid w:val="004F3B8C"/>
    <w:rsid w:val="004F3E15"/>
    <w:rsid w:val="004F4219"/>
    <w:rsid w:val="004F42CD"/>
    <w:rsid w:val="004F4689"/>
    <w:rsid w:val="004F4C32"/>
    <w:rsid w:val="004F4E3A"/>
    <w:rsid w:val="004F4E79"/>
    <w:rsid w:val="004F5818"/>
    <w:rsid w:val="004F59D1"/>
    <w:rsid w:val="004F5A0F"/>
    <w:rsid w:val="004F5A91"/>
    <w:rsid w:val="004F5F1C"/>
    <w:rsid w:val="004F602C"/>
    <w:rsid w:val="004F6111"/>
    <w:rsid w:val="004F64EC"/>
    <w:rsid w:val="004F6532"/>
    <w:rsid w:val="004F69C5"/>
    <w:rsid w:val="004F6E67"/>
    <w:rsid w:val="004F7374"/>
    <w:rsid w:val="004F7448"/>
    <w:rsid w:val="004F7716"/>
    <w:rsid w:val="004F7AFE"/>
    <w:rsid w:val="004F7C28"/>
    <w:rsid w:val="004F7FB2"/>
    <w:rsid w:val="00500175"/>
    <w:rsid w:val="005003F2"/>
    <w:rsid w:val="00500454"/>
    <w:rsid w:val="00500516"/>
    <w:rsid w:val="0050097A"/>
    <w:rsid w:val="00500988"/>
    <w:rsid w:val="00501187"/>
    <w:rsid w:val="005011D5"/>
    <w:rsid w:val="00501E34"/>
    <w:rsid w:val="00502155"/>
    <w:rsid w:val="00502321"/>
    <w:rsid w:val="005026B7"/>
    <w:rsid w:val="00502790"/>
    <w:rsid w:val="005027A4"/>
    <w:rsid w:val="00502BBD"/>
    <w:rsid w:val="00502FD9"/>
    <w:rsid w:val="005035A0"/>
    <w:rsid w:val="00503602"/>
    <w:rsid w:val="00503D04"/>
    <w:rsid w:val="00503E32"/>
    <w:rsid w:val="005043C9"/>
    <w:rsid w:val="0050453F"/>
    <w:rsid w:val="00504C6E"/>
    <w:rsid w:val="00504E52"/>
    <w:rsid w:val="00504F9E"/>
    <w:rsid w:val="00504FB3"/>
    <w:rsid w:val="00505425"/>
    <w:rsid w:val="00505B33"/>
    <w:rsid w:val="00505C8E"/>
    <w:rsid w:val="00505DD0"/>
    <w:rsid w:val="00505F57"/>
    <w:rsid w:val="005063F9"/>
    <w:rsid w:val="0050653E"/>
    <w:rsid w:val="00506AF6"/>
    <w:rsid w:val="00506FA8"/>
    <w:rsid w:val="0050712D"/>
    <w:rsid w:val="00510058"/>
    <w:rsid w:val="00510163"/>
    <w:rsid w:val="00510278"/>
    <w:rsid w:val="0051046C"/>
    <w:rsid w:val="0051115A"/>
    <w:rsid w:val="0051141E"/>
    <w:rsid w:val="005117ED"/>
    <w:rsid w:val="00511BB6"/>
    <w:rsid w:val="0051203E"/>
    <w:rsid w:val="00512092"/>
    <w:rsid w:val="00512598"/>
    <w:rsid w:val="005130DC"/>
    <w:rsid w:val="0051321C"/>
    <w:rsid w:val="0051345A"/>
    <w:rsid w:val="00513739"/>
    <w:rsid w:val="005138AB"/>
    <w:rsid w:val="00513C5F"/>
    <w:rsid w:val="00514371"/>
    <w:rsid w:val="00514671"/>
    <w:rsid w:val="00514741"/>
    <w:rsid w:val="00514D20"/>
    <w:rsid w:val="0051564C"/>
    <w:rsid w:val="0051593C"/>
    <w:rsid w:val="00515BD6"/>
    <w:rsid w:val="00515CF6"/>
    <w:rsid w:val="005161AF"/>
    <w:rsid w:val="0051641A"/>
    <w:rsid w:val="005164D9"/>
    <w:rsid w:val="0051660D"/>
    <w:rsid w:val="0051673F"/>
    <w:rsid w:val="00517964"/>
    <w:rsid w:val="0051799D"/>
    <w:rsid w:val="00517DD6"/>
    <w:rsid w:val="00517F38"/>
    <w:rsid w:val="00517F44"/>
    <w:rsid w:val="005201AA"/>
    <w:rsid w:val="0052046A"/>
    <w:rsid w:val="00520591"/>
    <w:rsid w:val="005208C5"/>
    <w:rsid w:val="00520D18"/>
    <w:rsid w:val="00521001"/>
    <w:rsid w:val="005212BC"/>
    <w:rsid w:val="0052165B"/>
    <w:rsid w:val="00521958"/>
    <w:rsid w:val="005222D3"/>
    <w:rsid w:val="005224ED"/>
    <w:rsid w:val="0052264A"/>
    <w:rsid w:val="00522A4C"/>
    <w:rsid w:val="00522BDD"/>
    <w:rsid w:val="00522C00"/>
    <w:rsid w:val="00522CE2"/>
    <w:rsid w:val="0052347F"/>
    <w:rsid w:val="005235DC"/>
    <w:rsid w:val="00523917"/>
    <w:rsid w:val="0052432B"/>
    <w:rsid w:val="005244F9"/>
    <w:rsid w:val="005250F1"/>
    <w:rsid w:val="0052542C"/>
    <w:rsid w:val="005254FF"/>
    <w:rsid w:val="00525897"/>
    <w:rsid w:val="00525B08"/>
    <w:rsid w:val="00525C07"/>
    <w:rsid w:val="00526883"/>
    <w:rsid w:val="00526AAF"/>
    <w:rsid w:val="00526F86"/>
    <w:rsid w:val="00527194"/>
    <w:rsid w:val="005275B8"/>
    <w:rsid w:val="00527927"/>
    <w:rsid w:val="00527B27"/>
    <w:rsid w:val="00527DA2"/>
    <w:rsid w:val="00530320"/>
    <w:rsid w:val="00530736"/>
    <w:rsid w:val="00530916"/>
    <w:rsid w:val="00530C1E"/>
    <w:rsid w:val="005312D3"/>
    <w:rsid w:val="00531F28"/>
    <w:rsid w:val="00532A04"/>
    <w:rsid w:val="00532BCA"/>
    <w:rsid w:val="00532DD3"/>
    <w:rsid w:val="00532DFF"/>
    <w:rsid w:val="00533012"/>
    <w:rsid w:val="0053301F"/>
    <w:rsid w:val="0053370C"/>
    <w:rsid w:val="00533788"/>
    <w:rsid w:val="00533EC2"/>
    <w:rsid w:val="00534045"/>
    <w:rsid w:val="00534499"/>
    <w:rsid w:val="00534672"/>
    <w:rsid w:val="00534702"/>
    <w:rsid w:val="005348BD"/>
    <w:rsid w:val="00534E4C"/>
    <w:rsid w:val="00535117"/>
    <w:rsid w:val="0053517B"/>
    <w:rsid w:val="00535344"/>
    <w:rsid w:val="005357C5"/>
    <w:rsid w:val="005358F2"/>
    <w:rsid w:val="00535957"/>
    <w:rsid w:val="00535CD1"/>
    <w:rsid w:val="00536816"/>
    <w:rsid w:val="00536984"/>
    <w:rsid w:val="00536B54"/>
    <w:rsid w:val="00537050"/>
    <w:rsid w:val="00537293"/>
    <w:rsid w:val="00537AEC"/>
    <w:rsid w:val="00537E80"/>
    <w:rsid w:val="00537FE3"/>
    <w:rsid w:val="005401CD"/>
    <w:rsid w:val="00540369"/>
    <w:rsid w:val="005407C9"/>
    <w:rsid w:val="005417BA"/>
    <w:rsid w:val="005423D3"/>
    <w:rsid w:val="0054255D"/>
    <w:rsid w:val="005426A5"/>
    <w:rsid w:val="005428A4"/>
    <w:rsid w:val="00542983"/>
    <w:rsid w:val="005433D6"/>
    <w:rsid w:val="00543BA2"/>
    <w:rsid w:val="00543DFC"/>
    <w:rsid w:val="00543F59"/>
    <w:rsid w:val="00544100"/>
    <w:rsid w:val="005441A3"/>
    <w:rsid w:val="005441BA"/>
    <w:rsid w:val="005444B3"/>
    <w:rsid w:val="00544B1A"/>
    <w:rsid w:val="00544D58"/>
    <w:rsid w:val="00545346"/>
    <w:rsid w:val="005463FA"/>
    <w:rsid w:val="00546746"/>
    <w:rsid w:val="00546994"/>
    <w:rsid w:val="00546C17"/>
    <w:rsid w:val="00546CBB"/>
    <w:rsid w:val="005472FE"/>
    <w:rsid w:val="0054740E"/>
    <w:rsid w:val="00547530"/>
    <w:rsid w:val="00547D25"/>
    <w:rsid w:val="00547F00"/>
    <w:rsid w:val="00547F57"/>
    <w:rsid w:val="005503AC"/>
    <w:rsid w:val="005505B6"/>
    <w:rsid w:val="00550684"/>
    <w:rsid w:val="00550709"/>
    <w:rsid w:val="00550767"/>
    <w:rsid w:val="00550A2E"/>
    <w:rsid w:val="00550A70"/>
    <w:rsid w:val="00550E89"/>
    <w:rsid w:val="00551182"/>
    <w:rsid w:val="00551429"/>
    <w:rsid w:val="005518F4"/>
    <w:rsid w:val="005519F7"/>
    <w:rsid w:val="00551CBD"/>
    <w:rsid w:val="0055219E"/>
    <w:rsid w:val="005527FA"/>
    <w:rsid w:val="00552B05"/>
    <w:rsid w:val="00552DC4"/>
    <w:rsid w:val="0055353D"/>
    <w:rsid w:val="005537EC"/>
    <w:rsid w:val="0055391F"/>
    <w:rsid w:val="00553F8F"/>
    <w:rsid w:val="005543F7"/>
    <w:rsid w:val="005543FA"/>
    <w:rsid w:val="00554B04"/>
    <w:rsid w:val="00554FD1"/>
    <w:rsid w:val="00554FEF"/>
    <w:rsid w:val="00555216"/>
    <w:rsid w:val="0055587A"/>
    <w:rsid w:val="00555C5C"/>
    <w:rsid w:val="00555C8F"/>
    <w:rsid w:val="00555E0F"/>
    <w:rsid w:val="005568D2"/>
    <w:rsid w:val="00556AB3"/>
    <w:rsid w:val="00557056"/>
    <w:rsid w:val="005573C6"/>
    <w:rsid w:val="005577D0"/>
    <w:rsid w:val="00557A62"/>
    <w:rsid w:val="00557F56"/>
    <w:rsid w:val="00560422"/>
    <w:rsid w:val="005605B6"/>
    <w:rsid w:val="00561108"/>
    <w:rsid w:val="00561476"/>
    <w:rsid w:val="00561A90"/>
    <w:rsid w:val="00561B94"/>
    <w:rsid w:val="00561D1A"/>
    <w:rsid w:val="00561E52"/>
    <w:rsid w:val="00562041"/>
    <w:rsid w:val="005627F1"/>
    <w:rsid w:val="00562B76"/>
    <w:rsid w:val="00562EF0"/>
    <w:rsid w:val="00562FFE"/>
    <w:rsid w:val="00563A2D"/>
    <w:rsid w:val="00563CFC"/>
    <w:rsid w:val="00563DE1"/>
    <w:rsid w:val="00563DE2"/>
    <w:rsid w:val="00564456"/>
    <w:rsid w:val="00564503"/>
    <w:rsid w:val="005648EA"/>
    <w:rsid w:val="005649E5"/>
    <w:rsid w:val="00564AD3"/>
    <w:rsid w:val="00564E8E"/>
    <w:rsid w:val="00565374"/>
    <w:rsid w:val="005653A7"/>
    <w:rsid w:val="0056541A"/>
    <w:rsid w:val="00565678"/>
    <w:rsid w:val="0056588F"/>
    <w:rsid w:val="00565A09"/>
    <w:rsid w:val="00565FFF"/>
    <w:rsid w:val="00566B95"/>
    <w:rsid w:val="00566E7D"/>
    <w:rsid w:val="00567B50"/>
    <w:rsid w:val="00567F24"/>
    <w:rsid w:val="00570179"/>
    <w:rsid w:val="005706E8"/>
    <w:rsid w:val="00570B5D"/>
    <w:rsid w:val="00570BC2"/>
    <w:rsid w:val="00570EAF"/>
    <w:rsid w:val="00571595"/>
    <w:rsid w:val="00571CF9"/>
    <w:rsid w:val="00571DB5"/>
    <w:rsid w:val="00572198"/>
    <w:rsid w:val="005724CD"/>
    <w:rsid w:val="0057314E"/>
    <w:rsid w:val="00573A88"/>
    <w:rsid w:val="00573C14"/>
    <w:rsid w:val="00573DEA"/>
    <w:rsid w:val="00573E10"/>
    <w:rsid w:val="00573E57"/>
    <w:rsid w:val="00574202"/>
    <w:rsid w:val="0057420F"/>
    <w:rsid w:val="0057442A"/>
    <w:rsid w:val="00574448"/>
    <w:rsid w:val="005744C2"/>
    <w:rsid w:val="005747FB"/>
    <w:rsid w:val="00574B29"/>
    <w:rsid w:val="00575078"/>
    <w:rsid w:val="005751F5"/>
    <w:rsid w:val="00575580"/>
    <w:rsid w:val="0057568C"/>
    <w:rsid w:val="00575698"/>
    <w:rsid w:val="00575BD5"/>
    <w:rsid w:val="00575CD0"/>
    <w:rsid w:val="00575F9E"/>
    <w:rsid w:val="005764DB"/>
    <w:rsid w:val="00576B97"/>
    <w:rsid w:val="00576BB8"/>
    <w:rsid w:val="00576D72"/>
    <w:rsid w:val="0057721F"/>
    <w:rsid w:val="005772C7"/>
    <w:rsid w:val="00577433"/>
    <w:rsid w:val="005776D8"/>
    <w:rsid w:val="00577D96"/>
    <w:rsid w:val="005805E1"/>
    <w:rsid w:val="00580B59"/>
    <w:rsid w:val="00580D23"/>
    <w:rsid w:val="00580F0F"/>
    <w:rsid w:val="005812F1"/>
    <w:rsid w:val="005815A3"/>
    <w:rsid w:val="00581858"/>
    <w:rsid w:val="0058230D"/>
    <w:rsid w:val="00582452"/>
    <w:rsid w:val="005829DA"/>
    <w:rsid w:val="00582E8F"/>
    <w:rsid w:val="00582F18"/>
    <w:rsid w:val="0058313A"/>
    <w:rsid w:val="005834C7"/>
    <w:rsid w:val="00583B43"/>
    <w:rsid w:val="00583CE4"/>
    <w:rsid w:val="00583E31"/>
    <w:rsid w:val="00583E69"/>
    <w:rsid w:val="005840FB"/>
    <w:rsid w:val="00584224"/>
    <w:rsid w:val="005848BD"/>
    <w:rsid w:val="00584A1C"/>
    <w:rsid w:val="005850B2"/>
    <w:rsid w:val="005850E4"/>
    <w:rsid w:val="0058513B"/>
    <w:rsid w:val="005854F0"/>
    <w:rsid w:val="0058554F"/>
    <w:rsid w:val="00586224"/>
    <w:rsid w:val="0058696B"/>
    <w:rsid w:val="00586978"/>
    <w:rsid w:val="005869CE"/>
    <w:rsid w:val="00586DA8"/>
    <w:rsid w:val="0058723F"/>
    <w:rsid w:val="00587A2A"/>
    <w:rsid w:val="00587B85"/>
    <w:rsid w:val="00590065"/>
    <w:rsid w:val="005903CE"/>
    <w:rsid w:val="0059057D"/>
    <w:rsid w:val="00590A17"/>
    <w:rsid w:val="00590B7F"/>
    <w:rsid w:val="00590E63"/>
    <w:rsid w:val="00591146"/>
    <w:rsid w:val="00591205"/>
    <w:rsid w:val="005912ED"/>
    <w:rsid w:val="00591334"/>
    <w:rsid w:val="00592054"/>
    <w:rsid w:val="0059215A"/>
    <w:rsid w:val="005924AA"/>
    <w:rsid w:val="005925C3"/>
    <w:rsid w:val="005931DE"/>
    <w:rsid w:val="005934C0"/>
    <w:rsid w:val="005934E1"/>
    <w:rsid w:val="005935FD"/>
    <w:rsid w:val="00593B5D"/>
    <w:rsid w:val="00593BF0"/>
    <w:rsid w:val="00593CC0"/>
    <w:rsid w:val="0059429D"/>
    <w:rsid w:val="0059452A"/>
    <w:rsid w:val="00594672"/>
    <w:rsid w:val="00594680"/>
    <w:rsid w:val="005946E3"/>
    <w:rsid w:val="00594770"/>
    <w:rsid w:val="00594B47"/>
    <w:rsid w:val="00594B89"/>
    <w:rsid w:val="00595026"/>
    <w:rsid w:val="0059576C"/>
    <w:rsid w:val="00595AEE"/>
    <w:rsid w:val="00596074"/>
    <w:rsid w:val="005963B4"/>
    <w:rsid w:val="00596FDD"/>
    <w:rsid w:val="005976AE"/>
    <w:rsid w:val="005A015C"/>
    <w:rsid w:val="005A03C2"/>
    <w:rsid w:val="005A0AC2"/>
    <w:rsid w:val="005A0F22"/>
    <w:rsid w:val="005A10AF"/>
    <w:rsid w:val="005A16A1"/>
    <w:rsid w:val="005A1765"/>
    <w:rsid w:val="005A18A0"/>
    <w:rsid w:val="005A1B58"/>
    <w:rsid w:val="005A2343"/>
    <w:rsid w:val="005A2A5D"/>
    <w:rsid w:val="005A2C62"/>
    <w:rsid w:val="005A35E4"/>
    <w:rsid w:val="005A39CE"/>
    <w:rsid w:val="005A3F92"/>
    <w:rsid w:val="005A410E"/>
    <w:rsid w:val="005A4153"/>
    <w:rsid w:val="005A4481"/>
    <w:rsid w:val="005A483A"/>
    <w:rsid w:val="005A4AF8"/>
    <w:rsid w:val="005A4DF9"/>
    <w:rsid w:val="005A51C6"/>
    <w:rsid w:val="005A5253"/>
    <w:rsid w:val="005A5E0D"/>
    <w:rsid w:val="005A5EA4"/>
    <w:rsid w:val="005A5ECA"/>
    <w:rsid w:val="005A5F98"/>
    <w:rsid w:val="005A6850"/>
    <w:rsid w:val="005A69D2"/>
    <w:rsid w:val="005A6AF1"/>
    <w:rsid w:val="005A6E03"/>
    <w:rsid w:val="005A6F54"/>
    <w:rsid w:val="005A7216"/>
    <w:rsid w:val="005A721C"/>
    <w:rsid w:val="005A7943"/>
    <w:rsid w:val="005A7DE2"/>
    <w:rsid w:val="005A7F9E"/>
    <w:rsid w:val="005B0BF0"/>
    <w:rsid w:val="005B0D24"/>
    <w:rsid w:val="005B0FF8"/>
    <w:rsid w:val="005B1778"/>
    <w:rsid w:val="005B17D4"/>
    <w:rsid w:val="005B2178"/>
    <w:rsid w:val="005B24E2"/>
    <w:rsid w:val="005B2671"/>
    <w:rsid w:val="005B2948"/>
    <w:rsid w:val="005B2D40"/>
    <w:rsid w:val="005B2DF4"/>
    <w:rsid w:val="005B3135"/>
    <w:rsid w:val="005B3305"/>
    <w:rsid w:val="005B3358"/>
    <w:rsid w:val="005B3597"/>
    <w:rsid w:val="005B396F"/>
    <w:rsid w:val="005B3D3A"/>
    <w:rsid w:val="005B3FE0"/>
    <w:rsid w:val="005B451E"/>
    <w:rsid w:val="005B4714"/>
    <w:rsid w:val="005B480B"/>
    <w:rsid w:val="005B482F"/>
    <w:rsid w:val="005B49C1"/>
    <w:rsid w:val="005B52F6"/>
    <w:rsid w:val="005B557C"/>
    <w:rsid w:val="005B55AC"/>
    <w:rsid w:val="005B5A1B"/>
    <w:rsid w:val="005B6A44"/>
    <w:rsid w:val="005B6C29"/>
    <w:rsid w:val="005B73E3"/>
    <w:rsid w:val="005B740C"/>
    <w:rsid w:val="005B74C9"/>
    <w:rsid w:val="005B79AA"/>
    <w:rsid w:val="005B7D11"/>
    <w:rsid w:val="005C0010"/>
    <w:rsid w:val="005C0526"/>
    <w:rsid w:val="005C0528"/>
    <w:rsid w:val="005C0EDD"/>
    <w:rsid w:val="005C0F07"/>
    <w:rsid w:val="005C0FCC"/>
    <w:rsid w:val="005C3371"/>
    <w:rsid w:val="005C3691"/>
    <w:rsid w:val="005C37A4"/>
    <w:rsid w:val="005C37B3"/>
    <w:rsid w:val="005C421F"/>
    <w:rsid w:val="005C472A"/>
    <w:rsid w:val="005C48D5"/>
    <w:rsid w:val="005C4B19"/>
    <w:rsid w:val="005C5008"/>
    <w:rsid w:val="005C55C6"/>
    <w:rsid w:val="005C5632"/>
    <w:rsid w:val="005C595B"/>
    <w:rsid w:val="005C59C3"/>
    <w:rsid w:val="005C5BCB"/>
    <w:rsid w:val="005C6220"/>
    <w:rsid w:val="005C66E4"/>
    <w:rsid w:val="005C6A21"/>
    <w:rsid w:val="005C6B0D"/>
    <w:rsid w:val="005C6E26"/>
    <w:rsid w:val="005C6F41"/>
    <w:rsid w:val="005C73D4"/>
    <w:rsid w:val="005C784E"/>
    <w:rsid w:val="005C790E"/>
    <w:rsid w:val="005C7945"/>
    <w:rsid w:val="005C7B56"/>
    <w:rsid w:val="005C7EB7"/>
    <w:rsid w:val="005D01C2"/>
    <w:rsid w:val="005D038D"/>
    <w:rsid w:val="005D0427"/>
    <w:rsid w:val="005D09E6"/>
    <w:rsid w:val="005D149A"/>
    <w:rsid w:val="005D15E4"/>
    <w:rsid w:val="005D20CB"/>
    <w:rsid w:val="005D2110"/>
    <w:rsid w:val="005D2467"/>
    <w:rsid w:val="005D2500"/>
    <w:rsid w:val="005D289A"/>
    <w:rsid w:val="005D29FD"/>
    <w:rsid w:val="005D2C99"/>
    <w:rsid w:val="005D2CDB"/>
    <w:rsid w:val="005D2F72"/>
    <w:rsid w:val="005D3156"/>
    <w:rsid w:val="005D33E1"/>
    <w:rsid w:val="005D34FC"/>
    <w:rsid w:val="005D372C"/>
    <w:rsid w:val="005D3CDA"/>
    <w:rsid w:val="005D427B"/>
    <w:rsid w:val="005D43A4"/>
    <w:rsid w:val="005D457E"/>
    <w:rsid w:val="005D4645"/>
    <w:rsid w:val="005D4C1A"/>
    <w:rsid w:val="005D4CEF"/>
    <w:rsid w:val="005D4DC1"/>
    <w:rsid w:val="005D4E52"/>
    <w:rsid w:val="005D52C0"/>
    <w:rsid w:val="005D5433"/>
    <w:rsid w:val="005D5462"/>
    <w:rsid w:val="005D5973"/>
    <w:rsid w:val="005D5AC4"/>
    <w:rsid w:val="005D638E"/>
    <w:rsid w:val="005D6864"/>
    <w:rsid w:val="005D691F"/>
    <w:rsid w:val="005D6CC2"/>
    <w:rsid w:val="005D6D11"/>
    <w:rsid w:val="005D71E3"/>
    <w:rsid w:val="005D7315"/>
    <w:rsid w:val="005D743F"/>
    <w:rsid w:val="005E033C"/>
    <w:rsid w:val="005E06FE"/>
    <w:rsid w:val="005E0735"/>
    <w:rsid w:val="005E09BB"/>
    <w:rsid w:val="005E09E0"/>
    <w:rsid w:val="005E0A6E"/>
    <w:rsid w:val="005E0D27"/>
    <w:rsid w:val="005E1141"/>
    <w:rsid w:val="005E1559"/>
    <w:rsid w:val="005E16F0"/>
    <w:rsid w:val="005E1A13"/>
    <w:rsid w:val="005E1BA4"/>
    <w:rsid w:val="005E1BD8"/>
    <w:rsid w:val="005E1C9B"/>
    <w:rsid w:val="005E2763"/>
    <w:rsid w:val="005E2786"/>
    <w:rsid w:val="005E2836"/>
    <w:rsid w:val="005E2949"/>
    <w:rsid w:val="005E2BF1"/>
    <w:rsid w:val="005E2C36"/>
    <w:rsid w:val="005E3097"/>
    <w:rsid w:val="005E326F"/>
    <w:rsid w:val="005E3A0A"/>
    <w:rsid w:val="005E3A5D"/>
    <w:rsid w:val="005E3FC6"/>
    <w:rsid w:val="005E40A0"/>
    <w:rsid w:val="005E456F"/>
    <w:rsid w:val="005E481D"/>
    <w:rsid w:val="005E4A52"/>
    <w:rsid w:val="005E4DD1"/>
    <w:rsid w:val="005E4F01"/>
    <w:rsid w:val="005E5021"/>
    <w:rsid w:val="005E5028"/>
    <w:rsid w:val="005E54D0"/>
    <w:rsid w:val="005E5A5B"/>
    <w:rsid w:val="005E5D52"/>
    <w:rsid w:val="005E60A5"/>
    <w:rsid w:val="005E614A"/>
    <w:rsid w:val="005E6F42"/>
    <w:rsid w:val="005E7157"/>
    <w:rsid w:val="005E768C"/>
    <w:rsid w:val="005E77A3"/>
    <w:rsid w:val="005E7B64"/>
    <w:rsid w:val="005E7EE2"/>
    <w:rsid w:val="005F0382"/>
    <w:rsid w:val="005F0792"/>
    <w:rsid w:val="005F0C2E"/>
    <w:rsid w:val="005F0C3A"/>
    <w:rsid w:val="005F1493"/>
    <w:rsid w:val="005F16CE"/>
    <w:rsid w:val="005F200A"/>
    <w:rsid w:val="005F2546"/>
    <w:rsid w:val="005F2609"/>
    <w:rsid w:val="005F27FF"/>
    <w:rsid w:val="005F2822"/>
    <w:rsid w:val="005F29B9"/>
    <w:rsid w:val="005F313C"/>
    <w:rsid w:val="005F3779"/>
    <w:rsid w:val="005F37D0"/>
    <w:rsid w:val="005F386F"/>
    <w:rsid w:val="005F3A8C"/>
    <w:rsid w:val="005F3DD9"/>
    <w:rsid w:val="005F4198"/>
    <w:rsid w:val="005F4BDD"/>
    <w:rsid w:val="005F4F2F"/>
    <w:rsid w:val="005F508E"/>
    <w:rsid w:val="005F5183"/>
    <w:rsid w:val="005F528E"/>
    <w:rsid w:val="005F55FE"/>
    <w:rsid w:val="005F5C45"/>
    <w:rsid w:val="005F62A2"/>
    <w:rsid w:val="005F6357"/>
    <w:rsid w:val="005F651D"/>
    <w:rsid w:val="005F6A6B"/>
    <w:rsid w:val="005F6C5A"/>
    <w:rsid w:val="005F6E48"/>
    <w:rsid w:val="005F7DD7"/>
    <w:rsid w:val="005F7F22"/>
    <w:rsid w:val="00600077"/>
    <w:rsid w:val="0060039D"/>
    <w:rsid w:val="006003CD"/>
    <w:rsid w:val="00600732"/>
    <w:rsid w:val="006011CC"/>
    <w:rsid w:val="0060139F"/>
    <w:rsid w:val="0060142E"/>
    <w:rsid w:val="006014CF"/>
    <w:rsid w:val="0060166B"/>
    <w:rsid w:val="00601861"/>
    <w:rsid w:val="00601A99"/>
    <w:rsid w:val="00601D83"/>
    <w:rsid w:val="00602616"/>
    <w:rsid w:val="0060276E"/>
    <w:rsid w:val="00602837"/>
    <w:rsid w:val="00603EA9"/>
    <w:rsid w:val="00603EB4"/>
    <w:rsid w:val="0060407C"/>
    <w:rsid w:val="00604580"/>
    <w:rsid w:val="0060475A"/>
    <w:rsid w:val="00604881"/>
    <w:rsid w:val="00604955"/>
    <w:rsid w:val="00604967"/>
    <w:rsid w:val="00604A47"/>
    <w:rsid w:val="0060537C"/>
    <w:rsid w:val="006057EE"/>
    <w:rsid w:val="006059B9"/>
    <w:rsid w:val="006061F8"/>
    <w:rsid w:val="00606364"/>
    <w:rsid w:val="0060640C"/>
    <w:rsid w:val="00606A27"/>
    <w:rsid w:val="00606C91"/>
    <w:rsid w:val="00606D62"/>
    <w:rsid w:val="00606D8E"/>
    <w:rsid w:val="00606E7E"/>
    <w:rsid w:val="0060738B"/>
    <w:rsid w:val="00607D1A"/>
    <w:rsid w:val="00607DFF"/>
    <w:rsid w:val="00607F27"/>
    <w:rsid w:val="006102D7"/>
    <w:rsid w:val="006109FB"/>
    <w:rsid w:val="00610BF1"/>
    <w:rsid w:val="00610C12"/>
    <w:rsid w:val="00611143"/>
    <w:rsid w:val="00612200"/>
    <w:rsid w:val="006128DB"/>
    <w:rsid w:val="00612A90"/>
    <w:rsid w:val="00612E17"/>
    <w:rsid w:val="00612EE9"/>
    <w:rsid w:val="0061311D"/>
    <w:rsid w:val="006137C9"/>
    <w:rsid w:val="00613B54"/>
    <w:rsid w:val="00613D89"/>
    <w:rsid w:val="00613DA3"/>
    <w:rsid w:val="00614039"/>
    <w:rsid w:val="006142C4"/>
    <w:rsid w:val="0061456C"/>
    <w:rsid w:val="00614B05"/>
    <w:rsid w:val="00614E3E"/>
    <w:rsid w:val="00614FA9"/>
    <w:rsid w:val="006151A7"/>
    <w:rsid w:val="006151F7"/>
    <w:rsid w:val="006155D3"/>
    <w:rsid w:val="0061561A"/>
    <w:rsid w:val="00615679"/>
    <w:rsid w:val="0061598B"/>
    <w:rsid w:val="00615B0C"/>
    <w:rsid w:val="00615EA8"/>
    <w:rsid w:val="00615FF7"/>
    <w:rsid w:val="00616226"/>
    <w:rsid w:val="0061688A"/>
    <w:rsid w:val="0061696D"/>
    <w:rsid w:val="006171E2"/>
    <w:rsid w:val="00617489"/>
    <w:rsid w:val="00617808"/>
    <w:rsid w:val="006203CF"/>
    <w:rsid w:val="00620506"/>
    <w:rsid w:val="006205A1"/>
    <w:rsid w:val="00620933"/>
    <w:rsid w:val="00620DA2"/>
    <w:rsid w:val="0062171E"/>
    <w:rsid w:val="0062189C"/>
    <w:rsid w:val="00621927"/>
    <w:rsid w:val="006219CA"/>
    <w:rsid w:val="00621A86"/>
    <w:rsid w:val="00621CF2"/>
    <w:rsid w:val="00621D49"/>
    <w:rsid w:val="00621F2C"/>
    <w:rsid w:val="0062204D"/>
    <w:rsid w:val="006223E0"/>
    <w:rsid w:val="0062264F"/>
    <w:rsid w:val="0062296B"/>
    <w:rsid w:val="00622DED"/>
    <w:rsid w:val="00623247"/>
    <w:rsid w:val="0062331C"/>
    <w:rsid w:val="00623771"/>
    <w:rsid w:val="006237B0"/>
    <w:rsid w:val="00623829"/>
    <w:rsid w:val="00623E0F"/>
    <w:rsid w:val="006240B2"/>
    <w:rsid w:val="0062437B"/>
    <w:rsid w:val="00624427"/>
    <w:rsid w:val="00624449"/>
    <w:rsid w:val="00624916"/>
    <w:rsid w:val="00624E13"/>
    <w:rsid w:val="006250CB"/>
    <w:rsid w:val="00625DB8"/>
    <w:rsid w:val="006260CB"/>
    <w:rsid w:val="006262AA"/>
    <w:rsid w:val="0062634D"/>
    <w:rsid w:val="006264AA"/>
    <w:rsid w:val="00626528"/>
    <w:rsid w:val="00626705"/>
    <w:rsid w:val="006269D5"/>
    <w:rsid w:val="0063009F"/>
    <w:rsid w:val="006300D7"/>
    <w:rsid w:val="0063058D"/>
    <w:rsid w:val="00630658"/>
    <w:rsid w:val="00630699"/>
    <w:rsid w:val="00630706"/>
    <w:rsid w:val="00630AC8"/>
    <w:rsid w:val="00630D7E"/>
    <w:rsid w:val="0063131E"/>
    <w:rsid w:val="006318AB"/>
    <w:rsid w:val="00631C97"/>
    <w:rsid w:val="00631F1A"/>
    <w:rsid w:val="00631F57"/>
    <w:rsid w:val="006323C3"/>
    <w:rsid w:val="00632788"/>
    <w:rsid w:val="00632AD6"/>
    <w:rsid w:val="006331B0"/>
    <w:rsid w:val="006337DA"/>
    <w:rsid w:val="006339CA"/>
    <w:rsid w:val="00633A28"/>
    <w:rsid w:val="00634277"/>
    <w:rsid w:val="00634287"/>
    <w:rsid w:val="006342B9"/>
    <w:rsid w:val="006344C2"/>
    <w:rsid w:val="006346FA"/>
    <w:rsid w:val="00634E54"/>
    <w:rsid w:val="006351D4"/>
    <w:rsid w:val="00635388"/>
    <w:rsid w:val="00635D21"/>
    <w:rsid w:val="00635E77"/>
    <w:rsid w:val="006361B5"/>
    <w:rsid w:val="00636838"/>
    <w:rsid w:val="00636993"/>
    <w:rsid w:val="00636A0B"/>
    <w:rsid w:val="00636A8A"/>
    <w:rsid w:val="0063753F"/>
    <w:rsid w:val="00637664"/>
    <w:rsid w:val="00640102"/>
    <w:rsid w:val="006406A3"/>
    <w:rsid w:val="0064099E"/>
    <w:rsid w:val="00640B1F"/>
    <w:rsid w:val="00640B69"/>
    <w:rsid w:val="00640BFF"/>
    <w:rsid w:val="00640DCC"/>
    <w:rsid w:val="00640F04"/>
    <w:rsid w:val="00641279"/>
    <w:rsid w:val="00641362"/>
    <w:rsid w:val="0064183D"/>
    <w:rsid w:val="00641C52"/>
    <w:rsid w:val="00641E73"/>
    <w:rsid w:val="0064201F"/>
    <w:rsid w:val="00642E19"/>
    <w:rsid w:val="00642E87"/>
    <w:rsid w:val="00643264"/>
    <w:rsid w:val="006443E8"/>
    <w:rsid w:val="0064445E"/>
    <w:rsid w:val="00644818"/>
    <w:rsid w:val="0064512F"/>
    <w:rsid w:val="006453BE"/>
    <w:rsid w:val="006454D6"/>
    <w:rsid w:val="00645625"/>
    <w:rsid w:val="0064572A"/>
    <w:rsid w:val="00645A7D"/>
    <w:rsid w:val="006462BF"/>
    <w:rsid w:val="00646542"/>
    <w:rsid w:val="00646656"/>
    <w:rsid w:val="006466E5"/>
    <w:rsid w:val="00646F28"/>
    <w:rsid w:val="00647140"/>
    <w:rsid w:val="0064752C"/>
    <w:rsid w:val="006475A6"/>
    <w:rsid w:val="00647968"/>
    <w:rsid w:val="00647A06"/>
    <w:rsid w:val="00647ADA"/>
    <w:rsid w:val="00647F7C"/>
    <w:rsid w:val="006503C0"/>
    <w:rsid w:val="006507AC"/>
    <w:rsid w:val="006508AC"/>
    <w:rsid w:val="00650A07"/>
    <w:rsid w:val="00650FE7"/>
    <w:rsid w:val="00651BB8"/>
    <w:rsid w:val="00651C6D"/>
    <w:rsid w:val="00652049"/>
    <w:rsid w:val="00652087"/>
    <w:rsid w:val="006522A9"/>
    <w:rsid w:val="006525FD"/>
    <w:rsid w:val="00652E30"/>
    <w:rsid w:val="00653042"/>
    <w:rsid w:val="006531A7"/>
    <w:rsid w:val="006531DE"/>
    <w:rsid w:val="006533A5"/>
    <w:rsid w:val="006537DF"/>
    <w:rsid w:val="00653CC3"/>
    <w:rsid w:val="00653F29"/>
    <w:rsid w:val="0065489E"/>
    <w:rsid w:val="006549EB"/>
    <w:rsid w:val="00654E0C"/>
    <w:rsid w:val="00654EE1"/>
    <w:rsid w:val="006558A0"/>
    <w:rsid w:val="00655A80"/>
    <w:rsid w:val="00655D0A"/>
    <w:rsid w:val="0065603D"/>
    <w:rsid w:val="00656247"/>
    <w:rsid w:val="006563CE"/>
    <w:rsid w:val="006565CA"/>
    <w:rsid w:val="006567F7"/>
    <w:rsid w:val="00656BE1"/>
    <w:rsid w:val="00656BF1"/>
    <w:rsid w:val="0065738A"/>
    <w:rsid w:val="00657581"/>
    <w:rsid w:val="006578CB"/>
    <w:rsid w:val="00657D01"/>
    <w:rsid w:val="00657FC0"/>
    <w:rsid w:val="006604AF"/>
    <w:rsid w:val="00660536"/>
    <w:rsid w:val="00660572"/>
    <w:rsid w:val="00660A92"/>
    <w:rsid w:val="00660E24"/>
    <w:rsid w:val="00660F62"/>
    <w:rsid w:val="006611DD"/>
    <w:rsid w:val="0066146A"/>
    <w:rsid w:val="00661C88"/>
    <w:rsid w:val="006623B0"/>
    <w:rsid w:val="00662430"/>
    <w:rsid w:val="00662C52"/>
    <w:rsid w:val="00662FFE"/>
    <w:rsid w:val="00663667"/>
    <w:rsid w:val="00663707"/>
    <w:rsid w:val="00663AD5"/>
    <w:rsid w:val="00663F46"/>
    <w:rsid w:val="0066416B"/>
    <w:rsid w:val="00664544"/>
    <w:rsid w:val="00664871"/>
    <w:rsid w:val="006650EF"/>
    <w:rsid w:val="006656CB"/>
    <w:rsid w:val="00665AEC"/>
    <w:rsid w:val="00665EEC"/>
    <w:rsid w:val="00666530"/>
    <w:rsid w:val="006666D9"/>
    <w:rsid w:val="0066683E"/>
    <w:rsid w:val="00666984"/>
    <w:rsid w:val="006670CD"/>
    <w:rsid w:val="00667151"/>
    <w:rsid w:val="00667307"/>
    <w:rsid w:val="006679EB"/>
    <w:rsid w:val="00667A89"/>
    <w:rsid w:val="00667E3B"/>
    <w:rsid w:val="0067094A"/>
    <w:rsid w:val="00670E35"/>
    <w:rsid w:val="00671CA9"/>
    <w:rsid w:val="00671D39"/>
    <w:rsid w:val="00671D3E"/>
    <w:rsid w:val="0067205C"/>
    <w:rsid w:val="0067256A"/>
    <w:rsid w:val="00672751"/>
    <w:rsid w:val="00672844"/>
    <w:rsid w:val="00672FCE"/>
    <w:rsid w:val="00672FCF"/>
    <w:rsid w:val="00673159"/>
    <w:rsid w:val="0067316D"/>
    <w:rsid w:val="00673A72"/>
    <w:rsid w:val="00673BF5"/>
    <w:rsid w:val="006741B7"/>
    <w:rsid w:val="00674478"/>
    <w:rsid w:val="00674568"/>
    <w:rsid w:val="00674831"/>
    <w:rsid w:val="006749B7"/>
    <w:rsid w:val="006751BD"/>
    <w:rsid w:val="00675263"/>
    <w:rsid w:val="006753CA"/>
    <w:rsid w:val="0067577E"/>
    <w:rsid w:val="006759A5"/>
    <w:rsid w:val="00675E86"/>
    <w:rsid w:val="0067656F"/>
    <w:rsid w:val="00676682"/>
    <w:rsid w:val="006766C5"/>
    <w:rsid w:val="00676874"/>
    <w:rsid w:val="00676904"/>
    <w:rsid w:val="00676A58"/>
    <w:rsid w:val="00676E15"/>
    <w:rsid w:val="00676F1D"/>
    <w:rsid w:val="00677454"/>
    <w:rsid w:val="00677733"/>
    <w:rsid w:val="006777A7"/>
    <w:rsid w:val="00677A0D"/>
    <w:rsid w:val="00677E5C"/>
    <w:rsid w:val="00680277"/>
    <w:rsid w:val="006803BA"/>
    <w:rsid w:val="00680A43"/>
    <w:rsid w:val="00680ABA"/>
    <w:rsid w:val="00681AA4"/>
    <w:rsid w:val="00681C3B"/>
    <w:rsid w:val="00681FA2"/>
    <w:rsid w:val="00681FFA"/>
    <w:rsid w:val="006820A3"/>
    <w:rsid w:val="00682142"/>
    <w:rsid w:val="00682542"/>
    <w:rsid w:val="00682672"/>
    <w:rsid w:val="00682CE8"/>
    <w:rsid w:val="00682D09"/>
    <w:rsid w:val="00682E73"/>
    <w:rsid w:val="006831F9"/>
    <w:rsid w:val="006837D6"/>
    <w:rsid w:val="006838A7"/>
    <w:rsid w:val="00683D80"/>
    <w:rsid w:val="00684437"/>
    <w:rsid w:val="00684BC3"/>
    <w:rsid w:val="00684C49"/>
    <w:rsid w:val="00684E2D"/>
    <w:rsid w:val="00684F37"/>
    <w:rsid w:val="006850A7"/>
    <w:rsid w:val="006851A5"/>
    <w:rsid w:val="006851DC"/>
    <w:rsid w:val="00685536"/>
    <w:rsid w:val="0068576E"/>
    <w:rsid w:val="00685A7C"/>
    <w:rsid w:val="00685C6F"/>
    <w:rsid w:val="00685CEE"/>
    <w:rsid w:val="00686BE2"/>
    <w:rsid w:val="00686F33"/>
    <w:rsid w:val="00686FE7"/>
    <w:rsid w:val="00687172"/>
    <w:rsid w:val="00687460"/>
    <w:rsid w:val="006874AA"/>
    <w:rsid w:val="0068771F"/>
    <w:rsid w:val="00687D68"/>
    <w:rsid w:val="00687E47"/>
    <w:rsid w:val="00690582"/>
    <w:rsid w:val="006906E0"/>
    <w:rsid w:val="006908E7"/>
    <w:rsid w:val="00690B82"/>
    <w:rsid w:val="00690D4F"/>
    <w:rsid w:val="00690D9D"/>
    <w:rsid w:val="006910BC"/>
    <w:rsid w:val="0069142C"/>
    <w:rsid w:val="0069152F"/>
    <w:rsid w:val="006917C2"/>
    <w:rsid w:val="00691873"/>
    <w:rsid w:val="00691DC2"/>
    <w:rsid w:val="00691E6A"/>
    <w:rsid w:val="00691FED"/>
    <w:rsid w:val="006922BB"/>
    <w:rsid w:val="00692FFD"/>
    <w:rsid w:val="00693038"/>
    <w:rsid w:val="00693136"/>
    <w:rsid w:val="00693453"/>
    <w:rsid w:val="0069345A"/>
    <w:rsid w:val="00693511"/>
    <w:rsid w:val="00693677"/>
    <w:rsid w:val="006938EA"/>
    <w:rsid w:val="0069390C"/>
    <w:rsid w:val="00693A42"/>
    <w:rsid w:val="00693D75"/>
    <w:rsid w:val="00694182"/>
    <w:rsid w:val="00694775"/>
    <w:rsid w:val="00694940"/>
    <w:rsid w:val="006949D8"/>
    <w:rsid w:val="00694B72"/>
    <w:rsid w:val="00694C0D"/>
    <w:rsid w:val="00694ED2"/>
    <w:rsid w:val="0069528D"/>
    <w:rsid w:val="0069535A"/>
    <w:rsid w:val="00695651"/>
    <w:rsid w:val="00695964"/>
    <w:rsid w:val="0069617F"/>
    <w:rsid w:val="0069620E"/>
    <w:rsid w:val="00696507"/>
    <w:rsid w:val="00696D99"/>
    <w:rsid w:val="00696FCE"/>
    <w:rsid w:val="006977CC"/>
    <w:rsid w:val="00697A62"/>
    <w:rsid w:val="00697F45"/>
    <w:rsid w:val="006A027C"/>
    <w:rsid w:val="006A0D35"/>
    <w:rsid w:val="006A125E"/>
    <w:rsid w:val="006A1613"/>
    <w:rsid w:val="006A167F"/>
    <w:rsid w:val="006A1967"/>
    <w:rsid w:val="006A1ACF"/>
    <w:rsid w:val="006A1BD0"/>
    <w:rsid w:val="006A1C34"/>
    <w:rsid w:val="006A20D8"/>
    <w:rsid w:val="006A26B8"/>
    <w:rsid w:val="006A34AB"/>
    <w:rsid w:val="006A35C2"/>
    <w:rsid w:val="006A39B1"/>
    <w:rsid w:val="006A3C43"/>
    <w:rsid w:val="006A3CA5"/>
    <w:rsid w:val="006A4050"/>
    <w:rsid w:val="006A47CF"/>
    <w:rsid w:val="006A4AF9"/>
    <w:rsid w:val="006A50A0"/>
    <w:rsid w:val="006A541F"/>
    <w:rsid w:val="006A55FC"/>
    <w:rsid w:val="006A57AB"/>
    <w:rsid w:val="006A5BB1"/>
    <w:rsid w:val="006A5D06"/>
    <w:rsid w:val="006A6869"/>
    <w:rsid w:val="006A6DED"/>
    <w:rsid w:val="006A6DF0"/>
    <w:rsid w:val="006A6F78"/>
    <w:rsid w:val="006A70ED"/>
    <w:rsid w:val="006A7B89"/>
    <w:rsid w:val="006B001E"/>
    <w:rsid w:val="006B004C"/>
    <w:rsid w:val="006B0128"/>
    <w:rsid w:val="006B0465"/>
    <w:rsid w:val="006B0AA1"/>
    <w:rsid w:val="006B0E79"/>
    <w:rsid w:val="006B136D"/>
    <w:rsid w:val="006B171C"/>
    <w:rsid w:val="006B1E12"/>
    <w:rsid w:val="006B1FF8"/>
    <w:rsid w:val="006B2268"/>
    <w:rsid w:val="006B24BD"/>
    <w:rsid w:val="006B28E1"/>
    <w:rsid w:val="006B297C"/>
    <w:rsid w:val="006B2B89"/>
    <w:rsid w:val="006B2C7B"/>
    <w:rsid w:val="006B2DD7"/>
    <w:rsid w:val="006B3E99"/>
    <w:rsid w:val="006B43AB"/>
    <w:rsid w:val="006B477D"/>
    <w:rsid w:val="006B4AEC"/>
    <w:rsid w:val="006B4CDF"/>
    <w:rsid w:val="006B4D52"/>
    <w:rsid w:val="006B4EA2"/>
    <w:rsid w:val="006B5354"/>
    <w:rsid w:val="006B5482"/>
    <w:rsid w:val="006B558F"/>
    <w:rsid w:val="006B5941"/>
    <w:rsid w:val="006B5980"/>
    <w:rsid w:val="006B5AFE"/>
    <w:rsid w:val="006B5BA7"/>
    <w:rsid w:val="006B64A0"/>
    <w:rsid w:val="006B6753"/>
    <w:rsid w:val="006B67D3"/>
    <w:rsid w:val="006B6864"/>
    <w:rsid w:val="006B68EF"/>
    <w:rsid w:val="006B6F2F"/>
    <w:rsid w:val="006B7314"/>
    <w:rsid w:val="006B790F"/>
    <w:rsid w:val="006B7CD3"/>
    <w:rsid w:val="006B7E1A"/>
    <w:rsid w:val="006B7EB9"/>
    <w:rsid w:val="006C0323"/>
    <w:rsid w:val="006C0577"/>
    <w:rsid w:val="006C05E6"/>
    <w:rsid w:val="006C06B1"/>
    <w:rsid w:val="006C0DF8"/>
    <w:rsid w:val="006C0E43"/>
    <w:rsid w:val="006C11C9"/>
    <w:rsid w:val="006C120E"/>
    <w:rsid w:val="006C1246"/>
    <w:rsid w:val="006C135E"/>
    <w:rsid w:val="006C1499"/>
    <w:rsid w:val="006C1A5A"/>
    <w:rsid w:val="006C1CB0"/>
    <w:rsid w:val="006C1ED1"/>
    <w:rsid w:val="006C2302"/>
    <w:rsid w:val="006C24F1"/>
    <w:rsid w:val="006C25D1"/>
    <w:rsid w:val="006C2649"/>
    <w:rsid w:val="006C2E3F"/>
    <w:rsid w:val="006C2F30"/>
    <w:rsid w:val="006C3619"/>
    <w:rsid w:val="006C3676"/>
    <w:rsid w:val="006C3B43"/>
    <w:rsid w:val="006C3DD3"/>
    <w:rsid w:val="006C412B"/>
    <w:rsid w:val="006C4259"/>
    <w:rsid w:val="006C446D"/>
    <w:rsid w:val="006C47A5"/>
    <w:rsid w:val="006C4B9C"/>
    <w:rsid w:val="006C4D02"/>
    <w:rsid w:val="006C4DDC"/>
    <w:rsid w:val="006C4F02"/>
    <w:rsid w:val="006C50BE"/>
    <w:rsid w:val="006C5A16"/>
    <w:rsid w:val="006C5BD2"/>
    <w:rsid w:val="006C619A"/>
    <w:rsid w:val="006C625D"/>
    <w:rsid w:val="006C64A2"/>
    <w:rsid w:val="006C674F"/>
    <w:rsid w:val="006C68B4"/>
    <w:rsid w:val="006C6B9E"/>
    <w:rsid w:val="006C6D82"/>
    <w:rsid w:val="006C7093"/>
    <w:rsid w:val="006C7575"/>
    <w:rsid w:val="006C7ADC"/>
    <w:rsid w:val="006C7CF1"/>
    <w:rsid w:val="006C7D30"/>
    <w:rsid w:val="006D03EB"/>
    <w:rsid w:val="006D0459"/>
    <w:rsid w:val="006D0FEA"/>
    <w:rsid w:val="006D130B"/>
    <w:rsid w:val="006D132B"/>
    <w:rsid w:val="006D1384"/>
    <w:rsid w:val="006D1874"/>
    <w:rsid w:val="006D190D"/>
    <w:rsid w:val="006D198D"/>
    <w:rsid w:val="006D1FEF"/>
    <w:rsid w:val="006D218A"/>
    <w:rsid w:val="006D21AA"/>
    <w:rsid w:val="006D260D"/>
    <w:rsid w:val="006D2E09"/>
    <w:rsid w:val="006D3CC1"/>
    <w:rsid w:val="006D49F9"/>
    <w:rsid w:val="006D4AB1"/>
    <w:rsid w:val="006D4E74"/>
    <w:rsid w:val="006D4FB7"/>
    <w:rsid w:val="006D52ED"/>
    <w:rsid w:val="006D53F7"/>
    <w:rsid w:val="006D541B"/>
    <w:rsid w:val="006D5421"/>
    <w:rsid w:val="006D5517"/>
    <w:rsid w:val="006D578A"/>
    <w:rsid w:val="006D59CE"/>
    <w:rsid w:val="006D5B3B"/>
    <w:rsid w:val="006D5D62"/>
    <w:rsid w:val="006D60E6"/>
    <w:rsid w:val="006D610A"/>
    <w:rsid w:val="006D6224"/>
    <w:rsid w:val="006D6730"/>
    <w:rsid w:val="006D6BD0"/>
    <w:rsid w:val="006D6C24"/>
    <w:rsid w:val="006D6F2C"/>
    <w:rsid w:val="006D7453"/>
    <w:rsid w:val="006E045E"/>
    <w:rsid w:val="006E08AF"/>
    <w:rsid w:val="006E0AD3"/>
    <w:rsid w:val="006E0B74"/>
    <w:rsid w:val="006E13DD"/>
    <w:rsid w:val="006E1BBA"/>
    <w:rsid w:val="006E1BC7"/>
    <w:rsid w:val="006E1BD8"/>
    <w:rsid w:val="006E2110"/>
    <w:rsid w:val="006E22BB"/>
    <w:rsid w:val="006E248F"/>
    <w:rsid w:val="006E2526"/>
    <w:rsid w:val="006E2529"/>
    <w:rsid w:val="006E2A7D"/>
    <w:rsid w:val="006E2CF7"/>
    <w:rsid w:val="006E3194"/>
    <w:rsid w:val="006E344C"/>
    <w:rsid w:val="006E3549"/>
    <w:rsid w:val="006E39DB"/>
    <w:rsid w:val="006E417B"/>
    <w:rsid w:val="006E437D"/>
    <w:rsid w:val="006E4387"/>
    <w:rsid w:val="006E4487"/>
    <w:rsid w:val="006E466E"/>
    <w:rsid w:val="006E527B"/>
    <w:rsid w:val="006E5B80"/>
    <w:rsid w:val="006E64E2"/>
    <w:rsid w:val="006E64FB"/>
    <w:rsid w:val="006E6713"/>
    <w:rsid w:val="006E6881"/>
    <w:rsid w:val="006E6A08"/>
    <w:rsid w:val="006E6AE1"/>
    <w:rsid w:val="006E6D4C"/>
    <w:rsid w:val="006E6D86"/>
    <w:rsid w:val="006E6E90"/>
    <w:rsid w:val="006E70B4"/>
    <w:rsid w:val="006E71ED"/>
    <w:rsid w:val="006E7FD1"/>
    <w:rsid w:val="006F038D"/>
    <w:rsid w:val="006F0BC7"/>
    <w:rsid w:val="006F1227"/>
    <w:rsid w:val="006F143D"/>
    <w:rsid w:val="006F1559"/>
    <w:rsid w:val="006F1599"/>
    <w:rsid w:val="006F17EE"/>
    <w:rsid w:val="006F18EE"/>
    <w:rsid w:val="006F1DA1"/>
    <w:rsid w:val="006F2368"/>
    <w:rsid w:val="006F2386"/>
    <w:rsid w:val="006F2889"/>
    <w:rsid w:val="006F3A4F"/>
    <w:rsid w:val="006F3EB2"/>
    <w:rsid w:val="006F54C9"/>
    <w:rsid w:val="006F5648"/>
    <w:rsid w:val="006F5828"/>
    <w:rsid w:val="006F5965"/>
    <w:rsid w:val="006F6247"/>
    <w:rsid w:val="006F626B"/>
    <w:rsid w:val="006F62D3"/>
    <w:rsid w:val="006F6408"/>
    <w:rsid w:val="006F6C3B"/>
    <w:rsid w:val="006F709F"/>
    <w:rsid w:val="006F7102"/>
    <w:rsid w:val="006F7929"/>
    <w:rsid w:val="006F7A6D"/>
    <w:rsid w:val="006F7BAF"/>
    <w:rsid w:val="006F7E30"/>
    <w:rsid w:val="007002A1"/>
    <w:rsid w:val="007002C1"/>
    <w:rsid w:val="007003D2"/>
    <w:rsid w:val="00700DBF"/>
    <w:rsid w:val="0070140C"/>
    <w:rsid w:val="00701456"/>
    <w:rsid w:val="007016B9"/>
    <w:rsid w:val="0070179A"/>
    <w:rsid w:val="00701D7A"/>
    <w:rsid w:val="00701F70"/>
    <w:rsid w:val="00702128"/>
    <w:rsid w:val="007021B1"/>
    <w:rsid w:val="00702211"/>
    <w:rsid w:val="00702264"/>
    <w:rsid w:val="007022B0"/>
    <w:rsid w:val="00702854"/>
    <w:rsid w:val="00703073"/>
    <w:rsid w:val="007031CF"/>
    <w:rsid w:val="0070335E"/>
    <w:rsid w:val="00703511"/>
    <w:rsid w:val="00703575"/>
    <w:rsid w:val="00703696"/>
    <w:rsid w:val="007039FD"/>
    <w:rsid w:val="00703CFD"/>
    <w:rsid w:val="00704421"/>
    <w:rsid w:val="00704678"/>
    <w:rsid w:val="00704ABA"/>
    <w:rsid w:val="00704E4A"/>
    <w:rsid w:val="00705C01"/>
    <w:rsid w:val="00705D38"/>
    <w:rsid w:val="00706171"/>
    <w:rsid w:val="0070667A"/>
    <w:rsid w:val="007069F7"/>
    <w:rsid w:val="00706C4C"/>
    <w:rsid w:val="00706E70"/>
    <w:rsid w:val="00707022"/>
    <w:rsid w:val="00707424"/>
    <w:rsid w:val="007074A2"/>
    <w:rsid w:val="00707515"/>
    <w:rsid w:val="007075D9"/>
    <w:rsid w:val="00707624"/>
    <w:rsid w:val="00710048"/>
    <w:rsid w:val="007103B0"/>
    <w:rsid w:val="007105B8"/>
    <w:rsid w:val="0071073F"/>
    <w:rsid w:val="00710A5C"/>
    <w:rsid w:val="00710C86"/>
    <w:rsid w:val="00710FCA"/>
    <w:rsid w:val="007110BC"/>
    <w:rsid w:val="007113E5"/>
    <w:rsid w:val="00711464"/>
    <w:rsid w:val="00711481"/>
    <w:rsid w:val="0071153D"/>
    <w:rsid w:val="0071164C"/>
    <w:rsid w:val="007117A9"/>
    <w:rsid w:val="0071180A"/>
    <w:rsid w:val="00711C82"/>
    <w:rsid w:val="007125C5"/>
    <w:rsid w:val="007129B7"/>
    <w:rsid w:val="00712C70"/>
    <w:rsid w:val="00712C7E"/>
    <w:rsid w:val="007132C1"/>
    <w:rsid w:val="007136BC"/>
    <w:rsid w:val="00713DDB"/>
    <w:rsid w:val="0071421E"/>
    <w:rsid w:val="007147CA"/>
    <w:rsid w:val="00714D66"/>
    <w:rsid w:val="00715AD6"/>
    <w:rsid w:val="00715B2C"/>
    <w:rsid w:val="00715D35"/>
    <w:rsid w:val="00716253"/>
    <w:rsid w:val="0071662C"/>
    <w:rsid w:val="0071696C"/>
    <w:rsid w:val="00716A01"/>
    <w:rsid w:val="00717056"/>
    <w:rsid w:val="007175C9"/>
    <w:rsid w:val="00717B74"/>
    <w:rsid w:val="00717CD2"/>
    <w:rsid w:val="00717E79"/>
    <w:rsid w:val="007202B8"/>
    <w:rsid w:val="007203A8"/>
    <w:rsid w:val="00720490"/>
    <w:rsid w:val="00720A9B"/>
    <w:rsid w:val="007210D8"/>
    <w:rsid w:val="00721557"/>
    <w:rsid w:val="00721A88"/>
    <w:rsid w:val="00721D81"/>
    <w:rsid w:val="00721E10"/>
    <w:rsid w:val="007220EA"/>
    <w:rsid w:val="007229E1"/>
    <w:rsid w:val="00722BCF"/>
    <w:rsid w:val="00723084"/>
    <w:rsid w:val="007235F9"/>
    <w:rsid w:val="00723871"/>
    <w:rsid w:val="00723D94"/>
    <w:rsid w:val="00723F39"/>
    <w:rsid w:val="0072434E"/>
    <w:rsid w:val="007245C5"/>
    <w:rsid w:val="00724B77"/>
    <w:rsid w:val="00724DCF"/>
    <w:rsid w:val="00724DDC"/>
    <w:rsid w:val="00724F05"/>
    <w:rsid w:val="007258DC"/>
    <w:rsid w:val="00725A2D"/>
    <w:rsid w:val="00725E54"/>
    <w:rsid w:val="00726B39"/>
    <w:rsid w:val="00726C6F"/>
    <w:rsid w:val="00726C99"/>
    <w:rsid w:val="00726D1D"/>
    <w:rsid w:val="00727160"/>
    <w:rsid w:val="007272B5"/>
    <w:rsid w:val="007276B0"/>
    <w:rsid w:val="00727A6F"/>
    <w:rsid w:val="00727FAB"/>
    <w:rsid w:val="0073056A"/>
    <w:rsid w:val="00730BD8"/>
    <w:rsid w:val="00731357"/>
    <w:rsid w:val="00731D09"/>
    <w:rsid w:val="00731D2F"/>
    <w:rsid w:val="00731DC1"/>
    <w:rsid w:val="00731E90"/>
    <w:rsid w:val="00732040"/>
    <w:rsid w:val="007323E9"/>
    <w:rsid w:val="007324AA"/>
    <w:rsid w:val="0073273D"/>
    <w:rsid w:val="00732B76"/>
    <w:rsid w:val="00732EB5"/>
    <w:rsid w:val="00733243"/>
    <w:rsid w:val="007334A1"/>
    <w:rsid w:val="00733725"/>
    <w:rsid w:val="00733785"/>
    <w:rsid w:val="00733B63"/>
    <w:rsid w:val="00733D3B"/>
    <w:rsid w:val="00734296"/>
    <w:rsid w:val="0073446D"/>
    <w:rsid w:val="00734636"/>
    <w:rsid w:val="0073463D"/>
    <w:rsid w:val="00734808"/>
    <w:rsid w:val="0073520D"/>
    <w:rsid w:val="00735339"/>
    <w:rsid w:val="007358DC"/>
    <w:rsid w:val="00735989"/>
    <w:rsid w:val="00735AA4"/>
    <w:rsid w:val="00735B1A"/>
    <w:rsid w:val="00735C38"/>
    <w:rsid w:val="00735DA4"/>
    <w:rsid w:val="0073619B"/>
    <w:rsid w:val="007363F5"/>
    <w:rsid w:val="00736968"/>
    <w:rsid w:val="00736A2C"/>
    <w:rsid w:val="00736A4A"/>
    <w:rsid w:val="00736AD3"/>
    <w:rsid w:val="0073708B"/>
    <w:rsid w:val="007372A7"/>
    <w:rsid w:val="007373BA"/>
    <w:rsid w:val="0073747A"/>
    <w:rsid w:val="00737794"/>
    <w:rsid w:val="007379B6"/>
    <w:rsid w:val="007400D6"/>
    <w:rsid w:val="00740103"/>
    <w:rsid w:val="0074023E"/>
    <w:rsid w:val="0074039D"/>
    <w:rsid w:val="007407D2"/>
    <w:rsid w:val="007409CA"/>
    <w:rsid w:val="007409F3"/>
    <w:rsid w:val="00740F8D"/>
    <w:rsid w:val="00741061"/>
    <w:rsid w:val="00741246"/>
    <w:rsid w:val="00741280"/>
    <w:rsid w:val="0074162E"/>
    <w:rsid w:val="007416B5"/>
    <w:rsid w:val="007416F9"/>
    <w:rsid w:val="00741747"/>
    <w:rsid w:val="00741B2B"/>
    <w:rsid w:val="00742DC8"/>
    <w:rsid w:val="00743027"/>
    <w:rsid w:val="007431A2"/>
    <w:rsid w:val="00743A4D"/>
    <w:rsid w:val="00743C97"/>
    <w:rsid w:val="00743F65"/>
    <w:rsid w:val="0074402C"/>
    <w:rsid w:val="0074426A"/>
    <w:rsid w:val="00744360"/>
    <w:rsid w:val="00744882"/>
    <w:rsid w:val="00744BFB"/>
    <w:rsid w:val="0074506B"/>
    <w:rsid w:val="007457E1"/>
    <w:rsid w:val="00746051"/>
    <w:rsid w:val="00746185"/>
    <w:rsid w:val="0074619B"/>
    <w:rsid w:val="00746544"/>
    <w:rsid w:val="0074699E"/>
    <w:rsid w:val="00746AF7"/>
    <w:rsid w:val="00746FB7"/>
    <w:rsid w:val="00747247"/>
    <w:rsid w:val="007472EC"/>
    <w:rsid w:val="0074742A"/>
    <w:rsid w:val="007476E4"/>
    <w:rsid w:val="0074797A"/>
    <w:rsid w:val="00747CF3"/>
    <w:rsid w:val="00747D00"/>
    <w:rsid w:val="00747D53"/>
    <w:rsid w:val="00750135"/>
    <w:rsid w:val="0075064B"/>
    <w:rsid w:val="00750AC2"/>
    <w:rsid w:val="00750F6B"/>
    <w:rsid w:val="00751303"/>
    <w:rsid w:val="0075175B"/>
    <w:rsid w:val="00751AF5"/>
    <w:rsid w:val="00751D0C"/>
    <w:rsid w:val="00751E09"/>
    <w:rsid w:val="00752048"/>
    <w:rsid w:val="007522C2"/>
    <w:rsid w:val="0075244C"/>
    <w:rsid w:val="00752707"/>
    <w:rsid w:val="00752AA2"/>
    <w:rsid w:val="00752B27"/>
    <w:rsid w:val="00752C0E"/>
    <w:rsid w:val="00752F09"/>
    <w:rsid w:val="00752F10"/>
    <w:rsid w:val="007532ED"/>
    <w:rsid w:val="00753466"/>
    <w:rsid w:val="00753ADB"/>
    <w:rsid w:val="00753BB8"/>
    <w:rsid w:val="00753BDD"/>
    <w:rsid w:val="00753D66"/>
    <w:rsid w:val="007543A3"/>
    <w:rsid w:val="00754826"/>
    <w:rsid w:val="007549CB"/>
    <w:rsid w:val="00754EA4"/>
    <w:rsid w:val="007554FD"/>
    <w:rsid w:val="00755851"/>
    <w:rsid w:val="00755D33"/>
    <w:rsid w:val="00755DEF"/>
    <w:rsid w:val="0075605A"/>
    <w:rsid w:val="007560B9"/>
    <w:rsid w:val="007562C4"/>
    <w:rsid w:val="00757371"/>
    <w:rsid w:val="0075764A"/>
    <w:rsid w:val="007578E8"/>
    <w:rsid w:val="00757B90"/>
    <w:rsid w:val="00757F0C"/>
    <w:rsid w:val="007600DA"/>
    <w:rsid w:val="007608BB"/>
    <w:rsid w:val="007612DB"/>
    <w:rsid w:val="00761609"/>
    <w:rsid w:val="00761616"/>
    <w:rsid w:val="00761D1B"/>
    <w:rsid w:val="00761D70"/>
    <w:rsid w:val="00761E51"/>
    <w:rsid w:val="007622E1"/>
    <w:rsid w:val="0076249D"/>
    <w:rsid w:val="007627C9"/>
    <w:rsid w:val="007629C1"/>
    <w:rsid w:val="00762B5E"/>
    <w:rsid w:val="00762B66"/>
    <w:rsid w:val="00762DED"/>
    <w:rsid w:val="00763200"/>
    <w:rsid w:val="00763455"/>
    <w:rsid w:val="0076355C"/>
    <w:rsid w:val="0076366B"/>
    <w:rsid w:val="00763DCF"/>
    <w:rsid w:val="00763E4F"/>
    <w:rsid w:val="00764515"/>
    <w:rsid w:val="00764535"/>
    <w:rsid w:val="00764F88"/>
    <w:rsid w:val="007650DE"/>
    <w:rsid w:val="007652BA"/>
    <w:rsid w:val="0076541B"/>
    <w:rsid w:val="00765799"/>
    <w:rsid w:val="007657E7"/>
    <w:rsid w:val="007659BC"/>
    <w:rsid w:val="00765F0B"/>
    <w:rsid w:val="007666E1"/>
    <w:rsid w:val="0076686A"/>
    <w:rsid w:val="00766963"/>
    <w:rsid w:val="00766A07"/>
    <w:rsid w:val="00766B2E"/>
    <w:rsid w:val="00766C2E"/>
    <w:rsid w:val="00766D37"/>
    <w:rsid w:val="00766E02"/>
    <w:rsid w:val="00766EB3"/>
    <w:rsid w:val="00767168"/>
    <w:rsid w:val="007679B1"/>
    <w:rsid w:val="00767D42"/>
    <w:rsid w:val="00767FCC"/>
    <w:rsid w:val="007707D8"/>
    <w:rsid w:val="00770B85"/>
    <w:rsid w:val="00770C23"/>
    <w:rsid w:val="00770EB5"/>
    <w:rsid w:val="007713CA"/>
    <w:rsid w:val="007713EE"/>
    <w:rsid w:val="007715F9"/>
    <w:rsid w:val="007719A9"/>
    <w:rsid w:val="00771B66"/>
    <w:rsid w:val="00771DF5"/>
    <w:rsid w:val="00771F74"/>
    <w:rsid w:val="0077231C"/>
    <w:rsid w:val="0077263A"/>
    <w:rsid w:val="0077284E"/>
    <w:rsid w:val="00772E87"/>
    <w:rsid w:val="007737B9"/>
    <w:rsid w:val="00773ABC"/>
    <w:rsid w:val="00773B78"/>
    <w:rsid w:val="00774300"/>
    <w:rsid w:val="0077439A"/>
    <w:rsid w:val="0077458E"/>
    <w:rsid w:val="007748F0"/>
    <w:rsid w:val="00774ECF"/>
    <w:rsid w:val="00774FBB"/>
    <w:rsid w:val="0077533E"/>
    <w:rsid w:val="007754D7"/>
    <w:rsid w:val="00775F12"/>
    <w:rsid w:val="007767C1"/>
    <w:rsid w:val="00776BC7"/>
    <w:rsid w:val="007770F5"/>
    <w:rsid w:val="00777223"/>
    <w:rsid w:val="007773DD"/>
    <w:rsid w:val="0077787A"/>
    <w:rsid w:val="00777FAD"/>
    <w:rsid w:val="0078019D"/>
    <w:rsid w:val="007805BF"/>
    <w:rsid w:val="007807AA"/>
    <w:rsid w:val="00780A0B"/>
    <w:rsid w:val="00780DFB"/>
    <w:rsid w:val="0078145E"/>
    <w:rsid w:val="007818F8"/>
    <w:rsid w:val="00781911"/>
    <w:rsid w:val="00781D65"/>
    <w:rsid w:val="00781F3D"/>
    <w:rsid w:val="00781FD9"/>
    <w:rsid w:val="00782129"/>
    <w:rsid w:val="0078239F"/>
    <w:rsid w:val="007824B7"/>
    <w:rsid w:val="00782818"/>
    <w:rsid w:val="00782D2E"/>
    <w:rsid w:val="00782D86"/>
    <w:rsid w:val="00782E89"/>
    <w:rsid w:val="007830A0"/>
    <w:rsid w:val="0078332C"/>
    <w:rsid w:val="00783442"/>
    <w:rsid w:val="00783A34"/>
    <w:rsid w:val="00783AF0"/>
    <w:rsid w:val="007846B1"/>
    <w:rsid w:val="00784D7B"/>
    <w:rsid w:val="00784DF3"/>
    <w:rsid w:val="00785386"/>
    <w:rsid w:val="00785422"/>
    <w:rsid w:val="00785B06"/>
    <w:rsid w:val="00786546"/>
    <w:rsid w:val="007869A4"/>
    <w:rsid w:val="00786A5F"/>
    <w:rsid w:val="00786BD1"/>
    <w:rsid w:val="00786D84"/>
    <w:rsid w:val="00787043"/>
    <w:rsid w:val="00787122"/>
    <w:rsid w:val="0078712E"/>
    <w:rsid w:val="007873B1"/>
    <w:rsid w:val="007873E2"/>
    <w:rsid w:val="007875EE"/>
    <w:rsid w:val="00787AF9"/>
    <w:rsid w:val="0079020F"/>
    <w:rsid w:val="0079030D"/>
    <w:rsid w:val="007903AE"/>
    <w:rsid w:val="00790444"/>
    <w:rsid w:val="007904BC"/>
    <w:rsid w:val="00790547"/>
    <w:rsid w:val="007906C5"/>
    <w:rsid w:val="00790A5C"/>
    <w:rsid w:val="00791388"/>
    <w:rsid w:val="0079156F"/>
    <w:rsid w:val="00791D80"/>
    <w:rsid w:val="007920B6"/>
    <w:rsid w:val="00792102"/>
    <w:rsid w:val="00792A67"/>
    <w:rsid w:val="0079361D"/>
    <w:rsid w:val="0079386D"/>
    <w:rsid w:val="00793C29"/>
    <w:rsid w:val="00793D2C"/>
    <w:rsid w:val="00793F2C"/>
    <w:rsid w:val="00794320"/>
    <w:rsid w:val="007944B0"/>
    <w:rsid w:val="00794734"/>
    <w:rsid w:val="00794BAF"/>
    <w:rsid w:val="00794E06"/>
    <w:rsid w:val="00794FF5"/>
    <w:rsid w:val="00795144"/>
    <w:rsid w:val="007955C6"/>
    <w:rsid w:val="00795D53"/>
    <w:rsid w:val="00795E9C"/>
    <w:rsid w:val="0079605C"/>
    <w:rsid w:val="007965D9"/>
    <w:rsid w:val="0079660D"/>
    <w:rsid w:val="007975F5"/>
    <w:rsid w:val="00797656"/>
    <w:rsid w:val="00797747"/>
    <w:rsid w:val="00797BAE"/>
    <w:rsid w:val="00797C91"/>
    <w:rsid w:val="00797E2B"/>
    <w:rsid w:val="007A0B3C"/>
    <w:rsid w:val="007A0F45"/>
    <w:rsid w:val="007A1080"/>
    <w:rsid w:val="007A147B"/>
    <w:rsid w:val="007A183E"/>
    <w:rsid w:val="007A18EE"/>
    <w:rsid w:val="007A1A3C"/>
    <w:rsid w:val="007A1B69"/>
    <w:rsid w:val="007A232A"/>
    <w:rsid w:val="007A26AF"/>
    <w:rsid w:val="007A2A90"/>
    <w:rsid w:val="007A2AF0"/>
    <w:rsid w:val="007A2DDE"/>
    <w:rsid w:val="007A38D1"/>
    <w:rsid w:val="007A3E77"/>
    <w:rsid w:val="007A4B37"/>
    <w:rsid w:val="007A4DC6"/>
    <w:rsid w:val="007A4E45"/>
    <w:rsid w:val="007A50BB"/>
    <w:rsid w:val="007A50D5"/>
    <w:rsid w:val="007A55A6"/>
    <w:rsid w:val="007A5E73"/>
    <w:rsid w:val="007A6087"/>
    <w:rsid w:val="007A64CF"/>
    <w:rsid w:val="007A65CC"/>
    <w:rsid w:val="007A680D"/>
    <w:rsid w:val="007A6B94"/>
    <w:rsid w:val="007A6E32"/>
    <w:rsid w:val="007A73CD"/>
    <w:rsid w:val="007A7503"/>
    <w:rsid w:val="007A765A"/>
    <w:rsid w:val="007A7B1B"/>
    <w:rsid w:val="007B00A6"/>
    <w:rsid w:val="007B01C1"/>
    <w:rsid w:val="007B05BB"/>
    <w:rsid w:val="007B09A3"/>
    <w:rsid w:val="007B0C96"/>
    <w:rsid w:val="007B11A9"/>
    <w:rsid w:val="007B16B5"/>
    <w:rsid w:val="007B18B7"/>
    <w:rsid w:val="007B1BAE"/>
    <w:rsid w:val="007B1BC9"/>
    <w:rsid w:val="007B20D1"/>
    <w:rsid w:val="007B2119"/>
    <w:rsid w:val="007B2215"/>
    <w:rsid w:val="007B2883"/>
    <w:rsid w:val="007B28E5"/>
    <w:rsid w:val="007B29AC"/>
    <w:rsid w:val="007B2AF2"/>
    <w:rsid w:val="007B2C20"/>
    <w:rsid w:val="007B322C"/>
    <w:rsid w:val="007B3265"/>
    <w:rsid w:val="007B33C7"/>
    <w:rsid w:val="007B3B36"/>
    <w:rsid w:val="007B3D7E"/>
    <w:rsid w:val="007B3E73"/>
    <w:rsid w:val="007B3FE7"/>
    <w:rsid w:val="007B43FB"/>
    <w:rsid w:val="007B45C8"/>
    <w:rsid w:val="007B467B"/>
    <w:rsid w:val="007B50E5"/>
    <w:rsid w:val="007B525A"/>
    <w:rsid w:val="007B57EA"/>
    <w:rsid w:val="007B59C8"/>
    <w:rsid w:val="007B5BC0"/>
    <w:rsid w:val="007B5E02"/>
    <w:rsid w:val="007B60D8"/>
    <w:rsid w:val="007B613A"/>
    <w:rsid w:val="007B6446"/>
    <w:rsid w:val="007B68B2"/>
    <w:rsid w:val="007B69B3"/>
    <w:rsid w:val="007B6F99"/>
    <w:rsid w:val="007B773E"/>
    <w:rsid w:val="007B7C0D"/>
    <w:rsid w:val="007B7C41"/>
    <w:rsid w:val="007C001B"/>
    <w:rsid w:val="007C03CD"/>
    <w:rsid w:val="007C100A"/>
    <w:rsid w:val="007C1712"/>
    <w:rsid w:val="007C177C"/>
    <w:rsid w:val="007C1B18"/>
    <w:rsid w:val="007C1F83"/>
    <w:rsid w:val="007C2580"/>
    <w:rsid w:val="007C2642"/>
    <w:rsid w:val="007C280D"/>
    <w:rsid w:val="007C2A9A"/>
    <w:rsid w:val="007C302A"/>
    <w:rsid w:val="007C34FA"/>
    <w:rsid w:val="007C3B5D"/>
    <w:rsid w:val="007C4088"/>
    <w:rsid w:val="007C48B5"/>
    <w:rsid w:val="007C4FC9"/>
    <w:rsid w:val="007C505F"/>
    <w:rsid w:val="007C50B1"/>
    <w:rsid w:val="007C5410"/>
    <w:rsid w:val="007C5562"/>
    <w:rsid w:val="007C5BE6"/>
    <w:rsid w:val="007C612E"/>
    <w:rsid w:val="007C66B3"/>
    <w:rsid w:val="007C6E27"/>
    <w:rsid w:val="007C6F3E"/>
    <w:rsid w:val="007C6FBA"/>
    <w:rsid w:val="007C6FFE"/>
    <w:rsid w:val="007C786E"/>
    <w:rsid w:val="007C7994"/>
    <w:rsid w:val="007C7CEE"/>
    <w:rsid w:val="007D0108"/>
    <w:rsid w:val="007D03F4"/>
    <w:rsid w:val="007D0717"/>
    <w:rsid w:val="007D07B7"/>
    <w:rsid w:val="007D0F74"/>
    <w:rsid w:val="007D15C2"/>
    <w:rsid w:val="007D1BC0"/>
    <w:rsid w:val="007D1C5D"/>
    <w:rsid w:val="007D1FB0"/>
    <w:rsid w:val="007D20F6"/>
    <w:rsid w:val="007D2496"/>
    <w:rsid w:val="007D24AB"/>
    <w:rsid w:val="007D2A67"/>
    <w:rsid w:val="007D2C9E"/>
    <w:rsid w:val="007D2F34"/>
    <w:rsid w:val="007D38E9"/>
    <w:rsid w:val="007D3C01"/>
    <w:rsid w:val="007D3E03"/>
    <w:rsid w:val="007D3EC0"/>
    <w:rsid w:val="007D483E"/>
    <w:rsid w:val="007D4A61"/>
    <w:rsid w:val="007D4B21"/>
    <w:rsid w:val="007D4E98"/>
    <w:rsid w:val="007D4F2C"/>
    <w:rsid w:val="007D503F"/>
    <w:rsid w:val="007D5784"/>
    <w:rsid w:val="007D5A49"/>
    <w:rsid w:val="007D5B43"/>
    <w:rsid w:val="007D5BCA"/>
    <w:rsid w:val="007D5C4A"/>
    <w:rsid w:val="007D5D64"/>
    <w:rsid w:val="007D6042"/>
    <w:rsid w:val="007D61F3"/>
    <w:rsid w:val="007D6209"/>
    <w:rsid w:val="007D67D2"/>
    <w:rsid w:val="007D6E17"/>
    <w:rsid w:val="007D6FD3"/>
    <w:rsid w:val="007D7A66"/>
    <w:rsid w:val="007D7B79"/>
    <w:rsid w:val="007D7E97"/>
    <w:rsid w:val="007E0098"/>
    <w:rsid w:val="007E030F"/>
    <w:rsid w:val="007E059B"/>
    <w:rsid w:val="007E0773"/>
    <w:rsid w:val="007E0A13"/>
    <w:rsid w:val="007E0C1A"/>
    <w:rsid w:val="007E16FD"/>
    <w:rsid w:val="007E19FD"/>
    <w:rsid w:val="007E1D12"/>
    <w:rsid w:val="007E202C"/>
    <w:rsid w:val="007E2090"/>
    <w:rsid w:val="007E23EE"/>
    <w:rsid w:val="007E2680"/>
    <w:rsid w:val="007E2737"/>
    <w:rsid w:val="007E2FF7"/>
    <w:rsid w:val="007E3095"/>
    <w:rsid w:val="007E32B5"/>
    <w:rsid w:val="007E3443"/>
    <w:rsid w:val="007E3ECF"/>
    <w:rsid w:val="007E40AD"/>
    <w:rsid w:val="007E4586"/>
    <w:rsid w:val="007E4850"/>
    <w:rsid w:val="007E48B8"/>
    <w:rsid w:val="007E48ED"/>
    <w:rsid w:val="007E4B77"/>
    <w:rsid w:val="007E52EE"/>
    <w:rsid w:val="007E55F9"/>
    <w:rsid w:val="007E58FD"/>
    <w:rsid w:val="007E5939"/>
    <w:rsid w:val="007E599D"/>
    <w:rsid w:val="007E5BC1"/>
    <w:rsid w:val="007E5EC2"/>
    <w:rsid w:val="007E5FF6"/>
    <w:rsid w:val="007E611C"/>
    <w:rsid w:val="007E622D"/>
    <w:rsid w:val="007E66A5"/>
    <w:rsid w:val="007E7201"/>
    <w:rsid w:val="007E7223"/>
    <w:rsid w:val="007E722F"/>
    <w:rsid w:val="007E786B"/>
    <w:rsid w:val="007E7E35"/>
    <w:rsid w:val="007F01E2"/>
    <w:rsid w:val="007F02E6"/>
    <w:rsid w:val="007F0428"/>
    <w:rsid w:val="007F0727"/>
    <w:rsid w:val="007F083F"/>
    <w:rsid w:val="007F09E4"/>
    <w:rsid w:val="007F0C1A"/>
    <w:rsid w:val="007F0D4C"/>
    <w:rsid w:val="007F0EC9"/>
    <w:rsid w:val="007F12B8"/>
    <w:rsid w:val="007F12D4"/>
    <w:rsid w:val="007F179B"/>
    <w:rsid w:val="007F18FC"/>
    <w:rsid w:val="007F1969"/>
    <w:rsid w:val="007F1A36"/>
    <w:rsid w:val="007F29CB"/>
    <w:rsid w:val="007F2A0A"/>
    <w:rsid w:val="007F2C16"/>
    <w:rsid w:val="007F2CD5"/>
    <w:rsid w:val="007F2E75"/>
    <w:rsid w:val="007F2F51"/>
    <w:rsid w:val="007F2FC6"/>
    <w:rsid w:val="007F3078"/>
    <w:rsid w:val="007F3230"/>
    <w:rsid w:val="007F369F"/>
    <w:rsid w:val="007F3707"/>
    <w:rsid w:val="007F382B"/>
    <w:rsid w:val="007F3FAB"/>
    <w:rsid w:val="007F4135"/>
    <w:rsid w:val="007F42F8"/>
    <w:rsid w:val="007F4305"/>
    <w:rsid w:val="007F436C"/>
    <w:rsid w:val="007F44D6"/>
    <w:rsid w:val="007F4509"/>
    <w:rsid w:val="007F4629"/>
    <w:rsid w:val="007F4853"/>
    <w:rsid w:val="007F4E1A"/>
    <w:rsid w:val="007F5418"/>
    <w:rsid w:val="007F5428"/>
    <w:rsid w:val="007F5929"/>
    <w:rsid w:val="007F5FF8"/>
    <w:rsid w:val="007F64E5"/>
    <w:rsid w:val="007F66BB"/>
    <w:rsid w:val="007F68A7"/>
    <w:rsid w:val="007F6A85"/>
    <w:rsid w:val="007F6C6C"/>
    <w:rsid w:val="007F6FF3"/>
    <w:rsid w:val="007F72A4"/>
    <w:rsid w:val="007F73DF"/>
    <w:rsid w:val="007F7A3A"/>
    <w:rsid w:val="007F7BFA"/>
    <w:rsid w:val="007F7C9C"/>
    <w:rsid w:val="007F7CEA"/>
    <w:rsid w:val="007F7D1A"/>
    <w:rsid w:val="007F7D40"/>
    <w:rsid w:val="007F7D6C"/>
    <w:rsid w:val="00800235"/>
    <w:rsid w:val="00800368"/>
    <w:rsid w:val="00800831"/>
    <w:rsid w:val="00800F94"/>
    <w:rsid w:val="0080127E"/>
    <w:rsid w:val="008014C2"/>
    <w:rsid w:val="00801508"/>
    <w:rsid w:val="00801EA2"/>
    <w:rsid w:val="00802204"/>
    <w:rsid w:val="0080246D"/>
    <w:rsid w:val="008028DC"/>
    <w:rsid w:val="00802C03"/>
    <w:rsid w:val="008030C6"/>
    <w:rsid w:val="008030DE"/>
    <w:rsid w:val="00803229"/>
    <w:rsid w:val="008037AE"/>
    <w:rsid w:val="00803F77"/>
    <w:rsid w:val="0080413E"/>
    <w:rsid w:val="0080418D"/>
    <w:rsid w:val="00804252"/>
    <w:rsid w:val="00804754"/>
    <w:rsid w:val="00804C87"/>
    <w:rsid w:val="008057C6"/>
    <w:rsid w:val="00805DB3"/>
    <w:rsid w:val="008066C1"/>
    <w:rsid w:val="008072F0"/>
    <w:rsid w:val="008073E5"/>
    <w:rsid w:val="00807457"/>
    <w:rsid w:val="00807490"/>
    <w:rsid w:val="00807816"/>
    <w:rsid w:val="00807B49"/>
    <w:rsid w:val="00807BC4"/>
    <w:rsid w:val="00810213"/>
    <w:rsid w:val="008102BC"/>
    <w:rsid w:val="008102F9"/>
    <w:rsid w:val="00810362"/>
    <w:rsid w:val="008106CE"/>
    <w:rsid w:val="00810F08"/>
    <w:rsid w:val="00810FB5"/>
    <w:rsid w:val="008113FB"/>
    <w:rsid w:val="0081175C"/>
    <w:rsid w:val="00811FE1"/>
    <w:rsid w:val="00812208"/>
    <w:rsid w:val="008128D7"/>
    <w:rsid w:val="0081376D"/>
    <w:rsid w:val="00813D95"/>
    <w:rsid w:val="00813E9E"/>
    <w:rsid w:val="00814536"/>
    <w:rsid w:val="00814897"/>
    <w:rsid w:val="00814A23"/>
    <w:rsid w:val="00814B12"/>
    <w:rsid w:val="00814B34"/>
    <w:rsid w:val="0081557A"/>
    <w:rsid w:val="008156E3"/>
    <w:rsid w:val="00815D83"/>
    <w:rsid w:val="0081626B"/>
    <w:rsid w:val="008162A4"/>
    <w:rsid w:val="00816394"/>
    <w:rsid w:val="00816A38"/>
    <w:rsid w:val="00816A4C"/>
    <w:rsid w:val="00816B2B"/>
    <w:rsid w:val="00816BAD"/>
    <w:rsid w:val="00816DEA"/>
    <w:rsid w:val="00816F6F"/>
    <w:rsid w:val="00817196"/>
    <w:rsid w:val="0081739C"/>
    <w:rsid w:val="0081754F"/>
    <w:rsid w:val="008175BF"/>
    <w:rsid w:val="00817667"/>
    <w:rsid w:val="00817865"/>
    <w:rsid w:val="008178A5"/>
    <w:rsid w:val="00817BAB"/>
    <w:rsid w:val="00817D78"/>
    <w:rsid w:val="00817FB1"/>
    <w:rsid w:val="00817FEA"/>
    <w:rsid w:val="008201FB"/>
    <w:rsid w:val="008204BA"/>
    <w:rsid w:val="00820969"/>
    <w:rsid w:val="00820CD8"/>
    <w:rsid w:val="008211E8"/>
    <w:rsid w:val="008214F2"/>
    <w:rsid w:val="00821681"/>
    <w:rsid w:val="00821AEA"/>
    <w:rsid w:val="00821AEE"/>
    <w:rsid w:val="00822001"/>
    <w:rsid w:val="008224CF"/>
    <w:rsid w:val="00822604"/>
    <w:rsid w:val="00822A31"/>
    <w:rsid w:val="00822A47"/>
    <w:rsid w:val="00822C5E"/>
    <w:rsid w:val="00822DAB"/>
    <w:rsid w:val="00822ECC"/>
    <w:rsid w:val="008231AA"/>
    <w:rsid w:val="00823361"/>
    <w:rsid w:val="008237AF"/>
    <w:rsid w:val="00823B39"/>
    <w:rsid w:val="00824041"/>
    <w:rsid w:val="00824E7E"/>
    <w:rsid w:val="0082529B"/>
    <w:rsid w:val="0082598C"/>
    <w:rsid w:val="00825A38"/>
    <w:rsid w:val="00825FE9"/>
    <w:rsid w:val="00826137"/>
    <w:rsid w:val="008264A0"/>
    <w:rsid w:val="00826868"/>
    <w:rsid w:val="00826AA1"/>
    <w:rsid w:val="00826B48"/>
    <w:rsid w:val="00826E4D"/>
    <w:rsid w:val="00826F93"/>
    <w:rsid w:val="00827B2D"/>
    <w:rsid w:val="00827C13"/>
    <w:rsid w:val="00827C82"/>
    <w:rsid w:val="00827DCA"/>
    <w:rsid w:val="008301F2"/>
    <w:rsid w:val="00830BF2"/>
    <w:rsid w:val="00830E15"/>
    <w:rsid w:val="0083126F"/>
    <w:rsid w:val="0083128E"/>
    <w:rsid w:val="008316A9"/>
    <w:rsid w:val="0083233A"/>
    <w:rsid w:val="00832815"/>
    <w:rsid w:val="008328DF"/>
    <w:rsid w:val="008331AD"/>
    <w:rsid w:val="00833421"/>
    <w:rsid w:val="008335E6"/>
    <w:rsid w:val="00833C15"/>
    <w:rsid w:val="00833DE8"/>
    <w:rsid w:val="008344A6"/>
    <w:rsid w:val="008346A0"/>
    <w:rsid w:val="00835108"/>
    <w:rsid w:val="00835EB5"/>
    <w:rsid w:val="00835EF0"/>
    <w:rsid w:val="00836302"/>
    <w:rsid w:val="0083635E"/>
    <w:rsid w:val="0083639C"/>
    <w:rsid w:val="00836A85"/>
    <w:rsid w:val="00836AC2"/>
    <w:rsid w:val="00836AE1"/>
    <w:rsid w:val="00836BA0"/>
    <w:rsid w:val="00836DAA"/>
    <w:rsid w:val="00836FC9"/>
    <w:rsid w:val="00837112"/>
    <w:rsid w:val="00837117"/>
    <w:rsid w:val="00837C90"/>
    <w:rsid w:val="00837D16"/>
    <w:rsid w:val="00840161"/>
    <w:rsid w:val="0084078B"/>
    <w:rsid w:val="00840CD6"/>
    <w:rsid w:val="00840D77"/>
    <w:rsid w:val="00840DB6"/>
    <w:rsid w:val="00840FE8"/>
    <w:rsid w:val="0084103F"/>
    <w:rsid w:val="00841FB8"/>
    <w:rsid w:val="0084226A"/>
    <w:rsid w:val="0084247A"/>
    <w:rsid w:val="0084296A"/>
    <w:rsid w:val="008429C6"/>
    <w:rsid w:val="00842EDF"/>
    <w:rsid w:val="00842F5D"/>
    <w:rsid w:val="008432EC"/>
    <w:rsid w:val="00843301"/>
    <w:rsid w:val="0084342B"/>
    <w:rsid w:val="008439A4"/>
    <w:rsid w:val="00843B83"/>
    <w:rsid w:val="00844031"/>
    <w:rsid w:val="00844B8E"/>
    <w:rsid w:val="0084544B"/>
    <w:rsid w:val="00845895"/>
    <w:rsid w:val="00845BB2"/>
    <w:rsid w:val="008463AB"/>
    <w:rsid w:val="008464FD"/>
    <w:rsid w:val="00846602"/>
    <w:rsid w:val="008466A4"/>
    <w:rsid w:val="00846A2F"/>
    <w:rsid w:val="008470BB"/>
    <w:rsid w:val="008470C7"/>
    <w:rsid w:val="008474DF"/>
    <w:rsid w:val="00847699"/>
    <w:rsid w:val="0084794B"/>
    <w:rsid w:val="00847A14"/>
    <w:rsid w:val="00847CF6"/>
    <w:rsid w:val="00850387"/>
    <w:rsid w:val="00850404"/>
    <w:rsid w:val="0085042E"/>
    <w:rsid w:val="0085067A"/>
    <w:rsid w:val="00850AED"/>
    <w:rsid w:val="00850D25"/>
    <w:rsid w:val="00850E1D"/>
    <w:rsid w:val="008510BC"/>
    <w:rsid w:val="00851336"/>
    <w:rsid w:val="0085133F"/>
    <w:rsid w:val="00851400"/>
    <w:rsid w:val="0085156F"/>
    <w:rsid w:val="00851892"/>
    <w:rsid w:val="00851F52"/>
    <w:rsid w:val="0085204D"/>
    <w:rsid w:val="00852448"/>
    <w:rsid w:val="00852D06"/>
    <w:rsid w:val="00853133"/>
    <w:rsid w:val="0085317B"/>
    <w:rsid w:val="008534BC"/>
    <w:rsid w:val="00853613"/>
    <w:rsid w:val="00853C0A"/>
    <w:rsid w:val="00853D73"/>
    <w:rsid w:val="00853E92"/>
    <w:rsid w:val="00853EB1"/>
    <w:rsid w:val="00854540"/>
    <w:rsid w:val="00854741"/>
    <w:rsid w:val="00854EA6"/>
    <w:rsid w:val="0085509D"/>
    <w:rsid w:val="008552A8"/>
    <w:rsid w:val="00855610"/>
    <w:rsid w:val="008556CF"/>
    <w:rsid w:val="00855740"/>
    <w:rsid w:val="00855AFC"/>
    <w:rsid w:val="00855BF4"/>
    <w:rsid w:val="00855CD4"/>
    <w:rsid w:val="00855D20"/>
    <w:rsid w:val="00855E29"/>
    <w:rsid w:val="00855F2E"/>
    <w:rsid w:val="00856092"/>
    <w:rsid w:val="008561D5"/>
    <w:rsid w:val="00856A22"/>
    <w:rsid w:val="00856C24"/>
    <w:rsid w:val="00856DDC"/>
    <w:rsid w:val="00856E4C"/>
    <w:rsid w:val="00857441"/>
    <w:rsid w:val="00857463"/>
    <w:rsid w:val="00857483"/>
    <w:rsid w:val="0085792F"/>
    <w:rsid w:val="008579AE"/>
    <w:rsid w:val="0086022C"/>
    <w:rsid w:val="00860873"/>
    <w:rsid w:val="008609C9"/>
    <w:rsid w:val="00860D97"/>
    <w:rsid w:val="00860ED1"/>
    <w:rsid w:val="00860FB9"/>
    <w:rsid w:val="00861294"/>
    <w:rsid w:val="00861674"/>
    <w:rsid w:val="00861A07"/>
    <w:rsid w:val="00861F28"/>
    <w:rsid w:val="00862132"/>
    <w:rsid w:val="00862ECC"/>
    <w:rsid w:val="00863005"/>
    <w:rsid w:val="00863335"/>
    <w:rsid w:val="0086339A"/>
    <w:rsid w:val="00863612"/>
    <w:rsid w:val="00863B39"/>
    <w:rsid w:val="00863F1A"/>
    <w:rsid w:val="0086404B"/>
    <w:rsid w:val="008640CC"/>
    <w:rsid w:val="008648F0"/>
    <w:rsid w:val="00864EAF"/>
    <w:rsid w:val="00864F18"/>
    <w:rsid w:val="00864F1A"/>
    <w:rsid w:val="00864F8E"/>
    <w:rsid w:val="0086544C"/>
    <w:rsid w:val="00865BE8"/>
    <w:rsid w:val="00865DBC"/>
    <w:rsid w:val="00865E52"/>
    <w:rsid w:val="00865ED3"/>
    <w:rsid w:val="008662EF"/>
    <w:rsid w:val="00866620"/>
    <w:rsid w:val="00866813"/>
    <w:rsid w:val="00866E81"/>
    <w:rsid w:val="0086704A"/>
    <w:rsid w:val="0086742A"/>
    <w:rsid w:val="0086742F"/>
    <w:rsid w:val="0086762E"/>
    <w:rsid w:val="00867662"/>
    <w:rsid w:val="008679CC"/>
    <w:rsid w:val="00867C75"/>
    <w:rsid w:val="008700E7"/>
    <w:rsid w:val="0087036A"/>
    <w:rsid w:val="00870432"/>
    <w:rsid w:val="00870A33"/>
    <w:rsid w:val="00870AC9"/>
    <w:rsid w:val="00870C44"/>
    <w:rsid w:val="00870D2F"/>
    <w:rsid w:val="00870F41"/>
    <w:rsid w:val="00871256"/>
    <w:rsid w:val="008712CD"/>
    <w:rsid w:val="00871345"/>
    <w:rsid w:val="00871B0A"/>
    <w:rsid w:val="00872337"/>
    <w:rsid w:val="00872785"/>
    <w:rsid w:val="0087282A"/>
    <w:rsid w:val="00872ADD"/>
    <w:rsid w:val="00872C87"/>
    <w:rsid w:val="00872D18"/>
    <w:rsid w:val="008731EF"/>
    <w:rsid w:val="00873BD7"/>
    <w:rsid w:val="00873C0B"/>
    <w:rsid w:val="00873CB7"/>
    <w:rsid w:val="00873FED"/>
    <w:rsid w:val="008741BD"/>
    <w:rsid w:val="0087437C"/>
    <w:rsid w:val="0087438A"/>
    <w:rsid w:val="008744A7"/>
    <w:rsid w:val="008746BA"/>
    <w:rsid w:val="008755E6"/>
    <w:rsid w:val="00875A82"/>
    <w:rsid w:val="00875C0C"/>
    <w:rsid w:val="00875C11"/>
    <w:rsid w:val="00875CFE"/>
    <w:rsid w:val="00875ED6"/>
    <w:rsid w:val="0087614E"/>
    <w:rsid w:val="0087636F"/>
    <w:rsid w:val="0087640D"/>
    <w:rsid w:val="00876629"/>
    <w:rsid w:val="00876708"/>
    <w:rsid w:val="00876A08"/>
    <w:rsid w:val="00876F31"/>
    <w:rsid w:val="0087705B"/>
    <w:rsid w:val="008778DB"/>
    <w:rsid w:val="0087793C"/>
    <w:rsid w:val="0087796D"/>
    <w:rsid w:val="00877B46"/>
    <w:rsid w:val="00877DA2"/>
    <w:rsid w:val="0088009C"/>
    <w:rsid w:val="00880252"/>
    <w:rsid w:val="0088034B"/>
    <w:rsid w:val="00880D3C"/>
    <w:rsid w:val="00880F31"/>
    <w:rsid w:val="008814E6"/>
    <w:rsid w:val="00881550"/>
    <w:rsid w:val="008817D4"/>
    <w:rsid w:val="0088241D"/>
    <w:rsid w:val="0088248A"/>
    <w:rsid w:val="00882874"/>
    <w:rsid w:val="00883384"/>
    <w:rsid w:val="0088362B"/>
    <w:rsid w:val="00883651"/>
    <w:rsid w:val="00883799"/>
    <w:rsid w:val="00883909"/>
    <w:rsid w:val="0088430B"/>
    <w:rsid w:val="00884846"/>
    <w:rsid w:val="008848F5"/>
    <w:rsid w:val="00884934"/>
    <w:rsid w:val="00885223"/>
    <w:rsid w:val="00885405"/>
    <w:rsid w:val="00885538"/>
    <w:rsid w:val="00885555"/>
    <w:rsid w:val="008856F6"/>
    <w:rsid w:val="008859DF"/>
    <w:rsid w:val="00885DD3"/>
    <w:rsid w:val="00885E03"/>
    <w:rsid w:val="00885FDF"/>
    <w:rsid w:val="00886465"/>
    <w:rsid w:val="00886488"/>
    <w:rsid w:val="008865DA"/>
    <w:rsid w:val="00886817"/>
    <w:rsid w:val="00886BD6"/>
    <w:rsid w:val="00886C94"/>
    <w:rsid w:val="00887239"/>
    <w:rsid w:val="008877A8"/>
    <w:rsid w:val="008877F3"/>
    <w:rsid w:val="00887A46"/>
    <w:rsid w:val="00887B7D"/>
    <w:rsid w:val="00887E7D"/>
    <w:rsid w:val="00890B94"/>
    <w:rsid w:val="00890BDD"/>
    <w:rsid w:val="00890C9D"/>
    <w:rsid w:val="00890FFB"/>
    <w:rsid w:val="00891210"/>
    <w:rsid w:val="00892139"/>
    <w:rsid w:val="00892D69"/>
    <w:rsid w:val="00892F51"/>
    <w:rsid w:val="00893012"/>
    <w:rsid w:val="00893037"/>
    <w:rsid w:val="0089304C"/>
    <w:rsid w:val="008930B2"/>
    <w:rsid w:val="008935A1"/>
    <w:rsid w:val="008936E8"/>
    <w:rsid w:val="00893CB7"/>
    <w:rsid w:val="008943FC"/>
    <w:rsid w:val="00894425"/>
    <w:rsid w:val="008945DE"/>
    <w:rsid w:val="00894782"/>
    <w:rsid w:val="00894A29"/>
    <w:rsid w:val="00894B9B"/>
    <w:rsid w:val="00895217"/>
    <w:rsid w:val="008955E2"/>
    <w:rsid w:val="00895A14"/>
    <w:rsid w:val="00895C6E"/>
    <w:rsid w:val="00896167"/>
    <w:rsid w:val="008963F5"/>
    <w:rsid w:val="008967C5"/>
    <w:rsid w:val="0089686B"/>
    <w:rsid w:val="00896A5E"/>
    <w:rsid w:val="00896BF4"/>
    <w:rsid w:val="0089715B"/>
    <w:rsid w:val="008976AA"/>
    <w:rsid w:val="00897864"/>
    <w:rsid w:val="008A01F1"/>
    <w:rsid w:val="008A02CB"/>
    <w:rsid w:val="008A0BB3"/>
    <w:rsid w:val="008A1192"/>
    <w:rsid w:val="008A11C7"/>
    <w:rsid w:val="008A1A50"/>
    <w:rsid w:val="008A1CB1"/>
    <w:rsid w:val="008A1CE7"/>
    <w:rsid w:val="008A1FFC"/>
    <w:rsid w:val="008A2605"/>
    <w:rsid w:val="008A263D"/>
    <w:rsid w:val="008A2909"/>
    <w:rsid w:val="008A2969"/>
    <w:rsid w:val="008A2A20"/>
    <w:rsid w:val="008A2B35"/>
    <w:rsid w:val="008A2C07"/>
    <w:rsid w:val="008A2E29"/>
    <w:rsid w:val="008A2EE0"/>
    <w:rsid w:val="008A3038"/>
    <w:rsid w:val="008A3317"/>
    <w:rsid w:val="008A33D4"/>
    <w:rsid w:val="008A4215"/>
    <w:rsid w:val="008A447B"/>
    <w:rsid w:val="008A480D"/>
    <w:rsid w:val="008A52CA"/>
    <w:rsid w:val="008A55CD"/>
    <w:rsid w:val="008A574B"/>
    <w:rsid w:val="008A591A"/>
    <w:rsid w:val="008A5A70"/>
    <w:rsid w:val="008A601C"/>
    <w:rsid w:val="008A65DB"/>
    <w:rsid w:val="008A6715"/>
    <w:rsid w:val="008A6724"/>
    <w:rsid w:val="008A687A"/>
    <w:rsid w:val="008A6BC5"/>
    <w:rsid w:val="008B0808"/>
    <w:rsid w:val="008B0ACA"/>
    <w:rsid w:val="008B1374"/>
    <w:rsid w:val="008B1867"/>
    <w:rsid w:val="008B19DA"/>
    <w:rsid w:val="008B1A26"/>
    <w:rsid w:val="008B22A9"/>
    <w:rsid w:val="008B22BB"/>
    <w:rsid w:val="008B25EF"/>
    <w:rsid w:val="008B2C51"/>
    <w:rsid w:val="008B2F77"/>
    <w:rsid w:val="008B33A9"/>
    <w:rsid w:val="008B3485"/>
    <w:rsid w:val="008B3862"/>
    <w:rsid w:val="008B3876"/>
    <w:rsid w:val="008B3BD2"/>
    <w:rsid w:val="008B3BDB"/>
    <w:rsid w:val="008B3E11"/>
    <w:rsid w:val="008B3FDE"/>
    <w:rsid w:val="008B3FE9"/>
    <w:rsid w:val="008B4236"/>
    <w:rsid w:val="008B4245"/>
    <w:rsid w:val="008B4694"/>
    <w:rsid w:val="008B4CF9"/>
    <w:rsid w:val="008B4D9B"/>
    <w:rsid w:val="008B4DC8"/>
    <w:rsid w:val="008B4DD5"/>
    <w:rsid w:val="008B5126"/>
    <w:rsid w:val="008B591E"/>
    <w:rsid w:val="008B5BC7"/>
    <w:rsid w:val="008B670B"/>
    <w:rsid w:val="008B6C4E"/>
    <w:rsid w:val="008B6ECC"/>
    <w:rsid w:val="008B6FFB"/>
    <w:rsid w:val="008B7610"/>
    <w:rsid w:val="008B7CB0"/>
    <w:rsid w:val="008C00A1"/>
    <w:rsid w:val="008C0282"/>
    <w:rsid w:val="008C08B5"/>
    <w:rsid w:val="008C09A0"/>
    <w:rsid w:val="008C0B09"/>
    <w:rsid w:val="008C0CCD"/>
    <w:rsid w:val="008C0D8F"/>
    <w:rsid w:val="008C0ED0"/>
    <w:rsid w:val="008C1119"/>
    <w:rsid w:val="008C121E"/>
    <w:rsid w:val="008C1682"/>
    <w:rsid w:val="008C168F"/>
    <w:rsid w:val="008C1A4D"/>
    <w:rsid w:val="008C20F9"/>
    <w:rsid w:val="008C2367"/>
    <w:rsid w:val="008C28D9"/>
    <w:rsid w:val="008C2904"/>
    <w:rsid w:val="008C2A12"/>
    <w:rsid w:val="008C2D81"/>
    <w:rsid w:val="008C2FB6"/>
    <w:rsid w:val="008C31A2"/>
    <w:rsid w:val="008C31F6"/>
    <w:rsid w:val="008C3874"/>
    <w:rsid w:val="008C415D"/>
    <w:rsid w:val="008C419F"/>
    <w:rsid w:val="008C4316"/>
    <w:rsid w:val="008C4507"/>
    <w:rsid w:val="008C4847"/>
    <w:rsid w:val="008C491D"/>
    <w:rsid w:val="008C4A3B"/>
    <w:rsid w:val="008C4FC0"/>
    <w:rsid w:val="008C5168"/>
    <w:rsid w:val="008C518C"/>
    <w:rsid w:val="008C51B7"/>
    <w:rsid w:val="008C5936"/>
    <w:rsid w:val="008C59F0"/>
    <w:rsid w:val="008C5AD2"/>
    <w:rsid w:val="008C5B5F"/>
    <w:rsid w:val="008C632D"/>
    <w:rsid w:val="008C68D2"/>
    <w:rsid w:val="008C6A63"/>
    <w:rsid w:val="008C6AF6"/>
    <w:rsid w:val="008C6D97"/>
    <w:rsid w:val="008C6DE1"/>
    <w:rsid w:val="008C6FBF"/>
    <w:rsid w:val="008C713E"/>
    <w:rsid w:val="008C73C2"/>
    <w:rsid w:val="008C7F7D"/>
    <w:rsid w:val="008D0118"/>
    <w:rsid w:val="008D0249"/>
    <w:rsid w:val="008D0264"/>
    <w:rsid w:val="008D070E"/>
    <w:rsid w:val="008D0F08"/>
    <w:rsid w:val="008D14D4"/>
    <w:rsid w:val="008D1C46"/>
    <w:rsid w:val="008D2476"/>
    <w:rsid w:val="008D2494"/>
    <w:rsid w:val="008D26AF"/>
    <w:rsid w:val="008D2EA1"/>
    <w:rsid w:val="008D3070"/>
    <w:rsid w:val="008D30C2"/>
    <w:rsid w:val="008D31E1"/>
    <w:rsid w:val="008D320A"/>
    <w:rsid w:val="008D35AF"/>
    <w:rsid w:val="008D3957"/>
    <w:rsid w:val="008D3B5C"/>
    <w:rsid w:val="008D42DE"/>
    <w:rsid w:val="008D4307"/>
    <w:rsid w:val="008D4310"/>
    <w:rsid w:val="008D4A0C"/>
    <w:rsid w:val="008D4D25"/>
    <w:rsid w:val="008D54D8"/>
    <w:rsid w:val="008D5860"/>
    <w:rsid w:val="008D5874"/>
    <w:rsid w:val="008D58E1"/>
    <w:rsid w:val="008D5A6D"/>
    <w:rsid w:val="008D5C50"/>
    <w:rsid w:val="008D5F7F"/>
    <w:rsid w:val="008D6132"/>
    <w:rsid w:val="008D65CE"/>
    <w:rsid w:val="008D687E"/>
    <w:rsid w:val="008D7394"/>
    <w:rsid w:val="008D78F9"/>
    <w:rsid w:val="008E0781"/>
    <w:rsid w:val="008E095D"/>
    <w:rsid w:val="008E0F52"/>
    <w:rsid w:val="008E11AB"/>
    <w:rsid w:val="008E18C6"/>
    <w:rsid w:val="008E1985"/>
    <w:rsid w:val="008E201E"/>
    <w:rsid w:val="008E2427"/>
    <w:rsid w:val="008E26D3"/>
    <w:rsid w:val="008E29C3"/>
    <w:rsid w:val="008E2CB8"/>
    <w:rsid w:val="008E2E46"/>
    <w:rsid w:val="008E2E9A"/>
    <w:rsid w:val="008E323B"/>
    <w:rsid w:val="008E388A"/>
    <w:rsid w:val="008E396F"/>
    <w:rsid w:val="008E39FA"/>
    <w:rsid w:val="008E3CC2"/>
    <w:rsid w:val="008E4491"/>
    <w:rsid w:val="008E4995"/>
    <w:rsid w:val="008E4EFE"/>
    <w:rsid w:val="008E59DD"/>
    <w:rsid w:val="008E5B24"/>
    <w:rsid w:val="008E6075"/>
    <w:rsid w:val="008E6D65"/>
    <w:rsid w:val="008E7277"/>
    <w:rsid w:val="008E7B63"/>
    <w:rsid w:val="008E7FD1"/>
    <w:rsid w:val="008F00CE"/>
    <w:rsid w:val="008F02D3"/>
    <w:rsid w:val="008F03D5"/>
    <w:rsid w:val="008F052C"/>
    <w:rsid w:val="008F071C"/>
    <w:rsid w:val="008F076B"/>
    <w:rsid w:val="008F10EF"/>
    <w:rsid w:val="008F19BA"/>
    <w:rsid w:val="008F1A9E"/>
    <w:rsid w:val="008F208D"/>
    <w:rsid w:val="008F2229"/>
    <w:rsid w:val="008F235A"/>
    <w:rsid w:val="008F2405"/>
    <w:rsid w:val="008F264A"/>
    <w:rsid w:val="008F2D26"/>
    <w:rsid w:val="008F30B3"/>
    <w:rsid w:val="008F369E"/>
    <w:rsid w:val="008F38FC"/>
    <w:rsid w:val="008F39A0"/>
    <w:rsid w:val="008F3D77"/>
    <w:rsid w:val="008F3F42"/>
    <w:rsid w:val="008F4228"/>
    <w:rsid w:val="008F446B"/>
    <w:rsid w:val="008F46E2"/>
    <w:rsid w:val="008F56B1"/>
    <w:rsid w:val="008F58BE"/>
    <w:rsid w:val="008F5B2E"/>
    <w:rsid w:val="008F5BF5"/>
    <w:rsid w:val="008F62AB"/>
    <w:rsid w:val="008F6568"/>
    <w:rsid w:val="008F6636"/>
    <w:rsid w:val="008F6821"/>
    <w:rsid w:val="008F6B5F"/>
    <w:rsid w:val="008F6DE4"/>
    <w:rsid w:val="008F6F3B"/>
    <w:rsid w:val="008F75F8"/>
    <w:rsid w:val="008F769C"/>
    <w:rsid w:val="008F7768"/>
    <w:rsid w:val="008F777F"/>
    <w:rsid w:val="008F7EA2"/>
    <w:rsid w:val="008F7F8A"/>
    <w:rsid w:val="0090006F"/>
    <w:rsid w:val="009002E8"/>
    <w:rsid w:val="009004F7"/>
    <w:rsid w:val="0090052D"/>
    <w:rsid w:val="009006D1"/>
    <w:rsid w:val="009017AF"/>
    <w:rsid w:val="00901C0D"/>
    <w:rsid w:val="00901C0E"/>
    <w:rsid w:val="00901DA3"/>
    <w:rsid w:val="00902146"/>
    <w:rsid w:val="009025E6"/>
    <w:rsid w:val="00902626"/>
    <w:rsid w:val="00902A50"/>
    <w:rsid w:val="00902C2C"/>
    <w:rsid w:val="0090313B"/>
    <w:rsid w:val="00903311"/>
    <w:rsid w:val="009038C2"/>
    <w:rsid w:val="00903A9F"/>
    <w:rsid w:val="00903FFB"/>
    <w:rsid w:val="0090449E"/>
    <w:rsid w:val="009046AE"/>
    <w:rsid w:val="0090482D"/>
    <w:rsid w:val="00904AA7"/>
    <w:rsid w:val="00904EFD"/>
    <w:rsid w:val="009053D3"/>
    <w:rsid w:val="0090546D"/>
    <w:rsid w:val="00905571"/>
    <w:rsid w:val="0090594B"/>
    <w:rsid w:val="0090638A"/>
    <w:rsid w:val="0090672A"/>
    <w:rsid w:val="00906BC1"/>
    <w:rsid w:val="00906D16"/>
    <w:rsid w:val="00906DCE"/>
    <w:rsid w:val="0090722F"/>
    <w:rsid w:val="00907455"/>
    <w:rsid w:val="0090767C"/>
    <w:rsid w:val="00907940"/>
    <w:rsid w:val="00907CF8"/>
    <w:rsid w:val="009101E9"/>
    <w:rsid w:val="00910828"/>
    <w:rsid w:val="00910AF3"/>
    <w:rsid w:val="00910B5A"/>
    <w:rsid w:val="00910B8D"/>
    <w:rsid w:val="00910B98"/>
    <w:rsid w:val="00911281"/>
    <w:rsid w:val="009118D0"/>
    <w:rsid w:val="0091280D"/>
    <w:rsid w:val="00912920"/>
    <w:rsid w:val="00912B1D"/>
    <w:rsid w:val="00912C9E"/>
    <w:rsid w:val="0091336F"/>
    <w:rsid w:val="009136FA"/>
    <w:rsid w:val="00913851"/>
    <w:rsid w:val="00913897"/>
    <w:rsid w:val="009142CC"/>
    <w:rsid w:val="009142E0"/>
    <w:rsid w:val="009143FB"/>
    <w:rsid w:val="009145BF"/>
    <w:rsid w:val="00914805"/>
    <w:rsid w:val="00915EF9"/>
    <w:rsid w:val="009160FD"/>
    <w:rsid w:val="00916166"/>
    <w:rsid w:val="009162B5"/>
    <w:rsid w:val="00916397"/>
    <w:rsid w:val="00916585"/>
    <w:rsid w:val="00917138"/>
    <w:rsid w:val="00917327"/>
    <w:rsid w:val="00917772"/>
    <w:rsid w:val="00917A49"/>
    <w:rsid w:val="00917D04"/>
    <w:rsid w:val="009204F7"/>
    <w:rsid w:val="00920A99"/>
    <w:rsid w:val="00920BA4"/>
    <w:rsid w:val="00920E9C"/>
    <w:rsid w:val="00920EE8"/>
    <w:rsid w:val="00920F35"/>
    <w:rsid w:val="0092119C"/>
    <w:rsid w:val="0092125C"/>
    <w:rsid w:val="009215E7"/>
    <w:rsid w:val="00921DC2"/>
    <w:rsid w:val="009222E4"/>
    <w:rsid w:val="009223BB"/>
    <w:rsid w:val="00922B61"/>
    <w:rsid w:val="00922C08"/>
    <w:rsid w:val="00923105"/>
    <w:rsid w:val="009234DF"/>
    <w:rsid w:val="00923926"/>
    <w:rsid w:val="00923A6D"/>
    <w:rsid w:val="00923DA2"/>
    <w:rsid w:val="00923FBB"/>
    <w:rsid w:val="00924492"/>
    <w:rsid w:val="00924E82"/>
    <w:rsid w:val="0092523C"/>
    <w:rsid w:val="00925280"/>
    <w:rsid w:val="009255B5"/>
    <w:rsid w:val="00925D7F"/>
    <w:rsid w:val="00925DC3"/>
    <w:rsid w:val="00926153"/>
    <w:rsid w:val="00926640"/>
    <w:rsid w:val="009267A6"/>
    <w:rsid w:val="00926830"/>
    <w:rsid w:val="00926B9A"/>
    <w:rsid w:val="009270CC"/>
    <w:rsid w:val="009276AE"/>
    <w:rsid w:val="00927A5B"/>
    <w:rsid w:val="00930140"/>
    <w:rsid w:val="009302C4"/>
    <w:rsid w:val="00930459"/>
    <w:rsid w:val="00930A6E"/>
    <w:rsid w:val="00930B7F"/>
    <w:rsid w:val="00930FDD"/>
    <w:rsid w:val="00931047"/>
    <w:rsid w:val="009310C7"/>
    <w:rsid w:val="00931750"/>
    <w:rsid w:val="00931E8B"/>
    <w:rsid w:val="00932556"/>
    <w:rsid w:val="00932BC5"/>
    <w:rsid w:val="00932E3D"/>
    <w:rsid w:val="00933136"/>
    <w:rsid w:val="0093316F"/>
    <w:rsid w:val="00933917"/>
    <w:rsid w:val="0093423E"/>
    <w:rsid w:val="00934256"/>
    <w:rsid w:val="00934602"/>
    <w:rsid w:val="00934EA1"/>
    <w:rsid w:val="00934F46"/>
    <w:rsid w:val="0093542C"/>
    <w:rsid w:val="00935475"/>
    <w:rsid w:val="0093551E"/>
    <w:rsid w:val="009359D1"/>
    <w:rsid w:val="00935E29"/>
    <w:rsid w:val="00935FE9"/>
    <w:rsid w:val="009372C0"/>
    <w:rsid w:val="009374A8"/>
    <w:rsid w:val="00937828"/>
    <w:rsid w:val="00937944"/>
    <w:rsid w:val="00937BD6"/>
    <w:rsid w:val="00937D9D"/>
    <w:rsid w:val="0094037C"/>
    <w:rsid w:val="00940A00"/>
    <w:rsid w:val="00940A4A"/>
    <w:rsid w:val="00940AA3"/>
    <w:rsid w:val="00940DB7"/>
    <w:rsid w:val="00940F41"/>
    <w:rsid w:val="00940F52"/>
    <w:rsid w:val="009410C3"/>
    <w:rsid w:val="00941639"/>
    <w:rsid w:val="00941682"/>
    <w:rsid w:val="00942094"/>
    <w:rsid w:val="009426DD"/>
    <w:rsid w:val="00942763"/>
    <w:rsid w:val="00943067"/>
    <w:rsid w:val="00943816"/>
    <w:rsid w:val="009438D3"/>
    <w:rsid w:val="00943951"/>
    <w:rsid w:val="00943A7F"/>
    <w:rsid w:val="00943E89"/>
    <w:rsid w:val="00943EE3"/>
    <w:rsid w:val="0094443B"/>
    <w:rsid w:val="009447C0"/>
    <w:rsid w:val="00944EAA"/>
    <w:rsid w:val="00944FCE"/>
    <w:rsid w:val="009455A9"/>
    <w:rsid w:val="0094561C"/>
    <w:rsid w:val="00945961"/>
    <w:rsid w:val="00945967"/>
    <w:rsid w:val="00945B92"/>
    <w:rsid w:val="00945D7F"/>
    <w:rsid w:val="00945D8A"/>
    <w:rsid w:val="009460D4"/>
    <w:rsid w:val="009465E9"/>
    <w:rsid w:val="0094684E"/>
    <w:rsid w:val="00946978"/>
    <w:rsid w:val="00946B19"/>
    <w:rsid w:val="00946ED0"/>
    <w:rsid w:val="00946FA8"/>
    <w:rsid w:val="00947996"/>
    <w:rsid w:val="00947D6E"/>
    <w:rsid w:val="00947F75"/>
    <w:rsid w:val="009501FA"/>
    <w:rsid w:val="00950C6F"/>
    <w:rsid w:val="00951440"/>
    <w:rsid w:val="00951AB2"/>
    <w:rsid w:val="00951BED"/>
    <w:rsid w:val="00951DA4"/>
    <w:rsid w:val="0095224C"/>
    <w:rsid w:val="00952706"/>
    <w:rsid w:val="00952A61"/>
    <w:rsid w:val="0095307F"/>
    <w:rsid w:val="00953C1D"/>
    <w:rsid w:val="009541CC"/>
    <w:rsid w:val="00954C0E"/>
    <w:rsid w:val="00954C6A"/>
    <w:rsid w:val="00954ECB"/>
    <w:rsid w:val="00955138"/>
    <w:rsid w:val="009553D2"/>
    <w:rsid w:val="00955492"/>
    <w:rsid w:val="009555C2"/>
    <w:rsid w:val="0095599D"/>
    <w:rsid w:val="00956213"/>
    <w:rsid w:val="009565E4"/>
    <w:rsid w:val="0095697C"/>
    <w:rsid w:val="009570C6"/>
    <w:rsid w:val="009570D7"/>
    <w:rsid w:val="00957C63"/>
    <w:rsid w:val="00957F8B"/>
    <w:rsid w:val="00957FFD"/>
    <w:rsid w:val="0096011C"/>
    <w:rsid w:val="009608E9"/>
    <w:rsid w:val="00960C38"/>
    <w:rsid w:val="009614E1"/>
    <w:rsid w:val="00962005"/>
    <w:rsid w:val="00962184"/>
    <w:rsid w:val="009622BB"/>
    <w:rsid w:val="009628C8"/>
    <w:rsid w:val="00962A04"/>
    <w:rsid w:val="00962F80"/>
    <w:rsid w:val="00962FD5"/>
    <w:rsid w:val="00963207"/>
    <w:rsid w:val="009634DB"/>
    <w:rsid w:val="00963A7D"/>
    <w:rsid w:val="009647B4"/>
    <w:rsid w:val="00964D22"/>
    <w:rsid w:val="00964EC4"/>
    <w:rsid w:val="009653EE"/>
    <w:rsid w:val="00965778"/>
    <w:rsid w:val="009657B5"/>
    <w:rsid w:val="00965F90"/>
    <w:rsid w:val="009662B6"/>
    <w:rsid w:val="00966567"/>
    <w:rsid w:val="00966960"/>
    <w:rsid w:val="00966A64"/>
    <w:rsid w:val="00966B0D"/>
    <w:rsid w:val="00966D5B"/>
    <w:rsid w:val="0096714E"/>
    <w:rsid w:val="00967DD0"/>
    <w:rsid w:val="00967ED6"/>
    <w:rsid w:val="00967EDF"/>
    <w:rsid w:val="0097036D"/>
    <w:rsid w:val="009707CE"/>
    <w:rsid w:val="00970D43"/>
    <w:rsid w:val="00970F3A"/>
    <w:rsid w:val="00970FE6"/>
    <w:rsid w:val="00971382"/>
    <w:rsid w:val="00971AEC"/>
    <w:rsid w:val="00971FC8"/>
    <w:rsid w:val="00972027"/>
    <w:rsid w:val="009721A8"/>
    <w:rsid w:val="0097275D"/>
    <w:rsid w:val="009728B3"/>
    <w:rsid w:val="00972C54"/>
    <w:rsid w:val="00973531"/>
    <w:rsid w:val="00973696"/>
    <w:rsid w:val="009736AA"/>
    <w:rsid w:val="0097375A"/>
    <w:rsid w:val="00973891"/>
    <w:rsid w:val="00973972"/>
    <w:rsid w:val="00973BF5"/>
    <w:rsid w:val="00973E6C"/>
    <w:rsid w:val="0097414C"/>
    <w:rsid w:val="00974A46"/>
    <w:rsid w:val="00974D1E"/>
    <w:rsid w:val="00974D28"/>
    <w:rsid w:val="00974E29"/>
    <w:rsid w:val="00974E8B"/>
    <w:rsid w:val="00975003"/>
    <w:rsid w:val="00975011"/>
    <w:rsid w:val="009755E9"/>
    <w:rsid w:val="009758F9"/>
    <w:rsid w:val="00975A34"/>
    <w:rsid w:val="00975B7A"/>
    <w:rsid w:val="00976041"/>
    <w:rsid w:val="0097613F"/>
    <w:rsid w:val="00976A27"/>
    <w:rsid w:val="00976B02"/>
    <w:rsid w:val="00977061"/>
    <w:rsid w:val="0097780B"/>
    <w:rsid w:val="00977896"/>
    <w:rsid w:val="009778CC"/>
    <w:rsid w:val="00977D2B"/>
    <w:rsid w:val="009804C8"/>
    <w:rsid w:val="00980682"/>
    <w:rsid w:val="00980820"/>
    <w:rsid w:val="00980AEF"/>
    <w:rsid w:val="00980B66"/>
    <w:rsid w:val="0098183E"/>
    <w:rsid w:val="00981AA8"/>
    <w:rsid w:val="009821A0"/>
    <w:rsid w:val="00982300"/>
    <w:rsid w:val="00982400"/>
    <w:rsid w:val="009825BB"/>
    <w:rsid w:val="00982724"/>
    <w:rsid w:val="00982D1A"/>
    <w:rsid w:val="009830DF"/>
    <w:rsid w:val="0098352F"/>
    <w:rsid w:val="0098362D"/>
    <w:rsid w:val="00983671"/>
    <w:rsid w:val="00984478"/>
    <w:rsid w:val="0098513D"/>
    <w:rsid w:val="009851D3"/>
    <w:rsid w:val="00985897"/>
    <w:rsid w:val="00986128"/>
    <w:rsid w:val="009862DC"/>
    <w:rsid w:val="009864B6"/>
    <w:rsid w:val="00986BBB"/>
    <w:rsid w:val="00986D33"/>
    <w:rsid w:val="00986D7E"/>
    <w:rsid w:val="0098708C"/>
    <w:rsid w:val="0098713D"/>
    <w:rsid w:val="0098751F"/>
    <w:rsid w:val="00987622"/>
    <w:rsid w:val="00987BC1"/>
    <w:rsid w:val="00987F6B"/>
    <w:rsid w:val="00987FF9"/>
    <w:rsid w:val="00990269"/>
    <w:rsid w:val="0099035D"/>
    <w:rsid w:val="00990469"/>
    <w:rsid w:val="00990BC8"/>
    <w:rsid w:val="00990C6E"/>
    <w:rsid w:val="00990D68"/>
    <w:rsid w:val="00990E89"/>
    <w:rsid w:val="00990E8C"/>
    <w:rsid w:val="009912EA"/>
    <w:rsid w:val="00991475"/>
    <w:rsid w:val="009919D6"/>
    <w:rsid w:val="00991A67"/>
    <w:rsid w:val="00991B5D"/>
    <w:rsid w:val="00991D0C"/>
    <w:rsid w:val="00991E1F"/>
    <w:rsid w:val="00991E86"/>
    <w:rsid w:val="0099255E"/>
    <w:rsid w:val="009925CF"/>
    <w:rsid w:val="00992D69"/>
    <w:rsid w:val="0099325A"/>
    <w:rsid w:val="009935C1"/>
    <w:rsid w:val="00993D18"/>
    <w:rsid w:val="00993E47"/>
    <w:rsid w:val="0099469D"/>
    <w:rsid w:val="009946DD"/>
    <w:rsid w:val="00994CA0"/>
    <w:rsid w:val="00994F46"/>
    <w:rsid w:val="0099571F"/>
    <w:rsid w:val="00995818"/>
    <w:rsid w:val="009959C8"/>
    <w:rsid w:val="00995BDC"/>
    <w:rsid w:val="00995C93"/>
    <w:rsid w:val="00995F52"/>
    <w:rsid w:val="00996735"/>
    <w:rsid w:val="00996FC4"/>
    <w:rsid w:val="00997127"/>
    <w:rsid w:val="009976FB"/>
    <w:rsid w:val="009977CC"/>
    <w:rsid w:val="00997940"/>
    <w:rsid w:val="00997AB3"/>
    <w:rsid w:val="00997B87"/>
    <w:rsid w:val="009A03A2"/>
    <w:rsid w:val="009A06FA"/>
    <w:rsid w:val="009A06FE"/>
    <w:rsid w:val="009A0A41"/>
    <w:rsid w:val="009A0C99"/>
    <w:rsid w:val="009A0CC1"/>
    <w:rsid w:val="009A1507"/>
    <w:rsid w:val="009A173B"/>
    <w:rsid w:val="009A1767"/>
    <w:rsid w:val="009A181D"/>
    <w:rsid w:val="009A1859"/>
    <w:rsid w:val="009A1C8B"/>
    <w:rsid w:val="009A1DEE"/>
    <w:rsid w:val="009A21D5"/>
    <w:rsid w:val="009A22DB"/>
    <w:rsid w:val="009A264D"/>
    <w:rsid w:val="009A28E8"/>
    <w:rsid w:val="009A2983"/>
    <w:rsid w:val="009A2D78"/>
    <w:rsid w:val="009A2E11"/>
    <w:rsid w:val="009A3014"/>
    <w:rsid w:val="009A318F"/>
    <w:rsid w:val="009A354B"/>
    <w:rsid w:val="009A37D1"/>
    <w:rsid w:val="009A3831"/>
    <w:rsid w:val="009A3BC8"/>
    <w:rsid w:val="009A3D08"/>
    <w:rsid w:val="009A4B92"/>
    <w:rsid w:val="009A4E1F"/>
    <w:rsid w:val="009A4EE3"/>
    <w:rsid w:val="009A5477"/>
    <w:rsid w:val="009A597E"/>
    <w:rsid w:val="009A5C31"/>
    <w:rsid w:val="009A5CFB"/>
    <w:rsid w:val="009A69EE"/>
    <w:rsid w:val="009A6A6B"/>
    <w:rsid w:val="009A6C16"/>
    <w:rsid w:val="009A74EF"/>
    <w:rsid w:val="009A77B7"/>
    <w:rsid w:val="009A7949"/>
    <w:rsid w:val="009B0737"/>
    <w:rsid w:val="009B07EB"/>
    <w:rsid w:val="009B0F59"/>
    <w:rsid w:val="009B1286"/>
    <w:rsid w:val="009B13A3"/>
    <w:rsid w:val="009B18BB"/>
    <w:rsid w:val="009B1AE8"/>
    <w:rsid w:val="009B2117"/>
    <w:rsid w:val="009B2495"/>
    <w:rsid w:val="009B2BAB"/>
    <w:rsid w:val="009B2F01"/>
    <w:rsid w:val="009B2F7B"/>
    <w:rsid w:val="009B39AE"/>
    <w:rsid w:val="009B3A66"/>
    <w:rsid w:val="009B441E"/>
    <w:rsid w:val="009B44A0"/>
    <w:rsid w:val="009B4638"/>
    <w:rsid w:val="009B4E26"/>
    <w:rsid w:val="009B5814"/>
    <w:rsid w:val="009B5B29"/>
    <w:rsid w:val="009B5BAA"/>
    <w:rsid w:val="009B5BCC"/>
    <w:rsid w:val="009B5C90"/>
    <w:rsid w:val="009B650F"/>
    <w:rsid w:val="009B6526"/>
    <w:rsid w:val="009B6CF7"/>
    <w:rsid w:val="009B6D2F"/>
    <w:rsid w:val="009B6DF2"/>
    <w:rsid w:val="009B6E42"/>
    <w:rsid w:val="009B6F34"/>
    <w:rsid w:val="009B704E"/>
    <w:rsid w:val="009B727A"/>
    <w:rsid w:val="009B73E6"/>
    <w:rsid w:val="009B7B2F"/>
    <w:rsid w:val="009B7CC0"/>
    <w:rsid w:val="009B7E44"/>
    <w:rsid w:val="009C0454"/>
    <w:rsid w:val="009C05BE"/>
    <w:rsid w:val="009C06AA"/>
    <w:rsid w:val="009C0ADE"/>
    <w:rsid w:val="009C0BF3"/>
    <w:rsid w:val="009C0CF7"/>
    <w:rsid w:val="009C0DD0"/>
    <w:rsid w:val="009C1496"/>
    <w:rsid w:val="009C2226"/>
    <w:rsid w:val="009C280A"/>
    <w:rsid w:val="009C2841"/>
    <w:rsid w:val="009C2EA4"/>
    <w:rsid w:val="009C30B1"/>
    <w:rsid w:val="009C31A1"/>
    <w:rsid w:val="009C3EC1"/>
    <w:rsid w:val="009C3F69"/>
    <w:rsid w:val="009C4005"/>
    <w:rsid w:val="009C405C"/>
    <w:rsid w:val="009C42FB"/>
    <w:rsid w:val="009C4593"/>
    <w:rsid w:val="009C4682"/>
    <w:rsid w:val="009C4D8B"/>
    <w:rsid w:val="009C4EFB"/>
    <w:rsid w:val="009C4F11"/>
    <w:rsid w:val="009C5522"/>
    <w:rsid w:val="009C5794"/>
    <w:rsid w:val="009C5B17"/>
    <w:rsid w:val="009C5DEE"/>
    <w:rsid w:val="009C6316"/>
    <w:rsid w:val="009C654F"/>
    <w:rsid w:val="009C65EF"/>
    <w:rsid w:val="009C664C"/>
    <w:rsid w:val="009C73C7"/>
    <w:rsid w:val="009C7648"/>
    <w:rsid w:val="009C7799"/>
    <w:rsid w:val="009C7E79"/>
    <w:rsid w:val="009D0179"/>
    <w:rsid w:val="009D0255"/>
    <w:rsid w:val="009D0737"/>
    <w:rsid w:val="009D0B44"/>
    <w:rsid w:val="009D1293"/>
    <w:rsid w:val="009D232E"/>
    <w:rsid w:val="009D2CBE"/>
    <w:rsid w:val="009D3605"/>
    <w:rsid w:val="009D3B70"/>
    <w:rsid w:val="009D3B71"/>
    <w:rsid w:val="009D3D1A"/>
    <w:rsid w:val="009D3DD2"/>
    <w:rsid w:val="009D4674"/>
    <w:rsid w:val="009D471A"/>
    <w:rsid w:val="009D4781"/>
    <w:rsid w:val="009D4D58"/>
    <w:rsid w:val="009D4EFB"/>
    <w:rsid w:val="009D4FC1"/>
    <w:rsid w:val="009D58C5"/>
    <w:rsid w:val="009D5C5E"/>
    <w:rsid w:val="009D6415"/>
    <w:rsid w:val="009D68DF"/>
    <w:rsid w:val="009D6CFD"/>
    <w:rsid w:val="009D6F02"/>
    <w:rsid w:val="009D6FF4"/>
    <w:rsid w:val="009D7184"/>
    <w:rsid w:val="009D7822"/>
    <w:rsid w:val="009D7A8D"/>
    <w:rsid w:val="009E06BB"/>
    <w:rsid w:val="009E0CC2"/>
    <w:rsid w:val="009E14CF"/>
    <w:rsid w:val="009E156E"/>
    <w:rsid w:val="009E1C23"/>
    <w:rsid w:val="009E207C"/>
    <w:rsid w:val="009E20A9"/>
    <w:rsid w:val="009E2970"/>
    <w:rsid w:val="009E2C0A"/>
    <w:rsid w:val="009E2CCF"/>
    <w:rsid w:val="009E2DEE"/>
    <w:rsid w:val="009E34F0"/>
    <w:rsid w:val="009E4545"/>
    <w:rsid w:val="009E4661"/>
    <w:rsid w:val="009E4A86"/>
    <w:rsid w:val="009E50FC"/>
    <w:rsid w:val="009E53E7"/>
    <w:rsid w:val="009E547D"/>
    <w:rsid w:val="009E5692"/>
    <w:rsid w:val="009E5B54"/>
    <w:rsid w:val="009E5C33"/>
    <w:rsid w:val="009E655C"/>
    <w:rsid w:val="009E66FC"/>
    <w:rsid w:val="009E6B7A"/>
    <w:rsid w:val="009E71E1"/>
    <w:rsid w:val="009E7851"/>
    <w:rsid w:val="009E7880"/>
    <w:rsid w:val="009E790B"/>
    <w:rsid w:val="009E7C12"/>
    <w:rsid w:val="009F1AEF"/>
    <w:rsid w:val="009F1C4E"/>
    <w:rsid w:val="009F1CB8"/>
    <w:rsid w:val="009F209F"/>
    <w:rsid w:val="009F225E"/>
    <w:rsid w:val="009F23A7"/>
    <w:rsid w:val="009F2B88"/>
    <w:rsid w:val="009F3113"/>
    <w:rsid w:val="009F342C"/>
    <w:rsid w:val="009F34B6"/>
    <w:rsid w:val="009F366A"/>
    <w:rsid w:val="009F39EA"/>
    <w:rsid w:val="009F3C33"/>
    <w:rsid w:val="009F3E4E"/>
    <w:rsid w:val="009F4742"/>
    <w:rsid w:val="009F474E"/>
    <w:rsid w:val="009F4BA9"/>
    <w:rsid w:val="009F4F99"/>
    <w:rsid w:val="009F5187"/>
    <w:rsid w:val="009F5A3E"/>
    <w:rsid w:val="009F5C57"/>
    <w:rsid w:val="009F64EF"/>
    <w:rsid w:val="009F6944"/>
    <w:rsid w:val="009F6F20"/>
    <w:rsid w:val="009F7505"/>
    <w:rsid w:val="009F7874"/>
    <w:rsid w:val="009F789C"/>
    <w:rsid w:val="009F7914"/>
    <w:rsid w:val="009F7D38"/>
    <w:rsid w:val="00A000C4"/>
    <w:rsid w:val="00A000C6"/>
    <w:rsid w:val="00A0046A"/>
    <w:rsid w:val="00A00666"/>
    <w:rsid w:val="00A00826"/>
    <w:rsid w:val="00A009E2"/>
    <w:rsid w:val="00A00C7E"/>
    <w:rsid w:val="00A00F50"/>
    <w:rsid w:val="00A0118D"/>
    <w:rsid w:val="00A01229"/>
    <w:rsid w:val="00A0124B"/>
    <w:rsid w:val="00A0132F"/>
    <w:rsid w:val="00A01570"/>
    <w:rsid w:val="00A018D6"/>
    <w:rsid w:val="00A021E6"/>
    <w:rsid w:val="00A02311"/>
    <w:rsid w:val="00A02474"/>
    <w:rsid w:val="00A029D7"/>
    <w:rsid w:val="00A02BB7"/>
    <w:rsid w:val="00A02F71"/>
    <w:rsid w:val="00A03146"/>
    <w:rsid w:val="00A03400"/>
    <w:rsid w:val="00A039C3"/>
    <w:rsid w:val="00A03B20"/>
    <w:rsid w:val="00A0447C"/>
    <w:rsid w:val="00A04AF5"/>
    <w:rsid w:val="00A05280"/>
    <w:rsid w:val="00A05610"/>
    <w:rsid w:val="00A05621"/>
    <w:rsid w:val="00A0577F"/>
    <w:rsid w:val="00A059D8"/>
    <w:rsid w:val="00A059E7"/>
    <w:rsid w:val="00A05C7D"/>
    <w:rsid w:val="00A05D26"/>
    <w:rsid w:val="00A06159"/>
    <w:rsid w:val="00A061DD"/>
    <w:rsid w:val="00A0686C"/>
    <w:rsid w:val="00A070BA"/>
    <w:rsid w:val="00A07760"/>
    <w:rsid w:val="00A07AAF"/>
    <w:rsid w:val="00A07ED8"/>
    <w:rsid w:val="00A10004"/>
    <w:rsid w:val="00A10031"/>
    <w:rsid w:val="00A10253"/>
    <w:rsid w:val="00A10473"/>
    <w:rsid w:val="00A10B2B"/>
    <w:rsid w:val="00A113B7"/>
    <w:rsid w:val="00A115E4"/>
    <w:rsid w:val="00A118D3"/>
    <w:rsid w:val="00A11D3F"/>
    <w:rsid w:val="00A11F61"/>
    <w:rsid w:val="00A12072"/>
    <w:rsid w:val="00A12138"/>
    <w:rsid w:val="00A12212"/>
    <w:rsid w:val="00A124B6"/>
    <w:rsid w:val="00A12642"/>
    <w:rsid w:val="00A1297E"/>
    <w:rsid w:val="00A129EC"/>
    <w:rsid w:val="00A136B8"/>
    <w:rsid w:val="00A13A3A"/>
    <w:rsid w:val="00A13CFD"/>
    <w:rsid w:val="00A13FA0"/>
    <w:rsid w:val="00A14069"/>
    <w:rsid w:val="00A14879"/>
    <w:rsid w:val="00A14916"/>
    <w:rsid w:val="00A14979"/>
    <w:rsid w:val="00A14990"/>
    <w:rsid w:val="00A151B6"/>
    <w:rsid w:val="00A151ED"/>
    <w:rsid w:val="00A15425"/>
    <w:rsid w:val="00A157CC"/>
    <w:rsid w:val="00A15A29"/>
    <w:rsid w:val="00A15B1E"/>
    <w:rsid w:val="00A15F39"/>
    <w:rsid w:val="00A16029"/>
    <w:rsid w:val="00A16321"/>
    <w:rsid w:val="00A16486"/>
    <w:rsid w:val="00A1652D"/>
    <w:rsid w:val="00A165A8"/>
    <w:rsid w:val="00A16B45"/>
    <w:rsid w:val="00A16B6B"/>
    <w:rsid w:val="00A16C48"/>
    <w:rsid w:val="00A16C7F"/>
    <w:rsid w:val="00A16DAC"/>
    <w:rsid w:val="00A16F53"/>
    <w:rsid w:val="00A1707B"/>
    <w:rsid w:val="00A172B2"/>
    <w:rsid w:val="00A177C2"/>
    <w:rsid w:val="00A17D20"/>
    <w:rsid w:val="00A20036"/>
    <w:rsid w:val="00A20406"/>
    <w:rsid w:val="00A20631"/>
    <w:rsid w:val="00A2095B"/>
    <w:rsid w:val="00A209E8"/>
    <w:rsid w:val="00A20DC0"/>
    <w:rsid w:val="00A212D3"/>
    <w:rsid w:val="00A21852"/>
    <w:rsid w:val="00A22060"/>
    <w:rsid w:val="00A233A9"/>
    <w:rsid w:val="00A23A7E"/>
    <w:rsid w:val="00A23D95"/>
    <w:rsid w:val="00A24393"/>
    <w:rsid w:val="00A24709"/>
    <w:rsid w:val="00A24932"/>
    <w:rsid w:val="00A252A0"/>
    <w:rsid w:val="00A258A7"/>
    <w:rsid w:val="00A25C45"/>
    <w:rsid w:val="00A26A66"/>
    <w:rsid w:val="00A26B61"/>
    <w:rsid w:val="00A26D93"/>
    <w:rsid w:val="00A2743C"/>
    <w:rsid w:val="00A27DF7"/>
    <w:rsid w:val="00A27F0F"/>
    <w:rsid w:val="00A301FC"/>
    <w:rsid w:val="00A309A4"/>
    <w:rsid w:val="00A30C56"/>
    <w:rsid w:val="00A30D62"/>
    <w:rsid w:val="00A319E0"/>
    <w:rsid w:val="00A31E12"/>
    <w:rsid w:val="00A323CC"/>
    <w:rsid w:val="00A32856"/>
    <w:rsid w:val="00A328AD"/>
    <w:rsid w:val="00A338B0"/>
    <w:rsid w:val="00A33909"/>
    <w:rsid w:val="00A33A2E"/>
    <w:rsid w:val="00A33ADC"/>
    <w:rsid w:val="00A33E45"/>
    <w:rsid w:val="00A33F09"/>
    <w:rsid w:val="00A33FAA"/>
    <w:rsid w:val="00A340AA"/>
    <w:rsid w:val="00A349EE"/>
    <w:rsid w:val="00A34A96"/>
    <w:rsid w:val="00A34B56"/>
    <w:rsid w:val="00A34DC0"/>
    <w:rsid w:val="00A358A2"/>
    <w:rsid w:val="00A35A5D"/>
    <w:rsid w:val="00A35B94"/>
    <w:rsid w:val="00A35C56"/>
    <w:rsid w:val="00A36814"/>
    <w:rsid w:val="00A36C10"/>
    <w:rsid w:val="00A371E4"/>
    <w:rsid w:val="00A376E3"/>
    <w:rsid w:val="00A3776A"/>
    <w:rsid w:val="00A4030A"/>
    <w:rsid w:val="00A404A9"/>
    <w:rsid w:val="00A40A9A"/>
    <w:rsid w:val="00A4191C"/>
    <w:rsid w:val="00A4192D"/>
    <w:rsid w:val="00A41983"/>
    <w:rsid w:val="00A419B9"/>
    <w:rsid w:val="00A41B4C"/>
    <w:rsid w:val="00A41BE4"/>
    <w:rsid w:val="00A41F8B"/>
    <w:rsid w:val="00A424CC"/>
    <w:rsid w:val="00A430FD"/>
    <w:rsid w:val="00A43594"/>
    <w:rsid w:val="00A436B5"/>
    <w:rsid w:val="00A436DF"/>
    <w:rsid w:val="00A4380C"/>
    <w:rsid w:val="00A43B9C"/>
    <w:rsid w:val="00A43F0D"/>
    <w:rsid w:val="00A43FB7"/>
    <w:rsid w:val="00A443F9"/>
    <w:rsid w:val="00A44C7E"/>
    <w:rsid w:val="00A4505B"/>
    <w:rsid w:val="00A4546B"/>
    <w:rsid w:val="00A4558C"/>
    <w:rsid w:val="00A456DF"/>
    <w:rsid w:val="00A45D9D"/>
    <w:rsid w:val="00A45EAC"/>
    <w:rsid w:val="00A471B9"/>
    <w:rsid w:val="00A474F9"/>
    <w:rsid w:val="00A4772F"/>
    <w:rsid w:val="00A47983"/>
    <w:rsid w:val="00A47E09"/>
    <w:rsid w:val="00A503A7"/>
    <w:rsid w:val="00A50458"/>
    <w:rsid w:val="00A50955"/>
    <w:rsid w:val="00A515BB"/>
    <w:rsid w:val="00A516BE"/>
    <w:rsid w:val="00A51B37"/>
    <w:rsid w:val="00A51CBC"/>
    <w:rsid w:val="00A520A3"/>
    <w:rsid w:val="00A52858"/>
    <w:rsid w:val="00A529A3"/>
    <w:rsid w:val="00A529BC"/>
    <w:rsid w:val="00A529DC"/>
    <w:rsid w:val="00A529F4"/>
    <w:rsid w:val="00A52D1B"/>
    <w:rsid w:val="00A5304D"/>
    <w:rsid w:val="00A5346F"/>
    <w:rsid w:val="00A534E9"/>
    <w:rsid w:val="00A53BE5"/>
    <w:rsid w:val="00A53FB6"/>
    <w:rsid w:val="00A542AC"/>
    <w:rsid w:val="00A5486A"/>
    <w:rsid w:val="00A548B4"/>
    <w:rsid w:val="00A54BC2"/>
    <w:rsid w:val="00A54C13"/>
    <w:rsid w:val="00A54CFD"/>
    <w:rsid w:val="00A54E39"/>
    <w:rsid w:val="00A553A4"/>
    <w:rsid w:val="00A559C8"/>
    <w:rsid w:val="00A55B1A"/>
    <w:rsid w:val="00A5618A"/>
    <w:rsid w:val="00A563AD"/>
    <w:rsid w:val="00A56515"/>
    <w:rsid w:val="00A566B1"/>
    <w:rsid w:val="00A5671D"/>
    <w:rsid w:val="00A56DD2"/>
    <w:rsid w:val="00A56F38"/>
    <w:rsid w:val="00A5703B"/>
    <w:rsid w:val="00A5737C"/>
    <w:rsid w:val="00A57571"/>
    <w:rsid w:val="00A57A93"/>
    <w:rsid w:val="00A60068"/>
    <w:rsid w:val="00A60EF5"/>
    <w:rsid w:val="00A61312"/>
    <w:rsid w:val="00A6148C"/>
    <w:rsid w:val="00A61855"/>
    <w:rsid w:val="00A61F4E"/>
    <w:rsid w:val="00A622FA"/>
    <w:rsid w:val="00A62406"/>
    <w:rsid w:val="00A62561"/>
    <w:rsid w:val="00A62562"/>
    <w:rsid w:val="00A62576"/>
    <w:rsid w:val="00A628A6"/>
    <w:rsid w:val="00A62CD6"/>
    <w:rsid w:val="00A62D84"/>
    <w:rsid w:val="00A63731"/>
    <w:rsid w:val="00A63791"/>
    <w:rsid w:val="00A6392E"/>
    <w:rsid w:val="00A64557"/>
    <w:rsid w:val="00A6461E"/>
    <w:rsid w:val="00A64804"/>
    <w:rsid w:val="00A65459"/>
    <w:rsid w:val="00A6578E"/>
    <w:rsid w:val="00A65796"/>
    <w:rsid w:val="00A65904"/>
    <w:rsid w:val="00A65A97"/>
    <w:rsid w:val="00A65D86"/>
    <w:rsid w:val="00A65FBF"/>
    <w:rsid w:val="00A660D3"/>
    <w:rsid w:val="00A66173"/>
    <w:rsid w:val="00A665DF"/>
    <w:rsid w:val="00A66958"/>
    <w:rsid w:val="00A67574"/>
    <w:rsid w:val="00A67692"/>
    <w:rsid w:val="00A678EC"/>
    <w:rsid w:val="00A70B30"/>
    <w:rsid w:val="00A70C9C"/>
    <w:rsid w:val="00A70FC6"/>
    <w:rsid w:val="00A71E87"/>
    <w:rsid w:val="00A71F6E"/>
    <w:rsid w:val="00A720FA"/>
    <w:rsid w:val="00A72522"/>
    <w:rsid w:val="00A725B8"/>
    <w:rsid w:val="00A72634"/>
    <w:rsid w:val="00A728E5"/>
    <w:rsid w:val="00A72A01"/>
    <w:rsid w:val="00A72C0B"/>
    <w:rsid w:val="00A72CB9"/>
    <w:rsid w:val="00A72D17"/>
    <w:rsid w:val="00A72EFC"/>
    <w:rsid w:val="00A730A3"/>
    <w:rsid w:val="00A7365C"/>
    <w:rsid w:val="00A736AD"/>
    <w:rsid w:val="00A73D22"/>
    <w:rsid w:val="00A741E8"/>
    <w:rsid w:val="00A74440"/>
    <w:rsid w:val="00A748CF"/>
    <w:rsid w:val="00A74A5B"/>
    <w:rsid w:val="00A74F93"/>
    <w:rsid w:val="00A75244"/>
    <w:rsid w:val="00A7597D"/>
    <w:rsid w:val="00A75D95"/>
    <w:rsid w:val="00A75E76"/>
    <w:rsid w:val="00A75EFB"/>
    <w:rsid w:val="00A75F92"/>
    <w:rsid w:val="00A760CB"/>
    <w:rsid w:val="00A761DE"/>
    <w:rsid w:val="00A7668C"/>
    <w:rsid w:val="00A76922"/>
    <w:rsid w:val="00A76955"/>
    <w:rsid w:val="00A76A90"/>
    <w:rsid w:val="00A7776A"/>
    <w:rsid w:val="00A77C0C"/>
    <w:rsid w:val="00A77CF3"/>
    <w:rsid w:val="00A8030D"/>
    <w:rsid w:val="00A808EB"/>
    <w:rsid w:val="00A80B83"/>
    <w:rsid w:val="00A80BFB"/>
    <w:rsid w:val="00A8141D"/>
    <w:rsid w:val="00A81790"/>
    <w:rsid w:val="00A81E6B"/>
    <w:rsid w:val="00A8203F"/>
    <w:rsid w:val="00A82462"/>
    <w:rsid w:val="00A826D9"/>
    <w:rsid w:val="00A8274B"/>
    <w:rsid w:val="00A82830"/>
    <w:rsid w:val="00A828E9"/>
    <w:rsid w:val="00A83590"/>
    <w:rsid w:val="00A83672"/>
    <w:rsid w:val="00A8374A"/>
    <w:rsid w:val="00A83C01"/>
    <w:rsid w:val="00A83D4C"/>
    <w:rsid w:val="00A83EE1"/>
    <w:rsid w:val="00A8444A"/>
    <w:rsid w:val="00A84CFC"/>
    <w:rsid w:val="00A859B5"/>
    <w:rsid w:val="00A86220"/>
    <w:rsid w:val="00A864A4"/>
    <w:rsid w:val="00A864F2"/>
    <w:rsid w:val="00A86B5E"/>
    <w:rsid w:val="00A86BD0"/>
    <w:rsid w:val="00A87765"/>
    <w:rsid w:val="00A90332"/>
    <w:rsid w:val="00A90583"/>
    <w:rsid w:val="00A90ADC"/>
    <w:rsid w:val="00A90D66"/>
    <w:rsid w:val="00A91690"/>
    <w:rsid w:val="00A918BB"/>
    <w:rsid w:val="00A919E5"/>
    <w:rsid w:val="00A91A4C"/>
    <w:rsid w:val="00A91B63"/>
    <w:rsid w:val="00A91C74"/>
    <w:rsid w:val="00A91DEF"/>
    <w:rsid w:val="00A92175"/>
    <w:rsid w:val="00A92477"/>
    <w:rsid w:val="00A92A0B"/>
    <w:rsid w:val="00A92F59"/>
    <w:rsid w:val="00A93079"/>
    <w:rsid w:val="00A9314A"/>
    <w:rsid w:val="00A938A2"/>
    <w:rsid w:val="00A93BBB"/>
    <w:rsid w:val="00A94092"/>
    <w:rsid w:val="00A947B6"/>
    <w:rsid w:val="00A94B95"/>
    <w:rsid w:val="00A95815"/>
    <w:rsid w:val="00A95BA1"/>
    <w:rsid w:val="00A95DA9"/>
    <w:rsid w:val="00A95DC8"/>
    <w:rsid w:val="00A95E9C"/>
    <w:rsid w:val="00A961E7"/>
    <w:rsid w:val="00A96E68"/>
    <w:rsid w:val="00A97128"/>
    <w:rsid w:val="00A9718C"/>
    <w:rsid w:val="00A97989"/>
    <w:rsid w:val="00A97A74"/>
    <w:rsid w:val="00AA0222"/>
    <w:rsid w:val="00AA057C"/>
    <w:rsid w:val="00AA096C"/>
    <w:rsid w:val="00AA0C21"/>
    <w:rsid w:val="00AA11A8"/>
    <w:rsid w:val="00AA131E"/>
    <w:rsid w:val="00AA1395"/>
    <w:rsid w:val="00AA18AF"/>
    <w:rsid w:val="00AA1951"/>
    <w:rsid w:val="00AA1B82"/>
    <w:rsid w:val="00AA1DCC"/>
    <w:rsid w:val="00AA2217"/>
    <w:rsid w:val="00AA22E6"/>
    <w:rsid w:val="00AA2A70"/>
    <w:rsid w:val="00AA3045"/>
    <w:rsid w:val="00AA3287"/>
    <w:rsid w:val="00AA3738"/>
    <w:rsid w:val="00AA3808"/>
    <w:rsid w:val="00AA3821"/>
    <w:rsid w:val="00AA38C1"/>
    <w:rsid w:val="00AA3D59"/>
    <w:rsid w:val="00AA3E46"/>
    <w:rsid w:val="00AA4142"/>
    <w:rsid w:val="00AA4783"/>
    <w:rsid w:val="00AA478D"/>
    <w:rsid w:val="00AA484B"/>
    <w:rsid w:val="00AA4B58"/>
    <w:rsid w:val="00AA4F56"/>
    <w:rsid w:val="00AA4FA8"/>
    <w:rsid w:val="00AA5B6C"/>
    <w:rsid w:val="00AA6025"/>
    <w:rsid w:val="00AA62F4"/>
    <w:rsid w:val="00AA6984"/>
    <w:rsid w:val="00AA6E52"/>
    <w:rsid w:val="00AA6F31"/>
    <w:rsid w:val="00AA7505"/>
    <w:rsid w:val="00AA76D0"/>
    <w:rsid w:val="00AA773F"/>
    <w:rsid w:val="00AB0001"/>
    <w:rsid w:val="00AB0182"/>
    <w:rsid w:val="00AB0D75"/>
    <w:rsid w:val="00AB0E14"/>
    <w:rsid w:val="00AB1361"/>
    <w:rsid w:val="00AB1449"/>
    <w:rsid w:val="00AB14AB"/>
    <w:rsid w:val="00AB1502"/>
    <w:rsid w:val="00AB167E"/>
    <w:rsid w:val="00AB184C"/>
    <w:rsid w:val="00AB1C23"/>
    <w:rsid w:val="00AB1EF2"/>
    <w:rsid w:val="00AB2817"/>
    <w:rsid w:val="00AB293E"/>
    <w:rsid w:val="00AB4312"/>
    <w:rsid w:val="00AB4361"/>
    <w:rsid w:val="00AB4415"/>
    <w:rsid w:val="00AB487C"/>
    <w:rsid w:val="00AB4A4B"/>
    <w:rsid w:val="00AB4EE6"/>
    <w:rsid w:val="00AB4F54"/>
    <w:rsid w:val="00AB52A9"/>
    <w:rsid w:val="00AB56A8"/>
    <w:rsid w:val="00AB56CA"/>
    <w:rsid w:val="00AB5926"/>
    <w:rsid w:val="00AB5D49"/>
    <w:rsid w:val="00AB6418"/>
    <w:rsid w:val="00AB6451"/>
    <w:rsid w:val="00AB69F8"/>
    <w:rsid w:val="00AB7013"/>
    <w:rsid w:val="00AB72AD"/>
    <w:rsid w:val="00AB784B"/>
    <w:rsid w:val="00AB7CA6"/>
    <w:rsid w:val="00AB7E2A"/>
    <w:rsid w:val="00AC00AB"/>
    <w:rsid w:val="00AC074D"/>
    <w:rsid w:val="00AC0DAE"/>
    <w:rsid w:val="00AC0E20"/>
    <w:rsid w:val="00AC1061"/>
    <w:rsid w:val="00AC1439"/>
    <w:rsid w:val="00AC14BE"/>
    <w:rsid w:val="00AC1708"/>
    <w:rsid w:val="00AC1A05"/>
    <w:rsid w:val="00AC1A11"/>
    <w:rsid w:val="00AC1B1D"/>
    <w:rsid w:val="00AC1C1A"/>
    <w:rsid w:val="00AC2030"/>
    <w:rsid w:val="00AC20BD"/>
    <w:rsid w:val="00AC248E"/>
    <w:rsid w:val="00AC2613"/>
    <w:rsid w:val="00AC2FE9"/>
    <w:rsid w:val="00AC303F"/>
    <w:rsid w:val="00AC324D"/>
    <w:rsid w:val="00AC3294"/>
    <w:rsid w:val="00AC3485"/>
    <w:rsid w:val="00AC375F"/>
    <w:rsid w:val="00AC3785"/>
    <w:rsid w:val="00AC3849"/>
    <w:rsid w:val="00AC3BD2"/>
    <w:rsid w:val="00AC3CC0"/>
    <w:rsid w:val="00AC4410"/>
    <w:rsid w:val="00AC4437"/>
    <w:rsid w:val="00AC44AE"/>
    <w:rsid w:val="00AC484A"/>
    <w:rsid w:val="00AC49E4"/>
    <w:rsid w:val="00AC4F98"/>
    <w:rsid w:val="00AC5488"/>
    <w:rsid w:val="00AC5B90"/>
    <w:rsid w:val="00AC63B2"/>
    <w:rsid w:val="00AC6887"/>
    <w:rsid w:val="00AC6C26"/>
    <w:rsid w:val="00AC7060"/>
    <w:rsid w:val="00AC72DB"/>
    <w:rsid w:val="00AC7320"/>
    <w:rsid w:val="00AC7397"/>
    <w:rsid w:val="00AC766E"/>
    <w:rsid w:val="00AD0092"/>
    <w:rsid w:val="00AD00CF"/>
    <w:rsid w:val="00AD051C"/>
    <w:rsid w:val="00AD0DA5"/>
    <w:rsid w:val="00AD0DF5"/>
    <w:rsid w:val="00AD0E36"/>
    <w:rsid w:val="00AD0EAA"/>
    <w:rsid w:val="00AD125D"/>
    <w:rsid w:val="00AD1648"/>
    <w:rsid w:val="00AD18BE"/>
    <w:rsid w:val="00AD1C54"/>
    <w:rsid w:val="00AD1FC6"/>
    <w:rsid w:val="00AD203A"/>
    <w:rsid w:val="00AD23D9"/>
    <w:rsid w:val="00AD2642"/>
    <w:rsid w:val="00AD2ACE"/>
    <w:rsid w:val="00AD2AEF"/>
    <w:rsid w:val="00AD3257"/>
    <w:rsid w:val="00AD369D"/>
    <w:rsid w:val="00AD43E9"/>
    <w:rsid w:val="00AD49F2"/>
    <w:rsid w:val="00AD4A23"/>
    <w:rsid w:val="00AD4EC5"/>
    <w:rsid w:val="00AD54BB"/>
    <w:rsid w:val="00AD554E"/>
    <w:rsid w:val="00AD5B91"/>
    <w:rsid w:val="00AD5BC1"/>
    <w:rsid w:val="00AD5CCC"/>
    <w:rsid w:val="00AD6214"/>
    <w:rsid w:val="00AD65BD"/>
    <w:rsid w:val="00AD6AD7"/>
    <w:rsid w:val="00AD6B6F"/>
    <w:rsid w:val="00AD6D28"/>
    <w:rsid w:val="00AD709D"/>
    <w:rsid w:val="00AD7255"/>
    <w:rsid w:val="00AD742D"/>
    <w:rsid w:val="00AD7503"/>
    <w:rsid w:val="00AD7590"/>
    <w:rsid w:val="00AD7770"/>
    <w:rsid w:val="00AD7875"/>
    <w:rsid w:val="00AD7BBE"/>
    <w:rsid w:val="00AD7CFD"/>
    <w:rsid w:val="00AD7D44"/>
    <w:rsid w:val="00AE01AA"/>
    <w:rsid w:val="00AE05E0"/>
    <w:rsid w:val="00AE0A8D"/>
    <w:rsid w:val="00AE0FB1"/>
    <w:rsid w:val="00AE132B"/>
    <w:rsid w:val="00AE1C54"/>
    <w:rsid w:val="00AE2786"/>
    <w:rsid w:val="00AE28CE"/>
    <w:rsid w:val="00AE2C38"/>
    <w:rsid w:val="00AE2DF2"/>
    <w:rsid w:val="00AE2EBD"/>
    <w:rsid w:val="00AE2F93"/>
    <w:rsid w:val="00AE36C9"/>
    <w:rsid w:val="00AE39DC"/>
    <w:rsid w:val="00AE3D18"/>
    <w:rsid w:val="00AE40C8"/>
    <w:rsid w:val="00AE4A3D"/>
    <w:rsid w:val="00AE4C29"/>
    <w:rsid w:val="00AE4C89"/>
    <w:rsid w:val="00AE5096"/>
    <w:rsid w:val="00AE5836"/>
    <w:rsid w:val="00AE5B62"/>
    <w:rsid w:val="00AE5C9A"/>
    <w:rsid w:val="00AE633E"/>
    <w:rsid w:val="00AE6559"/>
    <w:rsid w:val="00AE67EC"/>
    <w:rsid w:val="00AE6974"/>
    <w:rsid w:val="00AE7578"/>
    <w:rsid w:val="00AE77C2"/>
    <w:rsid w:val="00AE7A48"/>
    <w:rsid w:val="00AF0054"/>
    <w:rsid w:val="00AF00C8"/>
    <w:rsid w:val="00AF0C0A"/>
    <w:rsid w:val="00AF156F"/>
    <w:rsid w:val="00AF15AA"/>
    <w:rsid w:val="00AF17F1"/>
    <w:rsid w:val="00AF189D"/>
    <w:rsid w:val="00AF1968"/>
    <w:rsid w:val="00AF230C"/>
    <w:rsid w:val="00AF265D"/>
    <w:rsid w:val="00AF2E25"/>
    <w:rsid w:val="00AF2E4F"/>
    <w:rsid w:val="00AF305E"/>
    <w:rsid w:val="00AF30C4"/>
    <w:rsid w:val="00AF31AD"/>
    <w:rsid w:val="00AF3398"/>
    <w:rsid w:val="00AF3BB5"/>
    <w:rsid w:val="00AF40D5"/>
    <w:rsid w:val="00AF42B8"/>
    <w:rsid w:val="00AF4441"/>
    <w:rsid w:val="00AF44D3"/>
    <w:rsid w:val="00AF45C8"/>
    <w:rsid w:val="00AF46B5"/>
    <w:rsid w:val="00AF4B8E"/>
    <w:rsid w:val="00AF5187"/>
    <w:rsid w:val="00AF57C5"/>
    <w:rsid w:val="00AF5F1C"/>
    <w:rsid w:val="00AF6435"/>
    <w:rsid w:val="00AF672F"/>
    <w:rsid w:val="00AF6901"/>
    <w:rsid w:val="00AF6B6C"/>
    <w:rsid w:val="00AF6B83"/>
    <w:rsid w:val="00AF6FD1"/>
    <w:rsid w:val="00AF7034"/>
    <w:rsid w:val="00AF72D5"/>
    <w:rsid w:val="00AF7409"/>
    <w:rsid w:val="00AF744D"/>
    <w:rsid w:val="00AF74BE"/>
    <w:rsid w:val="00AF75FB"/>
    <w:rsid w:val="00AF763B"/>
    <w:rsid w:val="00AF766C"/>
    <w:rsid w:val="00AF7C00"/>
    <w:rsid w:val="00AF7E65"/>
    <w:rsid w:val="00AF7EB9"/>
    <w:rsid w:val="00B006D3"/>
    <w:rsid w:val="00B00A10"/>
    <w:rsid w:val="00B00A71"/>
    <w:rsid w:val="00B00CE9"/>
    <w:rsid w:val="00B00E0B"/>
    <w:rsid w:val="00B012A5"/>
    <w:rsid w:val="00B012EF"/>
    <w:rsid w:val="00B0132F"/>
    <w:rsid w:val="00B01565"/>
    <w:rsid w:val="00B0166B"/>
    <w:rsid w:val="00B02425"/>
    <w:rsid w:val="00B0272C"/>
    <w:rsid w:val="00B03901"/>
    <w:rsid w:val="00B0411E"/>
    <w:rsid w:val="00B0431D"/>
    <w:rsid w:val="00B043F9"/>
    <w:rsid w:val="00B046A6"/>
    <w:rsid w:val="00B05EC7"/>
    <w:rsid w:val="00B0617C"/>
    <w:rsid w:val="00B06558"/>
    <w:rsid w:val="00B0682F"/>
    <w:rsid w:val="00B06919"/>
    <w:rsid w:val="00B06D3C"/>
    <w:rsid w:val="00B06E60"/>
    <w:rsid w:val="00B070DB"/>
    <w:rsid w:val="00B0713C"/>
    <w:rsid w:val="00B07148"/>
    <w:rsid w:val="00B074AC"/>
    <w:rsid w:val="00B07C93"/>
    <w:rsid w:val="00B10252"/>
    <w:rsid w:val="00B10494"/>
    <w:rsid w:val="00B105B9"/>
    <w:rsid w:val="00B1075D"/>
    <w:rsid w:val="00B109BA"/>
    <w:rsid w:val="00B10A21"/>
    <w:rsid w:val="00B10D53"/>
    <w:rsid w:val="00B10FD0"/>
    <w:rsid w:val="00B1179C"/>
    <w:rsid w:val="00B11EC9"/>
    <w:rsid w:val="00B120E1"/>
    <w:rsid w:val="00B124C0"/>
    <w:rsid w:val="00B127F1"/>
    <w:rsid w:val="00B12898"/>
    <w:rsid w:val="00B12D69"/>
    <w:rsid w:val="00B12E6C"/>
    <w:rsid w:val="00B133E1"/>
    <w:rsid w:val="00B13806"/>
    <w:rsid w:val="00B13A01"/>
    <w:rsid w:val="00B13A71"/>
    <w:rsid w:val="00B13D13"/>
    <w:rsid w:val="00B144C8"/>
    <w:rsid w:val="00B14597"/>
    <w:rsid w:val="00B1475C"/>
    <w:rsid w:val="00B14976"/>
    <w:rsid w:val="00B14B36"/>
    <w:rsid w:val="00B14E93"/>
    <w:rsid w:val="00B14F59"/>
    <w:rsid w:val="00B1501D"/>
    <w:rsid w:val="00B15501"/>
    <w:rsid w:val="00B1568F"/>
    <w:rsid w:val="00B1577E"/>
    <w:rsid w:val="00B15B9F"/>
    <w:rsid w:val="00B15C92"/>
    <w:rsid w:val="00B163BF"/>
    <w:rsid w:val="00B163FF"/>
    <w:rsid w:val="00B1655D"/>
    <w:rsid w:val="00B16EA1"/>
    <w:rsid w:val="00B16EAF"/>
    <w:rsid w:val="00B17F6A"/>
    <w:rsid w:val="00B20277"/>
    <w:rsid w:val="00B20357"/>
    <w:rsid w:val="00B2037B"/>
    <w:rsid w:val="00B20B01"/>
    <w:rsid w:val="00B20B4B"/>
    <w:rsid w:val="00B20C14"/>
    <w:rsid w:val="00B21158"/>
    <w:rsid w:val="00B21AF1"/>
    <w:rsid w:val="00B21F78"/>
    <w:rsid w:val="00B21FE3"/>
    <w:rsid w:val="00B22133"/>
    <w:rsid w:val="00B2253B"/>
    <w:rsid w:val="00B2288B"/>
    <w:rsid w:val="00B22C0B"/>
    <w:rsid w:val="00B22C98"/>
    <w:rsid w:val="00B23577"/>
    <w:rsid w:val="00B2364C"/>
    <w:rsid w:val="00B23DA3"/>
    <w:rsid w:val="00B23EEC"/>
    <w:rsid w:val="00B24570"/>
    <w:rsid w:val="00B24B20"/>
    <w:rsid w:val="00B24FBD"/>
    <w:rsid w:val="00B25472"/>
    <w:rsid w:val="00B255D4"/>
    <w:rsid w:val="00B257E4"/>
    <w:rsid w:val="00B2594C"/>
    <w:rsid w:val="00B25A5A"/>
    <w:rsid w:val="00B25AFF"/>
    <w:rsid w:val="00B25B03"/>
    <w:rsid w:val="00B25FA4"/>
    <w:rsid w:val="00B25FCF"/>
    <w:rsid w:val="00B263E5"/>
    <w:rsid w:val="00B264D9"/>
    <w:rsid w:val="00B2671C"/>
    <w:rsid w:val="00B2677A"/>
    <w:rsid w:val="00B2682A"/>
    <w:rsid w:val="00B2694D"/>
    <w:rsid w:val="00B26A47"/>
    <w:rsid w:val="00B26B7F"/>
    <w:rsid w:val="00B26FE3"/>
    <w:rsid w:val="00B271F5"/>
    <w:rsid w:val="00B2799C"/>
    <w:rsid w:val="00B27B60"/>
    <w:rsid w:val="00B27EAE"/>
    <w:rsid w:val="00B30075"/>
    <w:rsid w:val="00B30ACD"/>
    <w:rsid w:val="00B314A2"/>
    <w:rsid w:val="00B315BC"/>
    <w:rsid w:val="00B315DD"/>
    <w:rsid w:val="00B318B0"/>
    <w:rsid w:val="00B31C25"/>
    <w:rsid w:val="00B32582"/>
    <w:rsid w:val="00B32AB7"/>
    <w:rsid w:val="00B32E4B"/>
    <w:rsid w:val="00B335AD"/>
    <w:rsid w:val="00B3386F"/>
    <w:rsid w:val="00B3387D"/>
    <w:rsid w:val="00B341E7"/>
    <w:rsid w:val="00B3420E"/>
    <w:rsid w:val="00B3426B"/>
    <w:rsid w:val="00B34C36"/>
    <w:rsid w:val="00B351AE"/>
    <w:rsid w:val="00B355CB"/>
    <w:rsid w:val="00B35F24"/>
    <w:rsid w:val="00B36292"/>
    <w:rsid w:val="00B36400"/>
    <w:rsid w:val="00B3644C"/>
    <w:rsid w:val="00B3695D"/>
    <w:rsid w:val="00B36990"/>
    <w:rsid w:val="00B36C2A"/>
    <w:rsid w:val="00B37664"/>
    <w:rsid w:val="00B37C35"/>
    <w:rsid w:val="00B37C72"/>
    <w:rsid w:val="00B4044D"/>
    <w:rsid w:val="00B40507"/>
    <w:rsid w:val="00B40674"/>
    <w:rsid w:val="00B408FE"/>
    <w:rsid w:val="00B409D3"/>
    <w:rsid w:val="00B40A1C"/>
    <w:rsid w:val="00B40AED"/>
    <w:rsid w:val="00B410D7"/>
    <w:rsid w:val="00B412ED"/>
    <w:rsid w:val="00B4158B"/>
    <w:rsid w:val="00B415A7"/>
    <w:rsid w:val="00B4227F"/>
    <w:rsid w:val="00B42DCE"/>
    <w:rsid w:val="00B431CC"/>
    <w:rsid w:val="00B432AE"/>
    <w:rsid w:val="00B43B2D"/>
    <w:rsid w:val="00B43D52"/>
    <w:rsid w:val="00B44138"/>
    <w:rsid w:val="00B4423B"/>
    <w:rsid w:val="00B449CF"/>
    <w:rsid w:val="00B44CBC"/>
    <w:rsid w:val="00B45230"/>
    <w:rsid w:val="00B45578"/>
    <w:rsid w:val="00B45771"/>
    <w:rsid w:val="00B46459"/>
    <w:rsid w:val="00B464B8"/>
    <w:rsid w:val="00B46698"/>
    <w:rsid w:val="00B46A3A"/>
    <w:rsid w:val="00B46AE4"/>
    <w:rsid w:val="00B46AE8"/>
    <w:rsid w:val="00B47512"/>
    <w:rsid w:val="00B47771"/>
    <w:rsid w:val="00B5038C"/>
    <w:rsid w:val="00B504DF"/>
    <w:rsid w:val="00B505C6"/>
    <w:rsid w:val="00B50C28"/>
    <w:rsid w:val="00B50E3E"/>
    <w:rsid w:val="00B50F35"/>
    <w:rsid w:val="00B51076"/>
    <w:rsid w:val="00B5160A"/>
    <w:rsid w:val="00B516AA"/>
    <w:rsid w:val="00B5178B"/>
    <w:rsid w:val="00B51C06"/>
    <w:rsid w:val="00B52138"/>
    <w:rsid w:val="00B525DD"/>
    <w:rsid w:val="00B52747"/>
    <w:rsid w:val="00B52BA0"/>
    <w:rsid w:val="00B52F55"/>
    <w:rsid w:val="00B5316E"/>
    <w:rsid w:val="00B53498"/>
    <w:rsid w:val="00B535A0"/>
    <w:rsid w:val="00B53DF8"/>
    <w:rsid w:val="00B53E9F"/>
    <w:rsid w:val="00B541B4"/>
    <w:rsid w:val="00B5455E"/>
    <w:rsid w:val="00B549C6"/>
    <w:rsid w:val="00B554A0"/>
    <w:rsid w:val="00B55549"/>
    <w:rsid w:val="00B5556A"/>
    <w:rsid w:val="00B5607B"/>
    <w:rsid w:val="00B5619B"/>
    <w:rsid w:val="00B5634F"/>
    <w:rsid w:val="00B56C76"/>
    <w:rsid w:val="00B56E74"/>
    <w:rsid w:val="00B56E94"/>
    <w:rsid w:val="00B57276"/>
    <w:rsid w:val="00B572E4"/>
    <w:rsid w:val="00B572FC"/>
    <w:rsid w:val="00B57667"/>
    <w:rsid w:val="00B578EC"/>
    <w:rsid w:val="00B57C79"/>
    <w:rsid w:val="00B6081D"/>
    <w:rsid w:val="00B608B3"/>
    <w:rsid w:val="00B60BC1"/>
    <w:rsid w:val="00B61313"/>
    <w:rsid w:val="00B61D18"/>
    <w:rsid w:val="00B62071"/>
    <w:rsid w:val="00B62282"/>
    <w:rsid w:val="00B622D5"/>
    <w:rsid w:val="00B62A97"/>
    <w:rsid w:val="00B62F6C"/>
    <w:rsid w:val="00B63105"/>
    <w:rsid w:val="00B63623"/>
    <w:rsid w:val="00B63F8E"/>
    <w:rsid w:val="00B64D23"/>
    <w:rsid w:val="00B6549C"/>
    <w:rsid w:val="00B6556F"/>
    <w:rsid w:val="00B65720"/>
    <w:rsid w:val="00B657CC"/>
    <w:rsid w:val="00B65894"/>
    <w:rsid w:val="00B65B6F"/>
    <w:rsid w:val="00B669ED"/>
    <w:rsid w:val="00B66A1F"/>
    <w:rsid w:val="00B66CA8"/>
    <w:rsid w:val="00B66FBD"/>
    <w:rsid w:val="00B67001"/>
    <w:rsid w:val="00B671C2"/>
    <w:rsid w:val="00B67261"/>
    <w:rsid w:val="00B675E5"/>
    <w:rsid w:val="00B67923"/>
    <w:rsid w:val="00B67DB1"/>
    <w:rsid w:val="00B70078"/>
    <w:rsid w:val="00B706AF"/>
    <w:rsid w:val="00B707EB"/>
    <w:rsid w:val="00B70DB0"/>
    <w:rsid w:val="00B71071"/>
    <w:rsid w:val="00B711ED"/>
    <w:rsid w:val="00B722F0"/>
    <w:rsid w:val="00B72A4D"/>
    <w:rsid w:val="00B72EDD"/>
    <w:rsid w:val="00B73516"/>
    <w:rsid w:val="00B7357A"/>
    <w:rsid w:val="00B736D7"/>
    <w:rsid w:val="00B73F9E"/>
    <w:rsid w:val="00B74330"/>
    <w:rsid w:val="00B75040"/>
    <w:rsid w:val="00B7527F"/>
    <w:rsid w:val="00B75981"/>
    <w:rsid w:val="00B75A3B"/>
    <w:rsid w:val="00B75D17"/>
    <w:rsid w:val="00B761A5"/>
    <w:rsid w:val="00B76781"/>
    <w:rsid w:val="00B76C6F"/>
    <w:rsid w:val="00B76F35"/>
    <w:rsid w:val="00B77C68"/>
    <w:rsid w:val="00B77CBA"/>
    <w:rsid w:val="00B77DCF"/>
    <w:rsid w:val="00B80085"/>
    <w:rsid w:val="00B803C1"/>
    <w:rsid w:val="00B80410"/>
    <w:rsid w:val="00B8077F"/>
    <w:rsid w:val="00B80827"/>
    <w:rsid w:val="00B80C6E"/>
    <w:rsid w:val="00B80DED"/>
    <w:rsid w:val="00B81118"/>
    <w:rsid w:val="00B813C1"/>
    <w:rsid w:val="00B815DB"/>
    <w:rsid w:val="00B81B1B"/>
    <w:rsid w:val="00B81BAE"/>
    <w:rsid w:val="00B8250C"/>
    <w:rsid w:val="00B82608"/>
    <w:rsid w:val="00B83244"/>
    <w:rsid w:val="00B83971"/>
    <w:rsid w:val="00B84030"/>
    <w:rsid w:val="00B84303"/>
    <w:rsid w:val="00B843CE"/>
    <w:rsid w:val="00B84437"/>
    <w:rsid w:val="00B84506"/>
    <w:rsid w:val="00B8475B"/>
    <w:rsid w:val="00B8485D"/>
    <w:rsid w:val="00B84E67"/>
    <w:rsid w:val="00B84F07"/>
    <w:rsid w:val="00B85446"/>
    <w:rsid w:val="00B8582B"/>
    <w:rsid w:val="00B85B09"/>
    <w:rsid w:val="00B85FF5"/>
    <w:rsid w:val="00B86008"/>
    <w:rsid w:val="00B8633A"/>
    <w:rsid w:val="00B868DE"/>
    <w:rsid w:val="00B869E2"/>
    <w:rsid w:val="00B86A64"/>
    <w:rsid w:val="00B872AE"/>
    <w:rsid w:val="00B87519"/>
    <w:rsid w:val="00B8758D"/>
    <w:rsid w:val="00B908BA"/>
    <w:rsid w:val="00B90A2D"/>
    <w:rsid w:val="00B91153"/>
    <w:rsid w:val="00B91191"/>
    <w:rsid w:val="00B91CB9"/>
    <w:rsid w:val="00B9200F"/>
    <w:rsid w:val="00B9226B"/>
    <w:rsid w:val="00B9276D"/>
    <w:rsid w:val="00B92901"/>
    <w:rsid w:val="00B929D6"/>
    <w:rsid w:val="00B92A8F"/>
    <w:rsid w:val="00B92DE2"/>
    <w:rsid w:val="00B92FB2"/>
    <w:rsid w:val="00B930FC"/>
    <w:rsid w:val="00B931CF"/>
    <w:rsid w:val="00B93590"/>
    <w:rsid w:val="00B93DAD"/>
    <w:rsid w:val="00B93E95"/>
    <w:rsid w:val="00B949C2"/>
    <w:rsid w:val="00B94ACF"/>
    <w:rsid w:val="00B94AFA"/>
    <w:rsid w:val="00B94B51"/>
    <w:rsid w:val="00B94FF3"/>
    <w:rsid w:val="00B950F0"/>
    <w:rsid w:val="00B9574D"/>
    <w:rsid w:val="00B95B36"/>
    <w:rsid w:val="00B95D10"/>
    <w:rsid w:val="00B96267"/>
    <w:rsid w:val="00B9674B"/>
    <w:rsid w:val="00B96787"/>
    <w:rsid w:val="00B96D35"/>
    <w:rsid w:val="00B96D77"/>
    <w:rsid w:val="00B97269"/>
    <w:rsid w:val="00B9763F"/>
    <w:rsid w:val="00B978C7"/>
    <w:rsid w:val="00B979FD"/>
    <w:rsid w:val="00B97EB6"/>
    <w:rsid w:val="00BA00FB"/>
    <w:rsid w:val="00BA0564"/>
    <w:rsid w:val="00BA068D"/>
    <w:rsid w:val="00BA082D"/>
    <w:rsid w:val="00BA0C92"/>
    <w:rsid w:val="00BA0E7A"/>
    <w:rsid w:val="00BA0F2D"/>
    <w:rsid w:val="00BA105B"/>
    <w:rsid w:val="00BA182F"/>
    <w:rsid w:val="00BA19A7"/>
    <w:rsid w:val="00BA1BAC"/>
    <w:rsid w:val="00BA1C39"/>
    <w:rsid w:val="00BA1CCB"/>
    <w:rsid w:val="00BA1D11"/>
    <w:rsid w:val="00BA1F5F"/>
    <w:rsid w:val="00BA201C"/>
    <w:rsid w:val="00BA20F8"/>
    <w:rsid w:val="00BA242E"/>
    <w:rsid w:val="00BA25A8"/>
    <w:rsid w:val="00BA2EB0"/>
    <w:rsid w:val="00BA303D"/>
    <w:rsid w:val="00BA3312"/>
    <w:rsid w:val="00BA36F5"/>
    <w:rsid w:val="00BA381F"/>
    <w:rsid w:val="00BA3B61"/>
    <w:rsid w:val="00BA4564"/>
    <w:rsid w:val="00BA4700"/>
    <w:rsid w:val="00BA4938"/>
    <w:rsid w:val="00BA4E52"/>
    <w:rsid w:val="00BA50E6"/>
    <w:rsid w:val="00BA54AF"/>
    <w:rsid w:val="00BA5E44"/>
    <w:rsid w:val="00BA6078"/>
    <w:rsid w:val="00BA60ED"/>
    <w:rsid w:val="00BA613F"/>
    <w:rsid w:val="00BA68CA"/>
    <w:rsid w:val="00BA6922"/>
    <w:rsid w:val="00BA6B25"/>
    <w:rsid w:val="00BA6D9F"/>
    <w:rsid w:val="00BA6EFB"/>
    <w:rsid w:val="00BA6F39"/>
    <w:rsid w:val="00BA7391"/>
    <w:rsid w:val="00BA75F5"/>
    <w:rsid w:val="00BA7626"/>
    <w:rsid w:val="00BB01E6"/>
    <w:rsid w:val="00BB0206"/>
    <w:rsid w:val="00BB071A"/>
    <w:rsid w:val="00BB0C6C"/>
    <w:rsid w:val="00BB15E3"/>
    <w:rsid w:val="00BB1867"/>
    <w:rsid w:val="00BB1C2C"/>
    <w:rsid w:val="00BB1EE2"/>
    <w:rsid w:val="00BB21FF"/>
    <w:rsid w:val="00BB22D4"/>
    <w:rsid w:val="00BB27AB"/>
    <w:rsid w:val="00BB285E"/>
    <w:rsid w:val="00BB2CA5"/>
    <w:rsid w:val="00BB2DBB"/>
    <w:rsid w:val="00BB35B6"/>
    <w:rsid w:val="00BB36D6"/>
    <w:rsid w:val="00BB475C"/>
    <w:rsid w:val="00BB47C0"/>
    <w:rsid w:val="00BB4838"/>
    <w:rsid w:val="00BB4848"/>
    <w:rsid w:val="00BB48CE"/>
    <w:rsid w:val="00BB4BA0"/>
    <w:rsid w:val="00BB4D88"/>
    <w:rsid w:val="00BB4E3D"/>
    <w:rsid w:val="00BB4E5F"/>
    <w:rsid w:val="00BB5241"/>
    <w:rsid w:val="00BB52D7"/>
    <w:rsid w:val="00BB53B8"/>
    <w:rsid w:val="00BB5806"/>
    <w:rsid w:val="00BB6AF6"/>
    <w:rsid w:val="00BB6C53"/>
    <w:rsid w:val="00BB7B5B"/>
    <w:rsid w:val="00BB7BA6"/>
    <w:rsid w:val="00BB7CAA"/>
    <w:rsid w:val="00BC06DF"/>
    <w:rsid w:val="00BC0A02"/>
    <w:rsid w:val="00BC0D7D"/>
    <w:rsid w:val="00BC0E79"/>
    <w:rsid w:val="00BC10A3"/>
    <w:rsid w:val="00BC1893"/>
    <w:rsid w:val="00BC1EF6"/>
    <w:rsid w:val="00BC2283"/>
    <w:rsid w:val="00BC2509"/>
    <w:rsid w:val="00BC27A8"/>
    <w:rsid w:val="00BC2865"/>
    <w:rsid w:val="00BC2A11"/>
    <w:rsid w:val="00BC2AE1"/>
    <w:rsid w:val="00BC2C9D"/>
    <w:rsid w:val="00BC2DD1"/>
    <w:rsid w:val="00BC3004"/>
    <w:rsid w:val="00BC3594"/>
    <w:rsid w:val="00BC3D5A"/>
    <w:rsid w:val="00BC4247"/>
    <w:rsid w:val="00BC4335"/>
    <w:rsid w:val="00BC46A6"/>
    <w:rsid w:val="00BC47F2"/>
    <w:rsid w:val="00BC48C7"/>
    <w:rsid w:val="00BC6116"/>
    <w:rsid w:val="00BC64AD"/>
    <w:rsid w:val="00BC68AB"/>
    <w:rsid w:val="00BC697F"/>
    <w:rsid w:val="00BC6E9A"/>
    <w:rsid w:val="00BC74D6"/>
    <w:rsid w:val="00BC778D"/>
    <w:rsid w:val="00BC782A"/>
    <w:rsid w:val="00BC784B"/>
    <w:rsid w:val="00BC78C2"/>
    <w:rsid w:val="00BC7941"/>
    <w:rsid w:val="00BC7C0F"/>
    <w:rsid w:val="00BC7C2A"/>
    <w:rsid w:val="00BC7C2D"/>
    <w:rsid w:val="00BD01D0"/>
    <w:rsid w:val="00BD08FA"/>
    <w:rsid w:val="00BD0EEB"/>
    <w:rsid w:val="00BD0FAF"/>
    <w:rsid w:val="00BD11AB"/>
    <w:rsid w:val="00BD13C5"/>
    <w:rsid w:val="00BD1A22"/>
    <w:rsid w:val="00BD1F79"/>
    <w:rsid w:val="00BD2458"/>
    <w:rsid w:val="00BD251D"/>
    <w:rsid w:val="00BD2698"/>
    <w:rsid w:val="00BD2920"/>
    <w:rsid w:val="00BD3BB1"/>
    <w:rsid w:val="00BD3DF1"/>
    <w:rsid w:val="00BD3FC9"/>
    <w:rsid w:val="00BD42E1"/>
    <w:rsid w:val="00BD4350"/>
    <w:rsid w:val="00BD4B22"/>
    <w:rsid w:val="00BD5767"/>
    <w:rsid w:val="00BD57D7"/>
    <w:rsid w:val="00BD62AF"/>
    <w:rsid w:val="00BD686D"/>
    <w:rsid w:val="00BD689A"/>
    <w:rsid w:val="00BD69BA"/>
    <w:rsid w:val="00BD6CFF"/>
    <w:rsid w:val="00BD6FE8"/>
    <w:rsid w:val="00BD7744"/>
    <w:rsid w:val="00BD7902"/>
    <w:rsid w:val="00BD79AA"/>
    <w:rsid w:val="00BD79F6"/>
    <w:rsid w:val="00BD7C05"/>
    <w:rsid w:val="00BE0239"/>
    <w:rsid w:val="00BE0579"/>
    <w:rsid w:val="00BE1031"/>
    <w:rsid w:val="00BE1141"/>
    <w:rsid w:val="00BE1320"/>
    <w:rsid w:val="00BE1398"/>
    <w:rsid w:val="00BE17D8"/>
    <w:rsid w:val="00BE1AD8"/>
    <w:rsid w:val="00BE200B"/>
    <w:rsid w:val="00BE2425"/>
    <w:rsid w:val="00BE2B67"/>
    <w:rsid w:val="00BE2BE8"/>
    <w:rsid w:val="00BE2F54"/>
    <w:rsid w:val="00BE3FD5"/>
    <w:rsid w:val="00BE4B65"/>
    <w:rsid w:val="00BE4EE4"/>
    <w:rsid w:val="00BE512C"/>
    <w:rsid w:val="00BE51F4"/>
    <w:rsid w:val="00BE5588"/>
    <w:rsid w:val="00BE588D"/>
    <w:rsid w:val="00BE5DBA"/>
    <w:rsid w:val="00BE6116"/>
    <w:rsid w:val="00BE66CE"/>
    <w:rsid w:val="00BE6C24"/>
    <w:rsid w:val="00BE6C49"/>
    <w:rsid w:val="00BE6D28"/>
    <w:rsid w:val="00BE75B4"/>
    <w:rsid w:val="00BE7703"/>
    <w:rsid w:val="00BE7985"/>
    <w:rsid w:val="00BE7F24"/>
    <w:rsid w:val="00BF198A"/>
    <w:rsid w:val="00BF1B71"/>
    <w:rsid w:val="00BF1C28"/>
    <w:rsid w:val="00BF2B92"/>
    <w:rsid w:val="00BF2C52"/>
    <w:rsid w:val="00BF2EE7"/>
    <w:rsid w:val="00BF3120"/>
    <w:rsid w:val="00BF3618"/>
    <w:rsid w:val="00BF3738"/>
    <w:rsid w:val="00BF3775"/>
    <w:rsid w:val="00BF39E2"/>
    <w:rsid w:val="00BF3C8B"/>
    <w:rsid w:val="00BF43A3"/>
    <w:rsid w:val="00BF4493"/>
    <w:rsid w:val="00BF46DB"/>
    <w:rsid w:val="00BF4A6D"/>
    <w:rsid w:val="00BF4B1B"/>
    <w:rsid w:val="00BF579F"/>
    <w:rsid w:val="00BF5B08"/>
    <w:rsid w:val="00BF5BA6"/>
    <w:rsid w:val="00BF5C37"/>
    <w:rsid w:val="00BF5E6C"/>
    <w:rsid w:val="00BF60FD"/>
    <w:rsid w:val="00BF6103"/>
    <w:rsid w:val="00BF64E9"/>
    <w:rsid w:val="00BF75A6"/>
    <w:rsid w:val="00BF7A4B"/>
    <w:rsid w:val="00BF7A7B"/>
    <w:rsid w:val="00BF7B20"/>
    <w:rsid w:val="00C0054B"/>
    <w:rsid w:val="00C00DC9"/>
    <w:rsid w:val="00C015BF"/>
    <w:rsid w:val="00C01F38"/>
    <w:rsid w:val="00C02022"/>
    <w:rsid w:val="00C02845"/>
    <w:rsid w:val="00C02998"/>
    <w:rsid w:val="00C0299F"/>
    <w:rsid w:val="00C02CCC"/>
    <w:rsid w:val="00C02D34"/>
    <w:rsid w:val="00C02E4E"/>
    <w:rsid w:val="00C02EDD"/>
    <w:rsid w:val="00C03295"/>
    <w:rsid w:val="00C037B1"/>
    <w:rsid w:val="00C0384E"/>
    <w:rsid w:val="00C040C7"/>
    <w:rsid w:val="00C0529D"/>
    <w:rsid w:val="00C0586F"/>
    <w:rsid w:val="00C05966"/>
    <w:rsid w:val="00C05B77"/>
    <w:rsid w:val="00C0643A"/>
    <w:rsid w:val="00C066CE"/>
    <w:rsid w:val="00C06B17"/>
    <w:rsid w:val="00C07273"/>
    <w:rsid w:val="00C0793D"/>
    <w:rsid w:val="00C07F5F"/>
    <w:rsid w:val="00C101BD"/>
    <w:rsid w:val="00C107AB"/>
    <w:rsid w:val="00C10AD0"/>
    <w:rsid w:val="00C10CF9"/>
    <w:rsid w:val="00C10E25"/>
    <w:rsid w:val="00C1127C"/>
    <w:rsid w:val="00C11816"/>
    <w:rsid w:val="00C11A86"/>
    <w:rsid w:val="00C11C5E"/>
    <w:rsid w:val="00C11CA8"/>
    <w:rsid w:val="00C11FE4"/>
    <w:rsid w:val="00C1215F"/>
    <w:rsid w:val="00C1230D"/>
    <w:rsid w:val="00C12426"/>
    <w:rsid w:val="00C1249D"/>
    <w:rsid w:val="00C1249E"/>
    <w:rsid w:val="00C1259C"/>
    <w:rsid w:val="00C130C4"/>
    <w:rsid w:val="00C1320A"/>
    <w:rsid w:val="00C1337E"/>
    <w:rsid w:val="00C13A8D"/>
    <w:rsid w:val="00C13B38"/>
    <w:rsid w:val="00C143D1"/>
    <w:rsid w:val="00C143EB"/>
    <w:rsid w:val="00C14BB6"/>
    <w:rsid w:val="00C14D68"/>
    <w:rsid w:val="00C14ED6"/>
    <w:rsid w:val="00C14FE5"/>
    <w:rsid w:val="00C14FF4"/>
    <w:rsid w:val="00C15015"/>
    <w:rsid w:val="00C15024"/>
    <w:rsid w:val="00C150D1"/>
    <w:rsid w:val="00C15135"/>
    <w:rsid w:val="00C15283"/>
    <w:rsid w:val="00C15287"/>
    <w:rsid w:val="00C15638"/>
    <w:rsid w:val="00C15907"/>
    <w:rsid w:val="00C15EBA"/>
    <w:rsid w:val="00C16152"/>
    <w:rsid w:val="00C166F1"/>
    <w:rsid w:val="00C167D3"/>
    <w:rsid w:val="00C16CDA"/>
    <w:rsid w:val="00C174D5"/>
    <w:rsid w:val="00C17740"/>
    <w:rsid w:val="00C178F5"/>
    <w:rsid w:val="00C17A0F"/>
    <w:rsid w:val="00C17B8E"/>
    <w:rsid w:val="00C17CFC"/>
    <w:rsid w:val="00C20068"/>
    <w:rsid w:val="00C2022C"/>
    <w:rsid w:val="00C205AD"/>
    <w:rsid w:val="00C207B5"/>
    <w:rsid w:val="00C20B96"/>
    <w:rsid w:val="00C20E15"/>
    <w:rsid w:val="00C21079"/>
    <w:rsid w:val="00C210BD"/>
    <w:rsid w:val="00C2130B"/>
    <w:rsid w:val="00C213B6"/>
    <w:rsid w:val="00C21700"/>
    <w:rsid w:val="00C218AB"/>
    <w:rsid w:val="00C21911"/>
    <w:rsid w:val="00C21C5F"/>
    <w:rsid w:val="00C21FBC"/>
    <w:rsid w:val="00C221BD"/>
    <w:rsid w:val="00C228A4"/>
    <w:rsid w:val="00C22B18"/>
    <w:rsid w:val="00C2321F"/>
    <w:rsid w:val="00C234D7"/>
    <w:rsid w:val="00C23BE7"/>
    <w:rsid w:val="00C23C1E"/>
    <w:rsid w:val="00C23CBE"/>
    <w:rsid w:val="00C23E5A"/>
    <w:rsid w:val="00C243D9"/>
    <w:rsid w:val="00C24422"/>
    <w:rsid w:val="00C249DC"/>
    <w:rsid w:val="00C24A0E"/>
    <w:rsid w:val="00C26243"/>
    <w:rsid w:val="00C26A27"/>
    <w:rsid w:val="00C26B93"/>
    <w:rsid w:val="00C26E21"/>
    <w:rsid w:val="00C26FE6"/>
    <w:rsid w:val="00C27011"/>
    <w:rsid w:val="00C2713F"/>
    <w:rsid w:val="00C27320"/>
    <w:rsid w:val="00C2734D"/>
    <w:rsid w:val="00C27FF0"/>
    <w:rsid w:val="00C30217"/>
    <w:rsid w:val="00C302A8"/>
    <w:rsid w:val="00C30350"/>
    <w:rsid w:val="00C30436"/>
    <w:rsid w:val="00C30634"/>
    <w:rsid w:val="00C308D1"/>
    <w:rsid w:val="00C30BD6"/>
    <w:rsid w:val="00C30C3C"/>
    <w:rsid w:val="00C30E16"/>
    <w:rsid w:val="00C31541"/>
    <w:rsid w:val="00C31685"/>
    <w:rsid w:val="00C3170E"/>
    <w:rsid w:val="00C31756"/>
    <w:rsid w:val="00C31AEC"/>
    <w:rsid w:val="00C31B55"/>
    <w:rsid w:val="00C31BBF"/>
    <w:rsid w:val="00C31C28"/>
    <w:rsid w:val="00C31D4E"/>
    <w:rsid w:val="00C323E7"/>
    <w:rsid w:val="00C3275A"/>
    <w:rsid w:val="00C32E43"/>
    <w:rsid w:val="00C3308E"/>
    <w:rsid w:val="00C335AF"/>
    <w:rsid w:val="00C335CC"/>
    <w:rsid w:val="00C33CCB"/>
    <w:rsid w:val="00C34553"/>
    <w:rsid w:val="00C3457E"/>
    <w:rsid w:val="00C3463E"/>
    <w:rsid w:val="00C3470E"/>
    <w:rsid w:val="00C34E57"/>
    <w:rsid w:val="00C34FD9"/>
    <w:rsid w:val="00C35D5F"/>
    <w:rsid w:val="00C35F7B"/>
    <w:rsid w:val="00C3600B"/>
    <w:rsid w:val="00C3609E"/>
    <w:rsid w:val="00C36342"/>
    <w:rsid w:val="00C365E0"/>
    <w:rsid w:val="00C36D2B"/>
    <w:rsid w:val="00C36EDC"/>
    <w:rsid w:val="00C370E8"/>
    <w:rsid w:val="00C37159"/>
    <w:rsid w:val="00C3787C"/>
    <w:rsid w:val="00C401F6"/>
    <w:rsid w:val="00C405D4"/>
    <w:rsid w:val="00C40CBF"/>
    <w:rsid w:val="00C40F28"/>
    <w:rsid w:val="00C41295"/>
    <w:rsid w:val="00C4142D"/>
    <w:rsid w:val="00C41484"/>
    <w:rsid w:val="00C4177D"/>
    <w:rsid w:val="00C41795"/>
    <w:rsid w:val="00C417E8"/>
    <w:rsid w:val="00C418BA"/>
    <w:rsid w:val="00C419B8"/>
    <w:rsid w:val="00C41B6E"/>
    <w:rsid w:val="00C4205F"/>
    <w:rsid w:val="00C4286F"/>
    <w:rsid w:val="00C42F2E"/>
    <w:rsid w:val="00C4327D"/>
    <w:rsid w:val="00C43A4D"/>
    <w:rsid w:val="00C43A7E"/>
    <w:rsid w:val="00C441D1"/>
    <w:rsid w:val="00C4518E"/>
    <w:rsid w:val="00C45480"/>
    <w:rsid w:val="00C455C0"/>
    <w:rsid w:val="00C45673"/>
    <w:rsid w:val="00C45BFA"/>
    <w:rsid w:val="00C45CB2"/>
    <w:rsid w:val="00C45D68"/>
    <w:rsid w:val="00C45DC0"/>
    <w:rsid w:val="00C4645E"/>
    <w:rsid w:val="00C46616"/>
    <w:rsid w:val="00C46699"/>
    <w:rsid w:val="00C46926"/>
    <w:rsid w:val="00C46A32"/>
    <w:rsid w:val="00C46A74"/>
    <w:rsid w:val="00C46AFE"/>
    <w:rsid w:val="00C471EA"/>
    <w:rsid w:val="00C472A7"/>
    <w:rsid w:val="00C478B0"/>
    <w:rsid w:val="00C47971"/>
    <w:rsid w:val="00C50054"/>
    <w:rsid w:val="00C5037F"/>
    <w:rsid w:val="00C506A0"/>
    <w:rsid w:val="00C50BDC"/>
    <w:rsid w:val="00C51980"/>
    <w:rsid w:val="00C51A13"/>
    <w:rsid w:val="00C52009"/>
    <w:rsid w:val="00C520AF"/>
    <w:rsid w:val="00C52476"/>
    <w:rsid w:val="00C52737"/>
    <w:rsid w:val="00C527C0"/>
    <w:rsid w:val="00C52FC7"/>
    <w:rsid w:val="00C531EA"/>
    <w:rsid w:val="00C53247"/>
    <w:rsid w:val="00C53248"/>
    <w:rsid w:val="00C53480"/>
    <w:rsid w:val="00C535C5"/>
    <w:rsid w:val="00C539A1"/>
    <w:rsid w:val="00C53CFC"/>
    <w:rsid w:val="00C53E0E"/>
    <w:rsid w:val="00C540FC"/>
    <w:rsid w:val="00C5415C"/>
    <w:rsid w:val="00C5488E"/>
    <w:rsid w:val="00C54B3E"/>
    <w:rsid w:val="00C54D4A"/>
    <w:rsid w:val="00C55142"/>
    <w:rsid w:val="00C5532B"/>
    <w:rsid w:val="00C55463"/>
    <w:rsid w:val="00C55595"/>
    <w:rsid w:val="00C557B4"/>
    <w:rsid w:val="00C557DE"/>
    <w:rsid w:val="00C55EBA"/>
    <w:rsid w:val="00C55F19"/>
    <w:rsid w:val="00C56242"/>
    <w:rsid w:val="00C56A81"/>
    <w:rsid w:val="00C56B8A"/>
    <w:rsid w:val="00C56D36"/>
    <w:rsid w:val="00C56ED6"/>
    <w:rsid w:val="00C56F17"/>
    <w:rsid w:val="00C56F29"/>
    <w:rsid w:val="00C571D2"/>
    <w:rsid w:val="00C57747"/>
    <w:rsid w:val="00C57A6D"/>
    <w:rsid w:val="00C57ABE"/>
    <w:rsid w:val="00C57DDA"/>
    <w:rsid w:val="00C57E85"/>
    <w:rsid w:val="00C6037B"/>
    <w:rsid w:val="00C603B8"/>
    <w:rsid w:val="00C607B2"/>
    <w:rsid w:val="00C61497"/>
    <w:rsid w:val="00C61905"/>
    <w:rsid w:val="00C619BE"/>
    <w:rsid w:val="00C61B9B"/>
    <w:rsid w:val="00C61E23"/>
    <w:rsid w:val="00C61E95"/>
    <w:rsid w:val="00C61F58"/>
    <w:rsid w:val="00C62AC7"/>
    <w:rsid w:val="00C62AE0"/>
    <w:rsid w:val="00C62D4B"/>
    <w:rsid w:val="00C62ED6"/>
    <w:rsid w:val="00C63347"/>
    <w:rsid w:val="00C6384D"/>
    <w:rsid w:val="00C63A6F"/>
    <w:rsid w:val="00C63A97"/>
    <w:rsid w:val="00C63AA7"/>
    <w:rsid w:val="00C64469"/>
    <w:rsid w:val="00C64663"/>
    <w:rsid w:val="00C648B2"/>
    <w:rsid w:val="00C64B9D"/>
    <w:rsid w:val="00C64C8E"/>
    <w:rsid w:val="00C64D30"/>
    <w:rsid w:val="00C65069"/>
    <w:rsid w:val="00C6538A"/>
    <w:rsid w:val="00C654A5"/>
    <w:rsid w:val="00C6581A"/>
    <w:rsid w:val="00C65E12"/>
    <w:rsid w:val="00C65E21"/>
    <w:rsid w:val="00C66971"/>
    <w:rsid w:val="00C66A4F"/>
    <w:rsid w:val="00C66CB3"/>
    <w:rsid w:val="00C671CB"/>
    <w:rsid w:val="00C67399"/>
    <w:rsid w:val="00C6784A"/>
    <w:rsid w:val="00C67CB1"/>
    <w:rsid w:val="00C70087"/>
    <w:rsid w:val="00C70293"/>
    <w:rsid w:val="00C70CBC"/>
    <w:rsid w:val="00C70CCF"/>
    <w:rsid w:val="00C70D04"/>
    <w:rsid w:val="00C71049"/>
    <w:rsid w:val="00C7134F"/>
    <w:rsid w:val="00C717F2"/>
    <w:rsid w:val="00C7189F"/>
    <w:rsid w:val="00C71AC6"/>
    <w:rsid w:val="00C71B3D"/>
    <w:rsid w:val="00C72091"/>
    <w:rsid w:val="00C72326"/>
    <w:rsid w:val="00C727D0"/>
    <w:rsid w:val="00C72B74"/>
    <w:rsid w:val="00C7347E"/>
    <w:rsid w:val="00C73AEB"/>
    <w:rsid w:val="00C73CAE"/>
    <w:rsid w:val="00C74580"/>
    <w:rsid w:val="00C74C0F"/>
    <w:rsid w:val="00C75013"/>
    <w:rsid w:val="00C75673"/>
    <w:rsid w:val="00C75DD5"/>
    <w:rsid w:val="00C7690D"/>
    <w:rsid w:val="00C76962"/>
    <w:rsid w:val="00C76A3C"/>
    <w:rsid w:val="00C773B2"/>
    <w:rsid w:val="00C77677"/>
    <w:rsid w:val="00C77E55"/>
    <w:rsid w:val="00C77FC5"/>
    <w:rsid w:val="00C800FE"/>
    <w:rsid w:val="00C80456"/>
    <w:rsid w:val="00C806AD"/>
    <w:rsid w:val="00C80807"/>
    <w:rsid w:val="00C808BC"/>
    <w:rsid w:val="00C80C2F"/>
    <w:rsid w:val="00C819BC"/>
    <w:rsid w:val="00C81DBC"/>
    <w:rsid w:val="00C81F06"/>
    <w:rsid w:val="00C81FFF"/>
    <w:rsid w:val="00C8288C"/>
    <w:rsid w:val="00C828B5"/>
    <w:rsid w:val="00C82E79"/>
    <w:rsid w:val="00C82E8D"/>
    <w:rsid w:val="00C82F23"/>
    <w:rsid w:val="00C833A5"/>
    <w:rsid w:val="00C83866"/>
    <w:rsid w:val="00C8435B"/>
    <w:rsid w:val="00C84364"/>
    <w:rsid w:val="00C85099"/>
    <w:rsid w:val="00C856C6"/>
    <w:rsid w:val="00C8588A"/>
    <w:rsid w:val="00C85BFD"/>
    <w:rsid w:val="00C85D32"/>
    <w:rsid w:val="00C85E27"/>
    <w:rsid w:val="00C860DF"/>
    <w:rsid w:val="00C86230"/>
    <w:rsid w:val="00C867C5"/>
    <w:rsid w:val="00C8713D"/>
    <w:rsid w:val="00C87212"/>
    <w:rsid w:val="00C87329"/>
    <w:rsid w:val="00C873DB"/>
    <w:rsid w:val="00C876EC"/>
    <w:rsid w:val="00C877A3"/>
    <w:rsid w:val="00C877B1"/>
    <w:rsid w:val="00C87DF4"/>
    <w:rsid w:val="00C87F9E"/>
    <w:rsid w:val="00C901A7"/>
    <w:rsid w:val="00C90D46"/>
    <w:rsid w:val="00C92306"/>
    <w:rsid w:val="00C92A20"/>
    <w:rsid w:val="00C92A77"/>
    <w:rsid w:val="00C92F3C"/>
    <w:rsid w:val="00C931C5"/>
    <w:rsid w:val="00C93742"/>
    <w:rsid w:val="00C93DE0"/>
    <w:rsid w:val="00C94A84"/>
    <w:rsid w:val="00C951AF"/>
    <w:rsid w:val="00C9532D"/>
    <w:rsid w:val="00C953A8"/>
    <w:rsid w:val="00C96213"/>
    <w:rsid w:val="00C9641A"/>
    <w:rsid w:val="00C96706"/>
    <w:rsid w:val="00C96AA4"/>
    <w:rsid w:val="00C97408"/>
    <w:rsid w:val="00C976CF"/>
    <w:rsid w:val="00C97BAB"/>
    <w:rsid w:val="00C97F17"/>
    <w:rsid w:val="00CA0075"/>
    <w:rsid w:val="00CA01CD"/>
    <w:rsid w:val="00CA074F"/>
    <w:rsid w:val="00CA081F"/>
    <w:rsid w:val="00CA18BE"/>
    <w:rsid w:val="00CA1D44"/>
    <w:rsid w:val="00CA1DD5"/>
    <w:rsid w:val="00CA204C"/>
    <w:rsid w:val="00CA2872"/>
    <w:rsid w:val="00CA2975"/>
    <w:rsid w:val="00CA2CB6"/>
    <w:rsid w:val="00CA3034"/>
    <w:rsid w:val="00CA306B"/>
    <w:rsid w:val="00CA3246"/>
    <w:rsid w:val="00CA3803"/>
    <w:rsid w:val="00CA423B"/>
    <w:rsid w:val="00CA4344"/>
    <w:rsid w:val="00CA4D68"/>
    <w:rsid w:val="00CA4E61"/>
    <w:rsid w:val="00CA5494"/>
    <w:rsid w:val="00CA591E"/>
    <w:rsid w:val="00CA596E"/>
    <w:rsid w:val="00CA5CC6"/>
    <w:rsid w:val="00CA5DB4"/>
    <w:rsid w:val="00CA5E12"/>
    <w:rsid w:val="00CA64BF"/>
    <w:rsid w:val="00CA6532"/>
    <w:rsid w:val="00CA67C0"/>
    <w:rsid w:val="00CA6C41"/>
    <w:rsid w:val="00CA7487"/>
    <w:rsid w:val="00CA77BB"/>
    <w:rsid w:val="00CA7833"/>
    <w:rsid w:val="00CB0121"/>
    <w:rsid w:val="00CB0363"/>
    <w:rsid w:val="00CB03F9"/>
    <w:rsid w:val="00CB063A"/>
    <w:rsid w:val="00CB09DD"/>
    <w:rsid w:val="00CB0A12"/>
    <w:rsid w:val="00CB0AFB"/>
    <w:rsid w:val="00CB0E43"/>
    <w:rsid w:val="00CB1575"/>
    <w:rsid w:val="00CB2327"/>
    <w:rsid w:val="00CB2355"/>
    <w:rsid w:val="00CB25DD"/>
    <w:rsid w:val="00CB2D67"/>
    <w:rsid w:val="00CB2FB0"/>
    <w:rsid w:val="00CB3506"/>
    <w:rsid w:val="00CB37DB"/>
    <w:rsid w:val="00CB39FD"/>
    <w:rsid w:val="00CB3F40"/>
    <w:rsid w:val="00CB446B"/>
    <w:rsid w:val="00CB44D7"/>
    <w:rsid w:val="00CB4504"/>
    <w:rsid w:val="00CB450B"/>
    <w:rsid w:val="00CB46F1"/>
    <w:rsid w:val="00CB4F41"/>
    <w:rsid w:val="00CB5242"/>
    <w:rsid w:val="00CB543E"/>
    <w:rsid w:val="00CB56EF"/>
    <w:rsid w:val="00CB5910"/>
    <w:rsid w:val="00CB63F0"/>
    <w:rsid w:val="00CB6840"/>
    <w:rsid w:val="00CB6AC0"/>
    <w:rsid w:val="00CB7396"/>
    <w:rsid w:val="00CB7503"/>
    <w:rsid w:val="00CB75F3"/>
    <w:rsid w:val="00CB7809"/>
    <w:rsid w:val="00CB7BA1"/>
    <w:rsid w:val="00CC033C"/>
    <w:rsid w:val="00CC076B"/>
    <w:rsid w:val="00CC08A0"/>
    <w:rsid w:val="00CC08F0"/>
    <w:rsid w:val="00CC08FA"/>
    <w:rsid w:val="00CC09F0"/>
    <w:rsid w:val="00CC0D7F"/>
    <w:rsid w:val="00CC1327"/>
    <w:rsid w:val="00CC15BB"/>
    <w:rsid w:val="00CC15D2"/>
    <w:rsid w:val="00CC1A6E"/>
    <w:rsid w:val="00CC1D22"/>
    <w:rsid w:val="00CC1F61"/>
    <w:rsid w:val="00CC213E"/>
    <w:rsid w:val="00CC229A"/>
    <w:rsid w:val="00CC2654"/>
    <w:rsid w:val="00CC290D"/>
    <w:rsid w:val="00CC3CFF"/>
    <w:rsid w:val="00CC3D70"/>
    <w:rsid w:val="00CC401E"/>
    <w:rsid w:val="00CC4189"/>
    <w:rsid w:val="00CC43F7"/>
    <w:rsid w:val="00CC46D2"/>
    <w:rsid w:val="00CC46FF"/>
    <w:rsid w:val="00CC4A58"/>
    <w:rsid w:val="00CC4C9A"/>
    <w:rsid w:val="00CC4E1E"/>
    <w:rsid w:val="00CC4F2A"/>
    <w:rsid w:val="00CC53EE"/>
    <w:rsid w:val="00CC5EF1"/>
    <w:rsid w:val="00CC6322"/>
    <w:rsid w:val="00CC63C7"/>
    <w:rsid w:val="00CC6A8B"/>
    <w:rsid w:val="00CC6B78"/>
    <w:rsid w:val="00CC7283"/>
    <w:rsid w:val="00CC7556"/>
    <w:rsid w:val="00CC7976"/>
    <w:rsid w:val="00CD05D3"/>
    <w:rsid w:val="00CD067D"/>
    <w:rsid w:val="00CD07A2"/>
    <w:rsid w:val="00CD0D08"/>
    <w:rsid w:val="00CD0E6D"/>
    <w:rsid w:val="00CD0EF2"/>
    <w:rsid w:val="00CD2111"/>
    <w:rsid w:val="00CD2677"/>
    <w:rsid w:val="00CD2753"/>
    <w:rsid w:val="00CD2808"/>
    <w:rsid w:val="00CD29C5"/>
    <w:rsid w:val="00CD3773"/>
    <w:rsid w:val="00CD3B99"/>
    <w:rsid w:val="00CD40E7"/>
    <w:rsid w:val="00CD430C"/>
    <w:rsid w:val="00CD4612"/>
    <w:rsid w:val="00CD4FBB"/>
    <w:rsid w:val="00CD543D"/>
    <w:rsid w:val="00CD56C3"/>
    <w:rsid w:val="00CD5CE4"/>
    <w:rsid w:val="00CD5E02"/>
    <w:rsid w:val="00CD5FA2"/>
    <w:rsid w:val="00CD6386"/>
    <w:rsid w:val="00CD6889"/>
    <w:rsid w:val="00CD6B40"/>
    <w:rsid w:val="00CD6E0F"/>
    <w:rsid w:val="00CD71E0"/>
    <w:rsid w:val="00CD7675"/>
    <w:rsid w:val="00CD79FD"/>
    <w:rsid w:val="00CD7A08"/>
    <w:rsid w:val="00CD7AF6"/>
    <w:rsid w:val="00CE01BF"/>
    <w:rsid w:val="00CE020B"/>
    <w:rsid w:val="00CE09A2"/>
    <w:rsid w:val="00CE0E12"/>
    <w:rsid w:val="00CE14CE"/>
    <w:rsid w:val="00CE1574"/>
    <w:rsid w:val="00CE16C2"/>
    <w:rsid w:val="00CE2810"/>
    <w:rsid w:val="00CE3415"/>
    <w:rsid w:val="00CE344A"/>
    <w:rsid w:val="00CE421D"/>
    <w:rsid w:val="00CE4474"/>
    <w:rsid w:val="00CE4574"/>
    <w:rsid w:val="00CE4F8B"/>
    <w:rsid w:val="00CE51C3"/>
    <w:rsid w:val="00CE52F2"/>
    <w:rsid w:val="00CE550D"/>
    <w:rsid w:val="00CE5ACD"/>
    <w:rsid w:val="00CE6173"/>
    <w:rsid w:val="00CE61B5"/>
    <w:rsid w:val="00CE61F2"/>
    <w:rsid w:val="00CE6465"/>
    <w:rsid w:val="00CE67CC"/>
    <w:rsid w:val="00CE71E7"/>
    <w:rsid w:val="00CE72EF"/>
    <w:rsid w:val="00CE7CC4"/>
    <w:rsid w:val="00CF0011"/>
    <w:rsid w:val="00CF03EC"/>
    <w:rsid w:val="00CF0431"/>
    <w:rsid w:val="00CF0AA3"/>
    <w:rsid w:val="00CF128F"/>
    <w:rsid w:val="00CF1729"/>
    <w:rsid w:val="00CF1AC5"/>
    <w:rsid w:val="00CF1C91"/>
    <w:rsid w:val="00CF1F38"/>
    <w:rsid w:val="00CF215C"/>
    <w:rsid w:val="00CF27C4"/>
    <w:rsid w:val="00CF2D6D"/>
    <w:rsid w:val="00CF38E2"/>
    <w:rsid w:val="00CF39FB"/>
    <w:rsid w:val="00CF3D99"/>
    <w:rsid w:val="00CF3F04"/>
    <w:rsid w:val="00CF4138"/>
    <w:rsid w:val="00CF4259"/>
    <w:rsid w:val="00CF42C2"/>
    <w:rsid w:val="00CF43D2"/>
    <w:rsid w:val="00CF5658"/>
    <w:rsid w:val="00CF6007"/>
    <w:rsid w:val="00CF60AA"/>
    <w:rsid w:val="00CF66F7"/>
    <w:rsid w:val="00CF6E52"/>
    <w:rsid w:val="00CF77BA"/>
    <w:rsid w:val="00CF7EF8"/>
    <w:rsid w:val="00CF7FAD"/>
    <w:rsid w:val="00D0023C"/>
    <w:rsid w:val="00D0030C"/>
    <w:rsid w:val="00D00590"/>
    <w:rsid w:val="00D009D3"/>
    <w:rsid w:val="00D009E0"/>
    <w:rsid w:val="00D00D91"/>
    <w:rsid w:val="00D015ED"/>
    <w:rsid w:val="00D01A74"/>
    <w:rsid w:val="00D01F4D"/>
    <w:rsid w:val="00D024D5"/>
    <w:rsid w:val="00D0282B"/>
    <w:rsid w:val="00D02E04"/>
    <w:rsid w:val="00D02F87"/>
    <w:rsid w:val="00D033D9"/>
    <w:rsid w:val="00D038CD"/>
    <w:rsid w:val="00D0421D"/>
    <w:rsid w:val="00D04338"/>
    <w:rsid w:val="00D04340"/>
    <w:rsid w:val="00D044C8"/>
    <w:rsid w:val="00D045FD"/>
    <w:rsid w:val="00D04980"/>
    <w:rsid w:val="00D04A98"/>
    <w:rsid w:val="00D04ACC"/>
    <w:rsid w:val="00D04C46"/>
    <w:rsid w:val="00D04F45"/>
    <w:rsid w:val="00D05059"/>
    <w:rsid w:val="00D0589B"/>
    <w:rsid w:val="00D05A70"/>
    <w:rsid w:val="00D05DD5"/>
    <w:rsid w:val="00D05EE5"/>
    <w:rsid w:val="00D064E8"/>
    <w:rsid w:val="00D06731"/>
    <w:rsid w:val="00D06D48"/>
    <w:rsid w:val="00D06E46"/>
    <w:rsid w:val="00D06ED6"/>
    <w:rsid w:val="00D06FDC"/>
    <w:rsid w:val="00D075A0"/>
    <w:rsid w:val="00D07AA8"/>
    <w:rsid w:val="00D07B36"/>
    <w:rsid w:val="00D07F6D"/>
    <w:rsid w:val="00D102C1"/>
    <w:rsid w:val="00D1082A"/>
    <w:rsid w:val="00D10D9C"/>
    <w:rsid w:val="00D10EDF"/>
    <w:rsid w:val="00D11540"/>
    <w:rsid w:val="00D115F1"/>
    <w:rsid w:val="00D1176E"/>
    <w:rsid w:val="00D117D3"/>
    <w:rsid w:val="00D11953"/>
    <w:rsid w:val="00D11D9A"/>
    <w:rsid w:val="00D11E85"/>
    <w:rsid w:val="00D121CE"/>
    <w:rsid w:val="00D12429"/>
    <w:rsid w:val="00D12516"/>
    <w:rsid w:val="00D1276A"/>
    <w:rsid w:val="00D12C5E"/>
    <w:rsid w:val="00D12EA3"/>
    <w:rsid w:val="00D12F56"/>
    <w:rsid w:val="00D13009"/>
    <w:rsid w:val="00D135CE"/>
    <w:rsid w:val="00D1366F"/>
    <w:rsid w:val="00D138C1"/>
    <w:rsid w:val="00D13C72"/>
    <w:rsid w:val="00D13C7C"/>
    <w:rsid w:val="00D13DBC"/>
    <w:rsid w:val="00D13DC8"/>
    <w:rsid w:val="00D13EE8"/>
    <w:rsid w:val="00D13FAA"/>
    <w:rsid w:val="00D1400A"/>
    <w:rsid w:val="00D14177"/>
    <w:rsid w:val="00D14286"/>
    <w:rsid w:val="00D14404"/>
    <w:rsid w:val="00D14642"/>
    <w:rsid w:val="00D147E6"/>
    <w:rsid w:val="00D1486F"/>
    <w:rsid w:val="00D15E77"/>
    <w:rsid w:val="00D161B8"/>
    <w:rsid w:val="00D161E4"/>
    <w:rsid w:val="00D16467"/>
    <w:rsid w:val="00D1688B"/>
    <w:rsid w:val="00D17F7E"/>
    <w:rsid w:val="00D20371"/>
    <w:rsid w:val="00D205EF"/>
    <w:rsid w:val="00D20DE1"/>
    <w:rsid w:val="00D20F80"/>
    <w:rsid w:val="00D20F8B"/>
    <w:rsid w:val="00D21125"/>
    <w:rsid w:val="00D218FB"/>
    <w:rsid w:val="00D21D6B"/>
    <w:rsid w:val="00D21F77"/>
    <w:rsid w:val="00D229E4"/>
    <w:rsid w:val="00D22C90"/>
    <w:rsid w:val="00D22D1A"/>
    <w:rsid w:val="00D22FE2"/>
    <w:rsid w:val="00D23422"/>
    <w:rsid w:val="00D23640"/>
    <w:rsid w:val="00D23792"/>
    <w:rsid w:val="00D23B7D"/>
    <w:rsid w:val="00D23C87"/>
    <w:rsid w:val="00D23D2E"/>
    <w:rsid w:val="00D23E8D"/>
    <w:rsid w:val="00D245D5"/>
    <w:rsid w:val="00D245DA"/>
    <w:rsid w:val="00D24B47"/>
    <w:rsid w:val="00D251D8"/>
    <w:rsid w:val="00D25481"/>
    <w:rsid w:val="00D259C7"/>
    <w:rsid w:val="00D25E94"/>
    <w:rsid w:val="00D26037"/>
    <w:rsid w:val="00D263DF"/>
    <w:rsid w:val="00D2678B"/>
    <w:rsid w:val="00D26C05"/>
    <w:rsid w:val="00D26E8C"/>
    <w:rsid w:val="00D271B5"/>
    <w:rsid w:val="00D275D7"/>
    <w:rsid w:val="00D2761F"/>
    <w:rsid w:val="00D2778A"/>
    <w:rsid w:val="00D278C5"/>
    <w:rsid w:val="00D27B26"/>
    <w:rsid w:val="00D300EA"/>
    <w:rsid w:val="00D30338"/>
    <w:rsid w:val="00D30E4D"/>
    <w:rsid w:val="00D3120C"/>
    <w:rsid w:val="00D312A0"/>
    <w:rsid w:val="00D31919"/>
    <w:rsid w:val="00D31A27"/>
    <w:rsid w:val="00D31B0A"/>
    <w:rsid w:val="00D31C25"/>
    <w:rsid w:val="00D31E65"/>
    <w:rsid w:val="00D3201D"/>
    <w:rsid w:val="00D32286"/>
    <w:rsid w:val="00D3263B"/>
    <w:rsid w:val="00D32689"/>
    <w:rsid w:val="00D327D8"/>
    <w:rsid w:val="00D32D60"/>
    <w:rsid w:val="00D33630"/>
    <w:rsid w:val="00D337D5"/>
    <w:rsid w:val="00D3463C"/>
    <w:rsid w:val="00D34879"/>
    <w:rsid w:val="00D3489B"/>
    <w:rsid w:val="00D3495E"/>
    <w:rsid w:val="00D34A07"/>
    <w:rsid w:val="00D34F62"/>
    <w:rsid w:val="00D3504B"/>
    <w:rsid w:val="00D352E0"/>
    <w:rsid w:val="00D35555"/>
    <w:rsid w:val="00D359DA"/>
    <w:rsid w:val="00D359DD"/>
    <w:rsid w:val="00D35F1C"/>
    <w:rsid w:val="00D36506"/>
    <w:rsid w:val="00D3677C"/>
    <w:rsid w:val="00D36834"/>
    <w:rsid w:val="00D36B69"/>
    <w:rsid w:val="00D36E10"/>
    <w:rsid w:val="00D3725E"/>
    <w:rsid w:val="00D37627"/>
    <w:rsid w:val="00D37680"/>
    <w:rsid w:val="00D3778C"/>
    <w:rsid w:val="00D40214"/>
    <w:rsid w:val="00D406DE"/>
    <w:rsid w:val="00D40935"/>
    <w:rsid w:val="00D40EDB"/>
    <w:rsid w:val="00D41039"/>
    <w:rsid w:val="00D41602"/>
    <w:rsid w:val="00D4176C"/>
    <w:rsid w:val="00D41F47"/>
    <w:rsid w:val="00D420FB"/>
    <w:rsid w:val="00D4219B"/>
    <w:rsid w:val="00D42398"/>
    <w:rsid w:val="00D427E0"/>
    <w:rsid w:val="00D42938"/>
    <w:rsid w:val="00D42BCF"/>
    <w:rsid w:val="00D43103"/>
    <w:rsid w:val="00D4311A"/>
    <w:rsid w:val="00D43225"/>
    <w:rsid w:val="00D434D7"/>
    <w:rsid w:val="00D43941"/>
    <w:rsid w:val="00D43C5D"/>
    <w:rsid w:val="00D44622"/>
    <w:rsid w:val="00D44B26"/>
    <w:rsid w:val="00D453FD"/>
    <w:rsid w:val="00D4565B"/>
    <w:rsid w:val="00D4580F"/>
    <w:rsid w:val="00D45A3D"/>
    <w:rsid w:val="00D45D35"/>
    <w:rsid w:val="00D46453"/>
    <w:rsid w:val="00D465D7"/>
    <w:rsid w:val="00D473EE"/>
    <w:rsid w:val="00D47793"/>
    <w:rsid w:val="00D47A80"/>
    <w:rsid w:val="00D47AAF"/>
    <w:rsid w:val="00D50182"/>
    <w:rsid w:val="00D50213"/>
    <w:rsid w:val="00D5032A"/>
    <w:rsid w:val="00D5072C"/>
    <w:rsid w:val="00D508D0"/>
    <w:rsid w:val="00D50A75"/>
    <w:rsid w:val="00D50FE5"/>
    <w:rsid w:val="00D5142F"/>
    <w:rsid w:val="00D51504"/>
    <w:rsid w:val="00D51982"/>
    <w:rsid w:val="00D5278D"/>
    <w:rsid w:val="00D52F52"/>
    <w:rsid w:val="00D53604"/>
    <w:rsid w:val="00D536C3"/>
    <w:rsid w:val="00D53C0C"/>
    <w:rsid w:val="00D54090"/>
    <w:rsid w:val="00D5430F"/>
    <w:rsid w:val="00D54631"/>
    <w:rsid w:val="00D54BE1"/>
    <w:rsid w:val="00D54D95"/>
    <w:rsid w:val="00D54E14"/>
    <w:rsid w:val="00D54E3C"/>
    <w:rsid w:val="00D54EB8"/>
    <w:rsid w:val="00D55405"/>
    <w:rsid w:val="00D56836"/>
    <w:rsid w:val="00D56A9D"/>
    <w:rsid w:val="00D56B5E"/>
    <w:rsid w:val="00D56D0D"/>
    <w:rsid w:val="00D56F1A"/>
    <w:rsid w:val="00D56F86"/>
    <w:rsid w:val="00D57B0B"/>
    <w:rsid w:val="00D57B3F"/>
    <w:rsid w:val="00D57EA2"/>
    <w:rsid w:val="00D60321"/>
    <w:rsid w:val="00D60C3F"/>
    <w:rsid w:val="00D60C8A"/>
    <w:rsid w:val="00D60D2A"/>
    <w:rsid w:val="00D611ED"/>
    <w:rsid w:val="00D61500"/>
    <w:rsid w:val="00D6187D"/>
    <w:rsid w:val="00D61CCC"/>
    <w:rsid w:val="00D62227"/>
    <w:rsid w:val="00D627C6"/>
    <w:rsid w:val="00D62B0F"/>
    <w:rsid w:val="00D63111"/>
    <w:rsid w:val="00D638BB"/>
    <w:rsid w:val="00D64066"/>
    <w:rsid w:val="00D64119"/>
    <w:rsid w:val="00D646D0"/>
    <w:rsid w:val="00D647FF"/>
    <w:rsid w:val="00D64869"/>
    <w:rsid w:val="00D64897"/>
    <w:rsid w:val="00D64DC7"/>
    <w:rsid w:val="00D65076"/>
    <w:rsid w:val="00D655BC"/>
    <w:rsid w:val="00D656D9"/>
    <w:rsid w:val="00D657C5"/>
    <w:rsid w:val="00D659FC"/>
    <w:rsid w:val="00D6612E"/>
    <w:rsid w:val="00D66219"/>
    <w:rsid w:val="00D664FD"/>
    <w:rsid w:val="00D665E2"/>
    <w:rsid w:val="00D67285"/>
    <w:rsid w:val="00D679BD"/>
    <w:rsid w:val="00D679D1"/>
    <w:rsid w:val="00D67ABD"/>
    <w:rsid w:val="00D67B9B"/>
    <w:rsid w:val="00D7061D"/>
    <w:rsid w:val="00D70B3F"/>
    <w:rsid w:val="00D7102A"/>
    <w:rsid w:val="00D716D1"/>
    <w:rsid w:val="00D71B16"/>
    <w:rsid w:val="00D71BBA"/>
    <w:rsid w:val="00D71C25"/>
    <w:rsid w:val="00D71FE9"/>
    <w:rsid w:val="00D72181"/>
    <w:rsid w:val="00D7293B"/>
    <w:rsid w:val="00D72ACB"/>
    <w:rsid w:val="00D73948"/>
    <w:rsid w:val="00D744EC"/>
    <w:rsid w:val="00D747F9"/>
    <w:rsid w:val="00D74E90"/>
    <w:rsid w:val="00D75789"/>
    <w:rsid w:val="00D75A51"/>
    <w:rsid w:val="00D75D06"/>
    <w:rsid w:val="00D75DFE"/>
    <w:rsid w:val="00D7676A"/>
    <w:rsid w:val="00D76911"/>
    <w:rsid w:val="00D76C82"/>
    <w:rsid w:val="00D7731A"/>
    <w:rsid w:val="00D77335"/>
    <w:rsid w:val="00D77357"/>
    <w:rsid w:val="00D77519"/>
    <w:rsid w:val="00D77647"/>
    <w:rsid w:val="00D77C73"/>
    <w:rsid w:val="00D80080"/>
    <w:rsid w:val="00D80136"/>
    <w:rsid w:val="00D80261"/>
    <w:rsid w:val="00D8035B"/>
    <w:rsid w:val="00D8039E"/>
    <w:rsid w:val="00D80D19"/>
    <w:rsid w:val="00D80FE0"/>
    <w:rsid w:val="00D8122F"/>
    <w:rsid w:val="00D81AB5"/>
    <w:rsid w:val="00D81D31"/>
    <w:rsid w:val="00D81F5A"/>
    <w:rsid w:val="00D823D0"/>
    <w:rsid w:val="00D828C5"/>
    <w:rsid w:val="00D82FCE"/>
    <w:rsid w:val="00D8364E"/>
    <w:rsid w:val="00D839DF"/>
    <w:rsid w:val="00D83B20"/>
    <w:rsid w:val="00D83F3D"/>
    <w:rsid w:val="00D840C5"/>
    <w:rsid w:val="00D84600"/>
    <w:rsid w:val="00D84618"/>
    <w:rsid w:val="00D8472F"/>
    <w:rsid w:val="00D84CD6"/>
    <w:rsid w:val="00D85DD6"/>
    <w:rsid w:val="00D85F67"/>
    <w:rsid w:val="00D8612E"/>
    <w:rsid w:val="00D861E6"/>
    <w:rsid w:val="00D8655C"/>
    <w:rsid w:val="00D865E6"/>
    <w:rsid w:val="00D86D87"/>
    <w:rsid w:val="00D87415"/>
    <w:rsid w:val="00D87442"/>
    <w:rsid w:val="00D87821"/>
    <w:rsid w:val="00D87C28"/>
    <w:rsid w:val="00D900D2"/>
    <w:rsid w:val="00D90237"/>
    <w:rsid w:val="00D9027D"/>
    <w:rsid w:val="00D905B9"/>
    <w:rsid w:val="00D90676"/>
    <w:rsid w:val="00D906CB"/>
    <w:rsid w:val="00D906E3"/>
    <w:rsid w:val="00D90C0E"/>
    <w:rsid w:val="00D90D4F"/>
    <w:rsid w:val="00D9119C"/>
    <w:rsid w:val="00D913B0"/>
    <w:rsid w:val="00D9152A"/>
    <w:rsid w:val="00D91719"/>
    <w:rsid w:val="00D91B16"/>
    <w:rsid w:val="00D91D03"/>
    <w:rsid w:val="00D9234D"/>
    <w:rsid w:val="00D93045"/>
    <w:rsid w:val="00D93153"/>
    <w:rsid w:val="00D93179"/>
    <w:rsid w:val="00D9365E"/>
    <w:rsid w:val="00D93834"/>
    <w:rsid w:val="00D93A76"/>
    <w:rsid w:val="00D94162"/>
    <w:rsid w:val="00D943FC"/>
    <w:rsid w:val="00D945E8"/>
    <w:rsid w:val="00D947F0"/>
    <w:rsid w:val="00D949EF"/>
    <w:rsid w:val="00D94DD3"/>
    <w:rsid w:val="00D94E91"/>
    <w:rsid w:val="00D95088"/>
    <w:rsid w:val="00D9538F"/>
    <w:rsid w:val="00D956B2"/>
    <w:rsid w:val="00D95958"/>
    <w:rsid w:val="00D9595E"/>
    <w:rsid w:val="00D95ACF"/>
    <w:rsid w:val="00D95B54"/>
    <w:rsid w:val="00D9615F"/>
    <w:rsid w:val="00D963A6"/>
    <w:rsid w:val="00D96730"/>
    <w:rsid w:val="00D967B5"/>
    <w:rsid w:val="00D97045"/>
    <w:rsid w:val="00D97139"/>
    <w:rsid w:val="00D97186"/>
    <w:rsid w:val="00D9766F"/>
    <w:rsid w:val="00D97A40"/>
    <w:rsid w:val="00D97B8B"/>
    <w:rsid w:val="00D97EE3"/>
    <w:rsid w:val="00DA01BD"/>
    <w:rsid w:val="00DA06A0"/>
    <w:rsid w:val="00DA0B1B"/>
    <w:rsid w:val="00DA0FED"/>
    <w:rsid w:val="00DA12A2"/>
    <w:rsid w:val="00DA186F"/>
    <w:rsid w:val="00DA1BA8"/>
    <w:rsid w:val="00DA1DA8"/>
    <w:rsid w:val="00DA1E7C"/>
    <w:rsid w:val="00DA226A"/>
    <w:rsid w:val="00DA24EF"/>
    <w:rsid w:val="00DA2637"/>
    <w:rsid w:val="00DA27D2"/>
    <w:rsid w:val="00DA3B9D"/>
    <w:rsid w:val="00DA4229"/>
    <w:rsid w:val="00DA42E8"/>
    <w:rsid w:val="00DA43E8"/>
    <w:rsid w:val="00DA4545"/>
    <w:rsid w:val="00DA47C6"/>
    <w:rsid w:val="00DA4BEB"/>
    <w:rsid w:val="00DA4F68"/>
    <w:rsid w:val="00DA5485"/>
    <w:rsid w:val="00DA5533"/>
    <w:rsid w:val="00DA5583"/>
    <w:rsid w:val="00DA569F"/>
    <w:rsid w:val="00DA5928"/>
    <w:rsid w:val="00DA61FF"/>
    <w:rsid w:val="00DA64A0"/>
    <w:rsid w:val="00DA6739"/>
    <w:rsid w:val="00DA6C2C"/>
    <w:rsid w:val="00DA7147"/>
    <w:rsid w:val="00DA71C5"/>
    <w:rsid w:val="00DA724E"/>
    <w:rsid w:val="00DA744B"/>
    <w:rsid w:val="00DA767A"/>
    <w:rsid w:val="00DA777D"/>
    <w:rsid w:val="00DA77CF"/>
    <w:rsid w:val="00DA7D03"/>
    <w:rsid w:val="00DA7F09"/>
    <w:rsid w:val="00DB02D5"/>
    <w:rsid w:val="00DB048F"/>
    <w:rsid w:val="00DB049C"/>
    <w:rsid w:val="00DB0602"/>
    <w:rsid w:val="00DB0795"/>
    <w:rsid w:val="00DB0F43"/>
    <w:rsid w:val="00DB1219"/>
    <w:rsid w:val="00DB1299"/>
    <w:rsid w:val="00DB13A0"/>
    <w:rsid w:val="00DB17B3"/>
    <w:rsid w:val="00DB1A47"/>
    <w:rsid w:val="00DB1AA3"/>
    <w:rsid w:val="00DB20D5"/>
    <w:rsid w:val="00DB21BA"/>
    <w:rsid w:val="00DB245C"/>
    <w:rsid w:val="00DB2714"/>
    <w:rsid w:val="00DB2B46"/>
    <w:rsid w:val="00DB32D8"/>
    <w:rsid w:val="00DB32FE"/>
    <w:rsid w:val="00DB392F"/>
    <w:rsid w:val="00DB3D73"/>
    <w:rsid w:val="00DB41FE"/>
    <w:rsid w:val="00DB42F6"/>
    <w:rsid w:val="00DB4787"/>
    <w:rsid w:val="00DB4A7A"/>
    <w:rsid w:val="00DB4C68"/>
    <w:rsid w:val="00DB4DD0"/>
    <w:rsid w:val="00DB4E8B"/>
    <w:rsid w:val="00DB4FC9"/>
    <w:rsid w:val="00DB51EB"/>
    <w:rsid w:val="00DB5D6F"/>
    <w:rsid w:val="00DB6962"/>
    <w:rsid w:val="00DB6E69"/>
    <w:rsid w:val="00DB700C"/>
    <w:rsid w:val="00DB7363"/>
    <w:rsid w:val="00DB73C1"/>
    <w:rsid w:val="00DB7508"/>
    <w:rsid w:val="00DB76A1"/>
    <w:rsid w:val="00DB76FD"/>
    <w:rsid w:val="00DB7EC4"/>
    <w:rsid w:val="00DC00C1"/>
    <w:rsid w:val="00DC00CD"/>
    <w:rsid w:val="00DC038E"/>
    <w:rsid w:val="00DC03A2"/>
    <w:rsid w:val="00DC03E2"/>
    <w:rsid w:val="00DC0438"/>
    <w:rsid w:val="00DC051F"/>
    <w:rsid w:val="00DC0799"/>
    <w:rsid w:val="00DC079D"/>
    <w:rsid w:val="00DC0DA7"/>
    <w:rsid w:val="00DC1491"/>
    <w:rsid w:val="00DC1BB0"/>
    <w:rsid w:val="00DC1EB1"/>
    <w:rsid w:val="00DC2020"/>
    <w:rsid w:val="00DC272A"/>
    <w:rsid w:val="00DC2A0E"/>
    <w:rsid w:val="00DC2AA1"/>
    <w:rsid w:val="00DC2D94"/>
    <w:rsid w:val="00DC2ED7"/>
    <w:rsid w:val="00DC2F0D"/>
    <w:rsid w:val="00DC3054"/>
    <w:rsid w:val="00DC3795"/>
    <w:rsid w:val="00DC384C"/>
    <w:rsid w:val="00DC3B61"/>
    <w:rsid w:val="00DC404B"/>
    <w:rsid w:val="00DC422D"/>
    <w:rsid w:val="00DC43C4"/>
    <w:rsid w:val="00DC479F"/>
    <w:rsid w:val="00DC4B99"/>
    <w:rsid w:val="00DC500A"/>
    <w:rsid w:val="00DC508E"/>
    <w:rsid w:val="00DC52C4"/>
    <w:rsid w:val="00DC5840"/>
    <w:rsid w:val="00DC5894"/>
    <w:rsid w:val="00DC5A3D"/>
    <w:rsid w:val="00DC6240"/>
    <w:rsid w:val="00DC64E5"/>
    <w:rsid w:val="00DC670D"/>
    <w:rsid w:val="00DC69FC"/>
    <w:rsid w:val="00DC7911"/>
    <w:rsid w:val="00DC7B48"/>
    <w:rsid w:val="00DD000A"/>
    <w:rsid w:val="00DD0416"/>
    <w:rsid w:val="00DD096C"/>
    <w:rsid w:val="00DD0F35"/>
    <w:rsid w:val="00DD113B"/>
    <w:rsid w:val="00DD148B"/>
    <w:rsid w:val="00DD15B1"/>
    <w:rsid w:val="00DD15DF"/>
    <w:rsid w:val="00DD17ED"/>
    <w:rsid w:val="00DD1A8C"/>
    <w:rsid w:val="00DD1BE0"/>
    <w:rsid w:val="00DD1E80"/>
    <w:rsid w:val="00DD2055"/>
    <w:rsid w:val="00DD2426"/>
    <w:rsid w:val="00DD2589"/>
    <w:rsid w:val="00DD275D"/>
    <w:rsid w:val="00DD283E"/>
    <w:rsid w:val="00DD2CA8"/>
    <w:rsid w:val="00DD3510"/>
    <w:rsid w:val="00DD35A3"/>
    <w:rsid w:val="00DD3759"/>
    <w:rsid w:val="00DD38B7"/>
    <w:rsid w:val="00DD390C"/>
    <w:rsid w:val="00DD3F3B"/>
    <w:rsid w:val="00DD43BA"/>
    <w:rsid w:val="00DD45E3"/>
    <w:rsid w:val="00DD4619"/>
    <w:rsid w:val="00DD4C4D"/>
    <w:rsid w:val="00DD509A"/>
    <w:rsid w:val="00DD57D3"/>
    <w:rsid w:val="00DD58BF"/>
    <w:rsid w:val="00DD59B4"/>
    <w:rsid w:val="00DD5B40"/>
    <w:rsid w:val="00DD5C1F"/>
    <w:rsid w:val="00DD5D49"/>
    <w:rsid w:val="00DD5DE3"/>
    <w:rsid w:val="00DD5E23"/>
    <w:rsid w:val="00DD6169"/>
    <w:rsid w:val="00DD622E"/>
    <w:rsid w:val="00DD6412"/>
    <w:rsid w:val="00DD64EE"/>
    <w:rsid w:val="00DD67E8"/>
    <w:rsid w:val="00DD6B6D"/>
    <w:rsid w:val="00DD6C2A"/>
    <w:rsid w:val="00DD6D54"/>
    <w:rsid w:val="00DD7204"/>
    <w:rsid w:val="00DD7566"/>
    <w:rsid w:val="00DD764D"/>
    <w:rsid w:val="00DD7A3B"/>
    <w:rsid w:val="00DD7C9F"/>
    <w:rsid w:val="00DE058A"/>
    <w:rsid w:val="00DE0981"/>
    <w:rsid w:val="00DE1485"/>
    <w:rsid w:val="00DE174D"/>
    <w:rsid w:val="00DE188D"/>
    <w:rsid w:val="00DE1AAA"/>
    <w:rsid w:val="00DE1BF8"/>
    <w:rsid w:val="00DE1CE0"/>
    <w:rsid w:val="00DE24F6"/>
    <w:rsid w:val="00DE262F"/>
    <w:rsid w:val="00DE2A38"/>
    <w:rsid w:val="00DE2C72"/>
    <w:rsid w:val="00DE305E"/>
    <w:rsid w:val="00DE309B"/>
    <w:rsid w:val="00DE321F"/>
    <w:rsid w:val="00DE340E"/>
    <w:rsid w:val="00DE35C8"/>
    <w:rsid w:val="00DE3B6B"/>
    <w:rsid w:val="00DE3C89"/>
    <w:rsid w:val="00DE449B"/>
    <w:rsid w:val="00DE4719"/>
    <w:rsid w:val="00DE4B84"/>
    <w:rsid w:val="00DE4E37"/>
    <w:rsid w:val="00DE51EA"/>
    <w:rsid w:val="00DE52CA"/>
    <w:rsid w:val="00DE548D"/>
    <w:rsid w:val="00DE55DF"/>
    <w:rsid w:val="00DE5FA5"/>
    <w:rsid w:val="00DE6BB9"/>
    <w:rsid w:val="00DE7094"/>
    <w:rsid w:val="00DE7186"/>
    <w:rsid w:val="00DE73BE"/>
    <w:rsid w:val="00DE74F1"/>
    <w:rsid w:val="00DE7576"/>
    <w:rsid w:val="00DE78F9"/>
    <w:rsid w:val="00DE7AEF"/>
    <w:rsid w:val="00DE7B0C"/>
    <w:rsid w:val="00DE7EB5"/>
    <w:rsid w:val="00DF01EB"/>
    <w:rsid w:val="00DF10A1"/>
    <w:rsid w:val="00DF116A"/>
    <w:rsid w:val="00DF1654"/>
    <w:rsid w:val="00DF1724"/>
    <w:rsid w:val="00DF18C6"/>
    <w:rsid w:val="00DF215B"/>
    <w:rsid w:val="00DF21A2"/>
    <w:rsid w:val="00DF2A05"/>
    <w:rsid w:val="00DF3046"/>
    <w:rsid w:val="00DF3111"/>
    <w:rsid w:val="00DF3A71"/>
    <w:rsid w:val="00DF428D"/>
    <w:rsid w:val="00DF43F7"/>
    <w:rsid w:val="00DF449B"/>
    <w:rsid w:val="00DF4C52"/>
    <w:rsid w:val="00DF4E44"/>
    <w:rsid w:val="00DF4E66"/>
    <w:rsid w:val="00DF5595"/>
    <w:rsid w:val="00DF57EC"/>
    <w:rsid w:val="00DF596D"/>
    <w:rsid w:val="00DF5B55"/>
    <w:rsid w:val="00DF5D3F"/>
    <w:rsid w:val="00DF61AD"/>
    <w:rsid w:val="00DF61E9"/>
    <w:rsid w:val="00DF63FC"/>
    <w:rsid w:val="00DF6C29"/>
    <w:rsid w:val="00DF6D33"/>
    <w:rsid w:val="00DF742D"/>
    <w:rsid w:val="00DF7478"/>
    <w:rsid w:val="00DF7578"/>
    <w:rsid w:val="00DF776F"/>
    <w:rsid w:val="00DF796D"/>
    <w:rsid w:val="00DF7B1D"/>
    <w:rsid w:val="00DF7E87"/>
    <w:rsid w:val="00E0072F"/>
    <w:rsid w:val="00E0081A"/>
    <w:rsid w:val="00E00959"/>
    <w:rsid w:val="00E0110D"/>
    <w:rsid w:val="00E01A1A"/>
    <w:rsid w:val="00E01A42"/>
    <w:rsid w:val="00E01A7F"/>
    <w:rsid w:val="00E02730"/>
    <w:rsid w:val="00E029C3"/>
    <w:rsid w:val="00E02C6B"/>
    <w:rsid w:val="00E02D05"/>
    <w:rsid w:val="00E034F6"/>
    <w:rsid w:val="00E0395C"/>
    <w:rsid w:val="00E03C0D"/>
    <w:rsid w:val="00E03D90"/>
    <w:rsid w:val="00E040DD"/>
    <w:rsid w:val="00E04280"/>
    <w:rsid w:val="00E04408"/>
    <w:rsid w:val="00E04679"/>
    <w:rsid w:val="00E053C4"/>
    <w:rsid w:val="00E055F4"/>
    <w:rsid w:val="00E055FF"/>
    <w:rsid w:val="00E05D5F"/>
    <w:rsid w:val="00E05E42"/>
    <w:rsid w:val="00E06141"/>
    <w:rsid w:val="00E061FE"/>
    <w:rsid w:val="00E067E7"/>
    <w:rsid w:val="00E06970"/>
    <w:rsid w:val="00E06E9B"/>
    <w:rsid w:val="00E07165"/>
    <w:rsid w:val="00E07281"/>
    <w:rsid w:val="00E07498"/>
    <w:rsid w:val="00E07B49"/>
    <w:rsid w:val="00E07D29"/>
    <w:rsid w:val="00E07D2E"/>
    <w:rsid w:val="00E07D65"/>
    <w:rsid w:val="00E07E01"/>
    <w:rsid w:val="00E07F91"/>
    <w:rsid w:val="00E10B37"/>
    <w:rsid w:val="00E11731"/>
    <w:rsid w:val="00E11827"/>
    <w:rsid w:val="00E11ABE"/>
    <w:rsid w:val="00E1224D"/>
    <w:rsid w:val="00E12916"/>
    <w:rsid w:val="00E13204"/>
    <w:rsid w:val="00E133F9"/>
    <w:rsid w:val="00E13752"/>
    <w:rsid w:val="00E13EA0"/>
    <w:rsid w:val="00E1407E"/>
    <w:rsid w:val="00E140DF"/>
    <w:rsid w:val="00E1418F"/>
    <w:rsid w:val="00E141F7"/>
    <w:rsid w:val="00E14646"/>
    <w:rsid w:val="00E146CB"/>
    <w:rsid w:val="00E147F0"/>
    <w:rsid w:val="00E14925"/>
    <w:rsid w:val="00E14B35"/>
    <w:rsid w:val="00E14DF7"/>
    <w:rsid w:val="00E14E0B"/>
    <w:rsid w:val="00E150F6"/>
    <w:rsid w:val="00E15260"/>
    <w:rsid w:val="00E152C4"/>
    <w:rsid w:val="00E153A9"/>
    <w:rsid w:val="00E15880"/>
    <w:rsid w:val="00E15BD1"/>
    <w:rsid w:val="00E1662A"/>
    <w:rsid w:val="00E16A1F"/>
    <w:rsid w:val="00E16E01"/>
    <w:rsid w:val="00E17099"/>
    <w:rsid w:val="00E1712C"/>
    <w:rsid w:val="00E172F1"/>
    <w:rsid w:val="00E173C7"/>
    <w:rsid w:val="00E17BE6"/>
    <w:rsid w:val="00E206F9"/>
    <w:rsid w:val="00E20E8C"/>
    <w:rsid w:val="00E20FC0"/>
    <w:rsid w:val="00E2168D"/>
    <w:rsid w:val="00E21BC1"/>
    <w:rsid w:val="00E22171"/>
    <w:rsid w:val="00E22412"/>
    <w:rsid w:val="00E2273C"/>
    <w:rsid w:val="00E2279A"/>
    <w:rsid w:val="00E22A93"/>
    <w:rsid w:val="00E22B7C"/>
    <w:rsid w:val="00E22EA2"/>
    <w:rsid w:val="00E22F46"/>
    <w:rsid w:val="00E23006"/>
    <w:rsid w:val="00E23972"/>
    <w:rsid w:val="00E23C16"/>
    <w:rsid w:val="00E240B9"/>
    <w:rsid w:val="00E248B9"/>
    <w:rsid w:val="00E24DF2"/>
    <w:rsid w:val="00E255AE"/>
    <w:rsid w:val="00E2588B"/>
    <w:rsid w:val="00E25C33"/>
    <w:rsid w:val="00E25EF4"/>
    <w:rsid w:val="00E25FAA"/>
    <w:rsid w:val="00E2609B"/>
    <w:rsid w:val="00E263CC"/>
    <w:rsid w:val="00E263EB"/>
    <w:rsid w:val="00E2699C"/>
    <w:rsid w:val="00E26EA7"/>
    <w:rsid w:val="00E27524"/>
    <w:rsid w:val="00E27658"/>
    <w:rsid w:val="00E27756"/>
    <w:rsid w:val="00E27ABA"/>
    <w:rsid w:val="00E309DA"/>
    <w:rsid w:val="00E3112D"/>
    <w:rsid w:val="00E3157B"/>
    <w:rsid w:val="00E31B64"/>
    <w:rsid w:val="00E31B7A"/>
    <w:rsid w:val="00E31FE9"/>
    <w:rsid w:val="00E322D0"/>
    <w:rsid w:val="00E325D4"/>
    <w:rsid w:val="00E32EC3"/>
    <w:rsid w:val="00E32FA4"/>
    <w:rsid w:val="00E32FDA"/>
    <w:rsid w:val="00E336AD"/>
    <w:rsid w:val="00E338AD"/>
    <w:rsid w:val="00E3391D"/>
    <w:rsid w:val="00E339D7"/>
    <w:rsid w:val="00E33AA1"/>
    <w:rsid w:val="00E33CFC"/>
    <w:rsid w:val="00E34020"/>
    <w:rsid w:val="00E34086"/>
    <w:rsid w:val="00E34B61"/>
    <w:rsid w:val="00E3529C"/>
    <w:rsid w:val="00E3539D"/>
    <w:rsid w:val="00E35669"/>
    <w:rsid w:val="00E358FB"/>
    <w:rsid w:val="00E35D1F"/>
    <w:rsid w:val="00E35E08"/>
    <w:rsid w:val="00E35FE3"/>
    <w:rsid w:val="00E3633D"/>
    <w:rsid w:val="00E364D8"/>
    <w:rsid w:val="00E364EF"/>
    <w:rsid w:val="00E36AF2"/>
    <w:rsid w:val="00E37373"/>
    <w:rsid w:val="00E37A3E"/>
    <w:rsid w:val="00E37AF9"/>
    <w:rsid w:val="00E40108"/>
    <w:rsid w:val="00E402D1"/>
    <w:rsid w:val="00E40334"/>
    <w:rsid w:val="00E40A78"/>
    <w:rsid w:val="00E40DBD"/>
    <w:rsid w:val="00E40E73"/>
    <w:rsid w:val="00E41218"/>
    <w:rsid w:val="00E41596"/>
    <w:rsid w:val="00E41633"/>
    <w:rsid w:val="00E41B8E"/>
    <w:rsid w:val="00E41BD0"/>
    <w:rsid w:val="00E41E24"/>
    <w:rsid w:val="00E41F2D"/>
    <w:rsid w:val="00E428DB"/>
    <w:rsid w:val="00E430D3"/>
    <w:rsid w:val="00E43124"/>
    <w:rsid w:val="00E43227"/>
    <w:rsid w:val="00E4324A"/>
    <w:rsid w:val="00E437DD"/>
    <w:rsid w:val="00E4398C"/>
    <w:rsid w:val="00E43E43"/>
    <w:rsid w:val="00E44831"/>
    <w:rsid w:val="00E448CB"/>
    <w:rsid w:val="00E449B7"/>
    <w:rsid w:val="00E4510A"/>
    <w:rsid w:val="00E45780"/>
    <w:rsid w:val="00E4611F"/>
    <w:rsid w:val="00E461A9"/>
    <w:rsid w:val="00E46952"/>
    <w:rsid w:val="00E46C0B"/>
    <w:rsid w:val="00E46ECD"/>
    <w:rsid w:val="00E46FD8"/>
    <w:rsid w:val="00E4724D"/>
    <w:rsid w:val="00E475B9"/>
    <w:rsid w:val="00E47925"/>
    <w:rsid w:val="00E47E04"/>
    <w:rsid w:val="00E501F3"/>
    <w:rsid w:val="00E502B2"/>
    <w:rsid w:val="00E50719"/>
    <w:rsid w:val="00E509B9"/>
    <w:rsid w:val="00E50E43"/>
    <w:rsid w:val="00E511D0"/>
    <w:rsid w:val="00E51DD9"/>
    <w:rsid w:val="00E51E7E"/>
    <w:rsid w:val="00E521FD"/>
    <w:rsid w:val="00E5242D"/>
    <w:rsid w:val="00E527E8"/>
    <w:rsid w:val="00E53420"/>
    <w:rsid w:val="00E5369C"/>
    <w:rsid w:val="00E53988"/>
    <w:rsid w:val="00E53D5B"/>
    <w:rsid w:val="00E53F7C"/>
    <w:rsid w:val="00E551C8"/>
    <w:rsid w:val="00E5539F"/>
    <w:rsid w:val="00E556DC"/>
    <w:rsid w:val="00E5579D"/>
    <w:rsid w:val="00E558D6"/>
    <w:rsid w:val="00E55CE3"/>
    <w:rsid w:val="00E57041"/>
    <w:rsid w:val="00E574CB"/>
    <w:rsid w:val="00E5758A"/>
    <w:rsid w:val="00E5761E"/>
    <w:rsid w:val="00E5770A"/>
    <w:rsid w:val="00E57D43"/>
    <w:rsid w:val="00E57E0A"/>
    <w:rsid w:val="00E60524"/>
    <w:rsid w:val="00E60A4B"/>
    <w:rsid w:val="00E60CCB"/>
    <w:rsid w:val="00E611D7"/>
    <w:rsid w:val="00E613B3"/>
    <w:rsid w:val="00E613DD"/>
    <w:rsid w:val="00E61830"/>
    <w:rsid w:val="00E621C2"/>
    <w:rsid w:val="00E629BF"/>
    <w:rsid w:val="00E62C2C"/>
    <w:rsid w:val="00E63230"/>
    <w:rsid w:val="00E63D1C"/>
    <w:rsid w:val="00E63E2D"/>
    <w:rsid w:val="00E6424B"/>
    <w:rsid w:val="00E6452F"/>
    <w:rsid w:val="00E65157"/>
    <w:rsid w:val="00E656DF"/>
    <w:rsid w:val="00E657B3"/>
    <w:rsid w:val="00E659C3"/>
    <w:rsid w:val="00E663D8"/>
    <w:rsid w:val="00E665DC"/>
    <w:rsid w:val="00E665E5"/>
    <w:rsid w:val="00E6665C"/>
    <w:rsid w:val="00E668CB"/>
    <w:rsid w:val="00E66D03"/>
    <w:rsid w:val="00E67746"/>
    <w:rsid w:val="00E67EAD"/>
    <w:rsid w:val="00E704D4"/>
    <w:rsid w:val="00E70587"/>
    <w:rsid w:val="00E70AD7"/>
    <w:rsid w:val="00E70DE0"/>
    <w:rsid w:val="00E71313"/>
    <w:rsid w:val="00E7163A"/>
    <w:rsid w:val="00E71A92"/>
    <w:rsid w:val="00E71BDC"/>
    <w:rsid w:val="00E71C55"/>
    <w:rsid w:val="00E72134"/>
    <w:rsid w:val="00E721C5"/>
    <w:rsid w:val="00E723B1"/>
    <w:rsid w:val="00E725B2"/>
    <w:rsid w:val="00E72A67"/>
    <w:rsid w:val="00E72D73"/>
    <w:rsid w:val="00E73162"/>
    <w:rsid w:val="00E7331C"/>
    <w:rsid w:val="00E739EF"/>
    <w:rsid w:val="00E73A11"/>
    <w:rsid w:val="00E73BE6"/>
    <w:rsid w:val="00E74198"/>
    <w:rsid w:val="00E745F0"/>
    <w:rsid w:val="00E74D55"/>
    <w:rsid w:val="00E753DD"/>
    <w:rsid w:val="00E7558A"/>
    <w:rsid w:val="00E75633"/>
    <w:rsid w:val="00E75BAA"/>
    <w:rsid w:val="00E75F86"/>
    <w:rsid w:val="00E760D9"/>
    <w:rsid w:val="00E7620B"/>
    <w:rsid w:val="00E76230"/>
    <w:rsid w:val="00E767C1"/>
    <w:rsid w:val="00E767CB"/>
    <w:rsid w:val="00E76B16"/>
    <w:rsid w:val="00E77266"/>
    <w:rsid w:val="00E77604"/>
    <w:rsid w:val="00E776C9"/>
    <w:rsid w:val="00E77A97"/>
    <w:rsid w:val="00E77EB0"/>
    <w:rsid w:val="00E80117"/>
    <w:rsid w:val="00E8027C"/>
    <w:rsid w:val="00E80755"/>
    <w:rsid w:val="00E8079F"/>
    <w:rsid w:val="00E81675"/>
    <w:rsid w:val="00E81AAE"/>
    <w:rsid w:val="00E81B44"/>
    <w:rsid w:val="00E81F86"/>
    <w:rsid w:val="00E82439"/>
    <w:rsid w:val="00E8255D"/>
    <w:rsid w:val="00E82829"/>
    <w:rsid w:val="00E8307D"/>
    <w:rsid w:val="00E83CD6"/>
    <w:rsid w:val="00E83D2F"/>
    <w:rsid w:val="00E83E3D"/>
    <w:rsid w:val="00E8436E"/>
    <w:rsid w:val="00E84657"/>
    <w:rsid w:val="00E848D4"/>
    <w:rsid w:val="00E84FD7"/>
    <w:rsid w:val="00E85686"/>
    <w:rsid w:val="00E85696"/>
    <w:rsid w:val="00E857BF"/>
    <w:rsid w:val="00E85A38"/>
    <w:rsid w:val="00E85ABB"/>
    <w:rsid w:val="00E85BC8"/>
    <w:rsid w:val="00E85C2F"/>
    <w:rsid w:val="00E85CE0"/>
    <w:rsid w:val="00E86C0C"/>
    <w:rsid w:val="00E86CD3"/>
    <w:rsid w:val="00E86E09"/>
    <w:rsid w:val="00E872AC"/>
    <w:rsid w:val="00E875AF"/>
    <w:rsid w:val="00E87D6B"/>
    <w:rsid w:val="00E87E69"/>
    <w:rsid w:val="00E87F5F"/>
    <w:rsid w:val="00E90953"/>
    <w:rsid w:val="00E90A26"/>
    <w:rsid w:val="00E90D69"/>
    <w:rsid w:val="00E90DAD"/>
    <w:rsid w:val="00E90E47"/>
    <w:rsid w:val="00E912B5"/>
    <w:rsid w:val="00E91372"/>
    <w:rsid w:val="00E918BD"/>
    <w:rsid w:val="00E92193"/>
    <w:rsid w:val="00E92328"/>
    <w:rsid w:val="00E92B44"/>
    <w:rsid w:val="00E92FBE"/>
    <w:rsid w:val="00E92FF6"/>
    <w:rsid w:val="00E930D9"/>
    <w:rsid w:val="00E93B19"/>
    <w:rsid w:val="00E94211"/>
    <w:rsid w:val="00E946BF"/>
    <w:rsid w:val="00E94815"/>
    <w:rsid w:val="00E9493C"/>
    <w:rsid w:val="00E94BD2"/>
    <w:rsid w:val="00E94E30"/>
    <w:rsid w:val="00E950A2"/>
    <w:rsid w:val="00E9538B"/>
    <w:rsid w:val="00E958CD"/>
    <w:rsid w:val="00E9596E"/>
    <w:rsid w:val="00E95EBF"/>
    <w:rsid w:val="00E95F37"/>
    <w:rsid w:val="00E960AA"/>
    <w:rsid w:val="00E96309"/>
    <w:rsid w:val="00E96A3C"/>
    <w:rsid w:val="00E96E71"/>
    <w:rsid w:val="00E96F58"/>
    <w:rsid w:val="00E9709E"/>
    <w:rsid w:val="00E971FF"/>
    <w:rsid w:val="00E9783A"/>
    <w:rsid w:val="00E97AD6"/>
    <w:rsid w:val="00E97B41"/>
    <w:rsid w:val="00E97B7E"/>
    <w:rsid w:val="00E97E62"/>
    <w:rsid w:val="00E97F9F"/>
    <w:rsid w:val="00EA0568"/>
    <w:rsid w:val="00EA0824"/>
    <w:rsid w:val="00EA0E9A"/>
    <w:rsid w:val="00EA100B"/>
    <w:rsid w:val="00EA11B2"/>
    <w:rsid w:val="00EA1329"/>
    <w:rsid w:val="00EA1B8B"/>
    <w:rsid w:val="00EA1C76"/>
    <w:rsid w:val="00EA1E51"/>
    <w:rsid w:val="00EA249C"/>
    <w:rsid w:val="00EA2A22"/>
    <w:rsid w:val="00EA2EC8"/>
    <w:rsid w:val="00EA2FB7"/>
    <w:rsid w:val="00EA359B"/>
    <w:rsid w:val="00EA37A1"/>
    <w:rsid w:val="00EA3BB2"/>
    <w:rsid w:val="00EA3C25"/>
    <w:rsid w:val="00EA3E0C"/>
    <w:rsid w:val="00EA4294"/>
    <w:rsid w:val="00EA4391"/>
    <w:rsid w:val="00EA4487"/>
    <w:rsid w:val="00EA4B1A"/>
    <w:rsid w:val="00EA5147"/>
    <w:rsid w:val="00EA534A"/>
    <w:rsid w:val="00EA53C2"/>
    <w:rsid w:val="00EA5649"/>
    <w:rsid w:val="00EA5715"/>
    <w:rsid w:val="00EA5A99"/>
    <w:rsid w:val="00EA5E82"/>
    <w:rsid w:val="00EA5EEE"/>
    <w:rsid w:val="00EA6323"/>
    <w:rsid w:val="00EA6A0F"/>
    <w:rsid w:val="00EA7A60"/>
    <w:rsid w:val="00EA7AF8"/>
    <w:rsid w:val="00EA7E50"/>
    <w:rsid w:val="00EB000A"/>
    <w:rsid w:val="00EB0040"/>
    <w:rsid w:val="00EB076A"/>
    <w:rsid w:val="00EB0998"/>
    <w:rsid w:val="00EB0AE9"/>
    <w:rsid w:val="00EB0F07"/>
    <w:rsid w:val="00EB1145"/>
    <w:rsid w:val="00EB1507"/>
    <w:rsid w:val="00EB1723"/>
    <w:rsid w:val="00EB21AC"/>
    <w:rsid w:val="00EB227C"/>
    <w:rsid w:val="00EB2634"/>
    <w:rsid w:val="00EB2657"/>
    <w:rsid w:val="00EB2812"/>
    <w:rsid w:val="00EB283E"/>
    <w:rsid w:val="00EB284A"/>
    <w:rsid w:val="00EB2A39"/>
    <w:rsid w:val="00EB2B3B"/>
    <w:rsid w:val="00EB3021"/>
    <w:rsid w:val="00EB31BF"/>
    <w:rsid w:val="00EB3493"/>
    <w:rsid w:val="00EB3BA5"/>
    <w:rsid w:val="00EB3E2A"/>
    <w:rsid w:val="00EB46E6"/>
    <w:rsid w:val="00EB4958"/>
    <w:rsid w:val="00EB4985"/>
    <w:rsid w:val="00EB4BD5"/>
    <w:rsid w:val="00EB4DA1"/>
    <w:rsid w:val="00EB4E6E"/>
    <w:rsid w:val="00EB5992"/>
    <w:rsid w:val="00EB59B5"/>
    <w:rsid w:val="00EB62E6"/>
    <w:rsid w:val="00EB630C"/>
    <w:rsid w:val="00EB63CD"/>
    <w:rsid w:val="00EB66E6"/>
    <w:rsid w:val="00EB6909"/>
    <w:rsid w:val="00EB6A58"/>
    <w:rsid w:val="00EB6B13"/>
    <w:rsid w:val="00EB6B78"/>
    <w:rsid w:val="00EB6C3C"/>
    <w:rsid w:val="00EB732D"/>
    <w:rsid w:val="00EB7B52"/>
    <w:rsid w:val="00EB7BBE"/>
    <w:rsid w:val="00EB7ECD"/>
    <w:rsid w:val="00EB7EFD"/>
    <w:rsid w:val="00EC00EC"/>
    <w:rsid w:val="00EC02F0"/>
    <w:rsid w:val="00EC032D"/>
    <w:rsid w:val="00EC0444"/>
    <w:rsid w:val="00EC051F"/>
    <w:rsid w:val="00EC0AC0"/>
    <w:rsid w:val="00EC0D32"/>
    <w:rsid w:val="00EC0D51"/>
    <w:rsid w:val="00EC0DBF"/>
    <w:rsid w:val="00EC139D"/>
    <w:rsid w:val="00EC13A4"/>
    <w:rsid w:val="00EC143A"/>
    <w:rsid w:val="00EC1CA3"/>
    <w:rsid w:val="00EC1D1F"/>
    <w:rsid w:val="00EC1F5C"/>
    <w:rsid w:val="00EC1F68"/>
    <w:rsid w:val="00EC202D"/>
    <w:rsid w:val="00EC28EF"/>
    <w:rsid w:val="00EC2A8A"/>
    <w:rsid w:val="00EC2F99"/>
    <w:rsid w:val="00EC304D"/>
    <w:rsid w:val="00EC309A"/>
    <w:rsid w:val="00EC33AE"/>
    <w:rsid w:val="00EC3633"/>
    <w:rsid w:val="00EC3739"/>
    <w:rsid w:val="00EC3ABF"/>
    <w:rsid w:val="00EC3B09"/>
    <w:rsid w:val="00EC433B"/>
    <w:rsid w:val="00EC4574"/>
    <w:rsid w:val="00EC4EEB"/>
    <w:rsid w:val="00EC4FD9"/>
    <w:rsid w:val="00EC5020"/>
    <w:rsid w:val="00EC513D"/>
    <w:rsid w:val="00EC52C9"/>
    <w:rsid w:val="00EC54C1"/>
    <w:rsid w:val="00EC5584"/>
    <w:rsid w:val="00EC56DF"/>
    <w:rsid w:val="00EC59C2"/>
    <w:rsid w:val="00EC5ACF"/>
    <w:rsid w:val="00EC5D35"/>
    <w:rsid w:val="00EC6034"/>
    <w:rsid w:val="00EC6059"/>
    <w:rsid w:val="00EC62B7"/>
    <w:rsid w:val="00EC6953"/>
    <w:rsid w:val="00EC69D0"/>
    <w:rsid w:val="00EC6ABD"/>
    <w:rsid w:val="00EC6EBC"/>
    <w:rsid w:val="00EC6FF2"/>
    <w:rsid w:val="00EC7086"/>
    <w:rsid w:val="00EC72FA"/>
    <w:rsid w:val="00EC7318"/>
    <w:rsid w:val="00EC74B5"/>
    <w:rsid w:val="00EC77CF"/>
    <w:rsid w:val="00EC7881"/>
    <w:rsid w:val="00EC7A06"/>
    <w:rsid w:val="00EC7E74"/>
    <w:rsid w:val="00EC7F06"/>
    <w:rsid w:val="00EC7F69"/>
    <w:rsid w:val="00ED001F"/>
    <w:rsid w:val="00ED08D9"/>
    <w:rsid w:val="00ED0AA5"/>
    <w:rsid w:val="00ED0B2F"/>
    <w:rsid w:val="00ED120E"/>
    <w:rsid w:val="00ED1649"/>
    <w:rsid w:val="00ED1B50"/>
    <w:rsid w:val="00ED1CA7"/>
    <w:rsid w:val="00ED1D94"/>
    <w:rsid w:val="00ED206F"/>
    <w:rsid w:val="00ED219F"/>
    <w:rsid w:val="00ED2612"/>
    <w:rsid w:val="00ED30D6"/>
    <w:rsid w:val="00ED382C"/>
    <w:rsid w:val="00ED3882"/>
    <w:rsid w:val="00ED3F42"/>
    <w:rsid w:val="00ED4331"/>
    <w:rsid w:val="00ED4436"/>
    <w:rsid w:val="00ED4ABD"/>
    <w:rsid w:val="00ED51EF"/>
    <w:rsid w:val="00ED56BC"/>
    <w:rsid w:val="00ED575E"/>
    <w:rsid w:val="00ED58AB"/>
    <w:rsid w:val="00ED591D"/>
    <w:rsid w:val="00ED5A7A"/>
    <w:rsid w:val="00ED668F"/>
    <w:rsid w:val="00ED6763"/>
    <w:rsid w:val="00ED68DE"/>
    <w:rsid w:val="00ED70F3"/>
    <w:rsid w:val="00ED7955"/>
    <w:rsid w:val="00ED7C08"/>
    <w:rsid w:val="00EE004D"/>
    <w:rsid w:val="00EE01BA"/>
    <w:rsid w:val="00EE035D"/>
    <w:rsid w:val="00EE04D8"/>
    <w:rsid w:val="00EE05DD"/>
    <w:rsid w:val="00EE07F9"/>
    <w:rsid w:val="00EE08AF"/>
    <w:rsid w:val="00EE090B"/>
    <w:rsid w:val="00EE0ADA"/>
    <w:rsid w:val="00EE0FE8"/>
    <w:rsid w:val="00EE11E4"/>
    <w:rsid w:val="00EE15E8"/>
    <w:rsid w:val="00EE1738"/>
    <w:rsid w:val="00EE188D"/>
    <w:rsid w:val="00EE22BC"/>
    <w:rsid w:val="00EE26E8"/>
    <w:rsid w:val="00EE286C"/>
    <w:rsid w:val="00EE2CBA"/>
    <w:rsid w:val="00EE2DA7"/>
    <w:rsid w:val="00EE2FDF"/>
    <w:rsid w:val="00EE329D"/>
    <w:rsid w:val="00EE3BBE"/>
    <w:rsid w:val="00EE4159"/>
    <w:rsid w:val="00EE418D"/>
    <w:rsid w:val="00EE42A7"/>
    <w:rsid w:val="00EE444A"/>
    <w:rsid w:val="00EE4457"/>
    <w:rsid w:val="00EE48AB"/>
    <w:rsid w:val="00EE48CB"/>
    <w:rsid w:val="00EE4B2C"/>
    <w:rsid w:val="00EE4D24"/>
    <w:rsid w:val="00EE50D4"/>
    <w:rsid w:val="00EE55EE"/>
    <w:rsid w:val="00EE5D59"/>
    <w:rsid w:val="00EE62C5"/>
    <w:rsid w:val="00EE671E"/>
    <w:rsid w:val="00EE68BC"/>
    <w:rsid w:val="00EE6F2D"/>
    <w:rsid w:val="00EE7794"/>
    <w:rsid w:val="00EE7BD0"/>
    <w:rsid w:val="00EF00D3"/>
    <w:rsid w:val="00EF0278"/>
    <w:rsid w:val="00EF0333"/>
    <w:rsid w:val="00EF04D7"/>
    <w:rsid w:val="00EF0886"/>
    <w:rsid w:val="00EF0DF9"/>
    <w:rsid w:val="00EF102C"/>
    <w:rsid w:val="00EF1625"/>
    <w:rsid w:val="00EF1BBA"/>
    <w:rsid w:val="00EF1E1C"/>
    <w:rsid w:val="00EF209C"/>
    <w:rsid w:val="00EF2199"/>
    <w:rsid w:val="00EF252F"/>
    <w:rsid w:val="00EF25D6"/>
    <w:rsid w:val="00EF2C22"/>
    <w:rsid w:val="00EF3408"/>
    <w:rsid w:val="00EF356D"/>
    <w:rsid w:val="00EF36DE"/>
    <w:rsid w:val="00EF38B0"/>
    <w:rsid w:val="00EF3B7A"/>
    <w:rsid w:val="00EF3C42"/>
    <w:rsid w:val="00EF44C7"/>
    <w:rsid w:val="00EF4A0E"/>
    <w:rsid w:val="00EF5318"/>
    <w:rsid w:val="00EF5749"/>
    <w:rsid w:val="00EF5799"/>
    <w:rsid w:val="00EF621D"/>
    <w:rsid w:val="00EF6D44"/>
    <w:rsid w:val="00EF6FE2"/>
    <w:rsid w:val="00EF7B42"/>
    <w:rsid w:val="00EF7EAC"/>
    <w:rsid w:val="00F00245"/>
    <w:rsid w:val="00F00341"/>
    <w:rsid w:val="00F006B7"/>
    <w:rsid w:val="00F007C6"/>
    <w:rsid w:val="00F00B04"/>
    <w:rsid w:val="00F00BEC"/>
    <w:rsid w:val="00F00FD0"/>
    <w:rsid w:val="00F0106A"/>
    <w:rsid w:val="00F013F7"/>
    <w:rsid w:val="00F014DC"/>
    <w:rsid w:val="00F015EE"/>
    <w:rsid w:val="00F01B4E"/>
    <w:rsid w:val="00F01B6C"/>
    <w:rsid w:val="00F01E49"/>
    <w:rsid w:val="00F0209C"/>
    <w:rsid w:val="00F0242D"/>
    <w:rsid w:val="00F02550"/>
    <w:rsid w:val="00F026E4"/>
    <w:rsid w:val="00F02B95"/>
    <w:rsid w:val="00F02C1B"/>
    <w:rsid w:val="00F02E9C"/>
    <w:rsid w:val="00F033F9"/>
    <w:rsid w:val="00F035A9"/>
    <w:rsid w:val="00F042BA"/>
    <w:rsid w:val="00F044C8"/>
    <w:rsid w:val="00F04683"/>
    <w:rsid w:val="00F04A9F"/>
    <w:rsid w:val="00F05F08"/>
    <w:rsid w:val="00F06A61"/>
    <w:rsid w:val="00F06BBB"/>
    <w:rsid w:val="00F06CBB"/>
    <w:rsid w:val="00F0708B"/>
    <w:rsid w:val="00F07323"/>
    <w:rsid w:val="00F077A6"/>
    <w:rsid w:val="00F0793B"/>
    <w:rsid w:val="00F07C1E"/>
    <w:rsid w:val="00F07FEF"/>
    <w:rsid w:val="00F103FC"/>
    <w:rsid w:val="00F1084B"/>
    <w:rsid w:val="00F10F6D"/>
    <w:rsid w:val="00F11395"/>
    <w:rsid w:val="00F11697"/>
    <w:rsid w:val="00F1204F"/>
    <w:rsid w:val="00F12110"/>
    <w:rsid w:val="00F12224"/>
    <w:rsid w:val="00F13816"/>
    <w:rsid w:val="00F139F9"/>
    <w:rsid w:val="00F13C00"/>
    <w:rsid w:val="00F13CC7"/>
    <w:rsid w:val="00F140E6"/>
    <w:rsid w:val="00F1477B"/>
    <w:rsid w:val="00F147D2"/>
    <w:rsid w:val="00F147D4"/>
    <w:rsid w:val="00F14A9A"/>
    <w:rsid w:val="00F14B82"/>
    <w:rsid w:val="00F14C06"/>
    <w:rsid w:val="00F14EBC"/>
    <w:rsid w:val="00F152C6"/>
    <w:rsid w:val="00F15768"/>
    <w:rsid w:val="00F15893"/>
    <w:rsid w:val="00F16041"/>
    <w:rsid w:val="00F1665F"/>
    <w:rsid w:val="00F1681E"/>
    <w:rsid w:val="00F16A87"/>
    <w:rsid w:val="00F16B70"/>
    <w:rsid w:val="00F16BF3"/>
    <w:rsid w:val="00F16BFF"/>
    <w:rsid w:val="00F16E98"/>
    <w:rsid w:val="00F17A7B"/>
    <w:rsid w:val="00F17FE3"/>
    <w:rsid w:val="00F201FF"/>
    <w:rsid w:val="00F20266"/>
    <w:rsid w:val="00F202D7"/>
    <w:rsid w:val="00F20323"/>
    <w:rsid w:val="00F20647"/>
    <w:rsid w:val="00F21102"/>
    <w:rsid w:val="00F2135F"/>
    <w:rsid w:val="00F2156B"/>
    <w:rsid w:val="00F2185B"/>
    <w:rsid w:val="00F2189E"/>
    <w:rsid w:val="00F21917"/>
    <w:rsid w:val="00F21C6F"/>
    <w:rsid w:val="00F21D8C"/>
    <w:rsid w:val="00F22105"/>
    <w:rsid w:val="00F223E6"/>
    <w:rsid w:val="00F22488"/>
    <w:rsid w:val="00F226FE"/>
    <w:rsid w:val="00F22911"/>
    <w:rsid w:val="00F230E9"/>
    <w:rsid w:val="00F23329"/>
    <w:rsid w:val="00F2352D"/>
    <w:rsid w:val="00F235C5"/>
    <w:rsid w:val="00F23B16"/>
    <w:rsid w:val="00F23D14"/>
    <w:rsid w:val="00F23D1B"/>
    <w:rsid w:val="00F23EA2"/>
    <w:rsid w:val="00F23FFF"/>
    <w:rsid w:val="00F24080"/>
    <w:rsid w:val="00F2440C"/>
    <w:rsid w:val="00F244FD"/>
    <w:rsid w:val="00F24593"/>
    <w:rsid w:val="00F2467D"/>
    <w:rsid w:val="00F246B9"/>
    <w:rsid w:val="00F24EEF"/>
    <w:rsid w:val="00F2520F"/>
    <w:rsid w:val="00F252A6"/>
    <w:rsid w:val="00F2584E"/>
    <w:rsid w:val="00F25B88"/>
    <w:rsid w:val="00F2648C"/>
    <w:rsid w:val="00F264E7"/>
    <w:rsid w:val="00F266FD"/>
    <w:rsid w:val="00F267D9"/>
    <w:rsid w:val="00F26A4E"/>
    <w:rsid w:val="00F26CFC"/>
    <w:rsid w:val="00F26D69"/>
    <w:rsid w:val="00F2779A"/>
    <w:rsid w:val="00F279A3"/>
    <w:rsid w:val="00F279FA"/>
    <w:rsid w:val="00F27ACF"/>
    <w:rsid w:val="00F27FC0"/>
    <w:rsid w:val="00F30C47"/>
    <w:rsid w:val="00F30DCA"/>
    <w:rsid w:val="00F3148E"/>
    <w:rsid w:val="00F319C0"/>
    <w:rsid w:val="00F31C07"/>
    <w:rsid w:val="00F320B9"/>
    <w:rsid w:val="00F32230"/>
    <w:rsid w:val="00F322BF"/>
    <w:rsid w:val="00F322F8"/>
    <w:rsid w:val="00F32A09"/>
    <w:rsid w:val="00F3309A"/>
    <w:rsid w:val="00F33339"/>
    <w:rsid w:val="00F335E9"/>
    <w:rsid w:val="00F3374A"/>
    <w:rsid w:val="00F33ACD"/>
    <w:rsid w:val="00F3406E"/>
    <w:rsid w:val="00F343E7"/>
    <w:rsid w:val="00F34422"/>
    <w:rsid w:val="00F3466C"/>
    <w:rsid w:val="00F34E17"/>
    <w:rsid w:val="00F35CD2"/>
    <w:rsid w:val="00F35F82"/>
    <w:rsid w:val="00F362F9"/>
    <w:rsid w:val="00F363C5"/>
    <w:rsid w:val="00F36487"/>
    <w:rsid w:val="00F36629"/>
    <w:rsid w:val="00F367E3"/>
    <w:rsid w:val="00F369E7"/>
    <w:rsid w:val="00F36E8E"/>
    <w:rsid w:val="00F37422"/>
    <w:rsid w:val="00F37493"/>
    <w:rsid w:val="00F3767E"/>
    <w:rsid w:val="00F37817"/>
    <w:rsid w:val="00F37C21"/>
    <w:rsid w:val="00F37C67"/>
    <w:rsid w:val="00F404A4"/>
    <w:rsid w:val="00F404FB"/>
    <w:rsid w:val="00F40880"/>
    <w:rsid w:val="00F40904"/>
    <w:rsid w:val="00F4206C"/>
    <w:rsid w:val="00F42AF1"/>
    <w:rsid w:val="00F42B97"/>
    <w:rsid w:val="00F431AC"/>
    <w:rsid w:val="00F43BF3"/>
    <w:rsid w:val="00F4416E"/>
    <w:rsid w:val="00F44228"/>
    <w:rsid w:val="00F4438B"/>
    <w:rsid w:val="00F444F0"/>
    <w:rsid w:val="00F4473F"/>
    <w:rsid w:val="00F44743"/>
    <w:rsid w:val="00F44DE9"/>
    <w:rsid w:val="00F44DF7"/>
    <w:rsid w:val="00F459B6"/>
    <w:rsid w:val="00F45DB2"/>
    <w:rsid w:val="00F45F71"/>
    <w:rsid w:val="00F4600F"/>
    <w:rsid w:val="00F46177"/>
    <w:rsid w:val="00F4628B"/>
    <w:rsid w:val="00F4638A"/>
    <w:rsid w:val="00F4673C"/>
    <w:rsid w:val="00F46AED"/>
    <w:rsid w:val="00F46DD6"/>
    <w:rsid w:val="00F46E6E"/>
    <w:rsid w:val="00F471DD"/>
    <w:rsid w:val="00F47BCE"/>
    <w:rsid w:val="00F47E41"/>
    <w:rsid w:val="00F50182"/>
    <w:rsid w:val="00F50408"/>
    <w:rsid w:val="00F50672"/>
    <w:rsid w:val="00F50724"/>
    <w:rsid w:val="00F50D18"/>
    <w:rsid w:val="00F5103D"/>
    <w:rsid w:val="00F51508"/>
    <w:rsid w:val="00F51928"/>
    <w:rsid w:val="00F524BA"/>
    <w:rsid w:val="00F524F9"/>
    <w:rsid w:val="00F529A2"/>
    <w:rsid w:val="00F52A0B"/>
    <w:rsid w:val="00F5319D"/>
    <w:rsid w:val="00F53DEE"/>
    <w:rsid w:val="00F53DF3"/>
    <w:rsid w:val="00F5471C"/>
    <w:rsid w:val="00F5486C"/>
    <w:rsid w:val="00F54893"/>
    <w:rsid w:val="00F54931"/>
    <w:rsid w:val="00F54B1F"/>
    <w:rsid w:val="00F54D16"/>
    <w:rsid w:val="00F55028"/>
    <w:rsid w:val="00F5508D"/>
    <w:rsid w:val="00F55640"/>
    <w:rsid w:val="00F55712"/>
    <w:rsid w:val="00F55754"/>
    <w:rsid w:val="00F55958"/>
    <w:rsid w:val="00F55DC3"/>
    <w:rsid w:val="00F56905"/>
    <w:rsid w:val="00F56A3C"/>
    <w:rsid w:val="00F572B6"/>
    <w:rsid w:val="00F572EF"/>
    <w:rsid w:val="00F57631"/>
    <w:rsid w:val="00F57688"/>
    <w:rsid w:val="00F577B0"/>
    <w:rsid w:val="00F577D0"/>
    <w:rsid w:val="00F5788B"/>
    <w:rsid w:val="00F578A4"/>
    <w:rsid w:val="00F579FB"/>
    <w:rsid w:val="00F57A92"/>
    <w:rsid w:val="00F57B89"/>
    <w:rsid w:val="00F6040F"/>
    <w:rsid w:val="00F60734"/>
    <w:rsid w:val="00F60B87"/>
    <w:rsid w:val="00F6149E"/>
    <w:rsid w:val="00F61BA8"/>
    <w:rsid w:val="00F61F93"/>
    <w:rsid w:val="00F62027"/>
    <w:rsid w:val="00F620B3"/>
    <w:rsid w:val="00F624CA"/>
    <w:rsid w:val="00F62B12"/>
    <w:rsid w:val="00F62CEB"/>
    <w:rsid w:val="00F62E99"/>
    <w:rsid w:val="00F63530"/>
    <w:rsid w:val="00F63564"/>
    <w:rsid w:val="00F6385B"/>
    <w:rsid w:val="00F63A22"/>
    <w:rsid w:val="00F63D22"/>
    <w:rsid w:val="00F63F9F"/>
    <w:rsid w:val="00F6487E"/>
    <w:rsid w:val="00F649AC"/>
    <w:rsid w:val="00F64BD7"/>
    <w:rsid w:val="00F65269"/>
    <w:rsid w:val="00F6593C"/>
    <w:rsid w:val="00F65C2B"/>
    <w:rsid w:val="00F65D34"/>
    <w:rsid w:val="00F661DE"/>
    <w:rsid w:val="00F66871"/>
    <w:rsid w:val="00F66882"/>
    <w:rsid w:val="00F66A50"/>
    <w:rsid w:val="00F66BA5"/>
    <w:rsid w:val="00F66EEF"/>
    <w:rsid w:val="00F672CF"/>
    <w:rsid w:val="00F67419"/>
    <w:rsid w:val="00F676AD"/>
    <w:rsid w:val="00F67829"/>
    <w:rsid w:val="00F67FF0"/>
    <w:rsid w:val="00F70DFF"/>
    <w:rsid w:val="00F7166F"/>
    <w:rsid w:val="00F71711"/>
    <w:rsid w:val="00F718CC"/>
    <w:rsid w:val="00F71A34"/>
    <w:rsid w:val="00F71BE1"/>
    <w:rsid w:val="00F71D28"/>
    <w:rsid w:val="00F71E7C"/>
    <w:rsid w:val="00F72237"/>
    <w:rsid w:val="00F724CD"/>
    <w:rsid w:val="00F72813"/>
    <w:rsid w:val="00F72E15"/>
    <w:rsid w:val="00F7374A"/>
    <w:rsid w:val="00F73ACC"/>
    <w:rsid w:val="00F73F73"/>
    <w:rsid w:val="00F73FED"/>
    <w:rsid w:val="00F74348"/>
    <w:rsid w:val="00F744DA"/>
    <w:rsid w:val="00F745C8"/>
    <w:rsid w:val="00F747A9"/>
    <w:rsid w:val="00F74B5E"/>
    <w:rsid w:val="00F74BCE"/>
    <w:rsid w:val="00F74CF8"/>
    <w:rsid w:val="00F74FE6"/>
    <w:rsid w:val="00F75AC9"/>
    <w:rsid w:val="00F75CB6"/>
    <w:rsid w:val="00F75FF8"/>
    <w:rsid w:val="00F76477"/>
    <w:rsid w:val="00F76E46"/>
    <w:rsid w:val="00F76E83"/>
    <w:rsid w:val="00F77131"/>
    <w:rsid w:val="00F7751D"/>
    <w:rsid w:val="00F77847"/>
    <w:rsid w:val="00F77AB5"/>
    <w:rsid w:val="00F77B5B"/>
    <w:rsid w:val="00F77C37"/>
    <w:rsid w:val="00F77ED0"/>
    <w:rsid w:val="00F8016A"/>
    <w:rsid w:val="00F80538"/>
    <w:rsid w:val="00F80701"/>
    <w:rsid w:val="00F808C5"/>
    <w:rsid w:val="00F81573"/>
    <w:rsid w:val="00F81B89"/>
    <w:rsid w:val="00F81B97"/>
    <w:rsid w:val="00F822B9"/>
    <w:rsid w:val="00F82309"/>
    <w:rsid w:val="00F827FF"/>
    <w:rsid w:val="00F8295C"/>
    <w:rsid w:val="00F836EB"/>
    <w:rsid w:val="00F839B2"/>
    <w:rsid w:val="00F839CA"/>
    <w:rsid w:val="00F83AE6"/>
    <w:rsid w:val="00F83B9B"/>
    <w:rsid w:val="00F83CB3"/>
    <w:rsid w:val="00F84044"/>
    <w:rsid w:val="00F847C4"/>
    <w:rsid w:val="00F84C52"/>
    <w:rsid w:val="00F84DB2"/>
    <w:rsid w:val="00F84EC1"/>
    <w:rsid w:val="00F8538F"/>
    <w:rsid w:val="00F85712"/>
    <w:rsid w:val="00F857AE"/>
    <w:rsid w:val="00F85B21"/>
    <w:rsid w:val="00F85C83"/>
    <w:rsid w:val="00F85CD3"/>
    <w:rsid w:val="00F85FA3"/>
    <w:rsid w:val="00F86B65"/>
    <w:rsid w:val="00F86DBD"/>
    <w:rsid w:val="00F87316"/>
    <w:rsid w:val="00F87345"/>
    <w:rsid w:val="00F874D6"/>
    <w:rsid w:val="00F87881"/>
    <w:rsid w:val="00F878D5"/>
    <w:rsid w:val="00F87F0B"/>
    <w:rsid w:val="00F90702"/>
    <w:rsid w:val="00F90B25"/>
    <w:rsid w:val="00F90B87"/>
    <w:rsid w:val="00F90E74"/>
    <w:rsid w:val="00F914AD"/>
    <w:rsid w:val="00F91943"/>
    <w:rsid w:val="00F91AFE"/>
    <w:rsid w:val="00F91B39"/>
    <w:rsid w:val="00F91F32"/>
    <w:rsid w:val="00F91FE6"/>
    <w:rsid w:val="00F924FE"/>
    <w:rsid w:val="00F92B26"/>
    <w:rsid w:val="00F93047"/>
    <w:rsid w:val="00F93B68"/>
    <w:rsid w:val="00F93CA7"/>
    <w:rsid w:val="00F93FBB"/>
    <w:rsid w:val="00F943D5"/>
    <w:rsid w:val="00F943FA"/>
    <w:rsid w:val="00F94489"/>
    <w:rsid w:val="00F9454D"/>
    <w:rsid w:val="00F94D08"/>
    <w:rsid w:val="00F94D63"/>
    <w:rsid w:val="00F95062"/>
    <w:rsid w:val="00F95230"/>
    <w:rsid w:val="00F95941"/>
    <w:rsid w:val="00F95CAB"/>
    <w:rsid w:val="00F95FED"/>
    <w:rsid w:val="00F962B2"/>
    <w:rsid w:val="00F9654C"/>
    <w:rsid w:val="00F96590"/>
    <w:rsid w:val="00F973B8"/>
    <w:rsid w:val="00FA04C2"/>
    <w:rsid w:val="00FA08B2"/>
    <w:rsid w:val="00FA0C0E"/>
    <w:rsid w:val="00FA1772"/>
    <w:rsid w:val="00FA1848"/>
    <w:rsid w:val="00FA1ECA"/>
    <w:rsid w:val="00FA1F14"/>
    <w:rsid w:val="00FA22CF"/>
    <w:rsid w:val="00FA2AE6"/>
    <w:rsid w:val="00FA2C57"/>
    <w:rsid w:val="00FA3430"/>
    <w:rsid w:val="00FA3607"/>
    <w:rsid w:val="00FA3A66"/>
    <w:rsid w:val="00FA4471"/>
    <w:rsid w:val="00FA462A"/>
    <w:rsid w:val="00FA4804"/>
    <w:rsid w:val="00FA483E"/>
    <w:rsid w:val="00FA4AA6"/>
    <w:rsid w:val="00FA4C0C"/>
    <w:rsid w:val="00FA4F1B"/>
    <w:rsid w:val="00FA51AA"/>
    <w:rsid w:val="00FA55BF"/>
    <w:rsid w:val="00FA5A4C"/>
    <w:rsid w:val="00FA5FBA"/>
    <w:rsid w:val="00FA63C1"/>
    <w:rsid w:val="00FA65DB"/>
    <w:rsid w:val="00FA6A06"/>
    <w:rsid w:val="00FA6A89"/>
    <w:rsid w:val="00FA6C50"/>
    <w:rsid w:val="00FA6D23"/>
    <w:rsid w:val="00FA6DBE"/>
    <w:rsid w:val="00FA6FAC"/>
    <w:rsid w:val="00FA7023"/>
    <w:rsid w:val="00FA76D5"/>
    <w:rsid w:val="00FA7E7F"/>
    <w:rsid w:val="00FB03EB"/>
    <w:rsid w:val="00FB0851"/>
    <w:rsid w:val="00FB0DEB"/>
    <w:rsid w:val="00FB1890"/>
    <w:rsid w:val="00FB2D21"/>
    <w:rsid w:val="00FB4337"/>
    <w:rsid w:val="00FB4DE2"/>
    <w:rsid w:val="00FB53A8"/>
    <w:rsid w:val="00FB5538"/>
    <w:rsid w:val="00FB5993"/>
    <w:rsid w:val="00FB5BA9"/>
    <w:rsid w:val="00FB5CA9"/>
    <w:rsid w:val="00FB6248"/>
    <w:rsid w:val="00FB672B"/>
    <w:rsid w:val="00FB6BCC"/>
    <w:rsid w:val="00FB6DD2"/>
    <w:rsid w:val="00FB6ECF"/>
    <w:rsid w:val="00FB6F24"/>
    <w:rsid w:val="00FB721C"/>
    <w:rsid w:val="00FB7457"/>
    <w:rsid w:val="00FB76A5"/>
    <w:rsid w:val="00FB777B"/>
    <w:rsid w:val="00FB778E"/>
    <w:rsid w:val="00FB7AC0"/>
    <w:rsid w:val="00FB7B1E"/>
    <w:rsid w:val="00FB7B33"/>
    <w:rsid w:val="00FC0071"/>
    <w:rsid w:val="00FC02CF"/>
    <w:rsid w:val="00FC0973"/>
    <w:rsid w:val="00FC09A8"/>
    <w:rsid w:val="00FC0D04"/>
    <w:rsid w:val="00FC1287"/>
    <w:rsid w:val="00FC1309"/>
    <w:rsid w:val="00FC1B47"/>
    <w:rsid w:val="00FC1E89"/>
    <w:rsid w:val="00FC2015"/>
    <w:rsid w:val="00FC255A"/>
    <w:rsid w:val="00FC28CB"/>
    <w:rsid w:val="00FC2954"/>
    <w:rsid w:val="00FC2DB8"/>
    <w:rsid w:val="00FC2DE3"/>
    <w:rsid w:val="00FC31B1"/>
    <w:rsid w:val="00FC3380"/>
    <w:rsid w:val="00FC35AC"/>
    <w:rsid w:val="00FC3F0F"/>
    <w:rsid w:val="00FC4002"/>
    <w:rsid w:val="00FC4ADB"/>
    <w:rsid w:val="00FC4BCC"/>
    <w:rsid w:val="00FC4C4A"/>
    <w:rsid w:val="00FC4EBF"/>
    <w:rsid w:val="00FC5623"/>
    <w:rsid w:val="00FC59D3"/>
    <w:rsid w:val="00FC5A18"/>
    <w:rsid w:val="00FC633E"/>
    <w:rsid w:val="00FC6CBA"/>
    <w:rsid w:val="00FC72F8"/>
    <w:rsid w:val="00FC7764"/>
    <w:rsid w:val="00FC7998"/>
    <w:rsid w:val="00FD00D3"/>
    <w:rsid w:val="00FD017C"/>
    <w:rsid w:val="00FD0B0F"/>
    <w:rsid w:val="00FD0B73"/>
    <w:rsid w:val="00FD0FB9"/>
    <w:rsid w:val="00FD10D1"/>
    <w:rsid w:val="00FD145D"/>
    <w:rsid w:val="00FD16E0"/>
    <w:rsid w:val="00FD1B63"/>
    <w:rsid w:val="00FD2431"/>
    <w:rsid w:val="00FD2863"/>
    <w:rsid w:val="00FD2A37"/>
    <w:rsid w:val="00FD3052"/>
    <w:rsid w:val="00FD317C"/>
    <w:rsid w:val="00FD33A9"/>
    <w:rsid w:val="00FD3E1D"/>
    <w:rsid w:val="00FD3E44"/>
    <w:rsid w:val="00FD3F39"/>
    <w:rsid w:val="00FD4236"/>
    <w:rsid w:val="00FD43F1"/>
    <w:rsid w:val="00FD4407"/>
    <w:rsid w:val="00FD457E"/>
    <w:rsid w:val="00FD48F2"/>
    <w:rsid w:val="00FD4B5C"/>
    <w:rsid w:val="00FD4BE8"/>
    <w:rsid w:val="00FD50C6"/>
    <w:rsid w:val="00FD5163"/>
    <w:rsid w:val="00FD56DA"/>
    <w:rsid w:val="00FD5B93"/>
    <w:rsid w:val="00FD5F4A"/>
    <w:rsid w:val="00FD5FE5"/>
    <w:rsid w:val="00FD6217"/>
    <w:rsid w:val="00FD62B3"/>
    <w:rsid w:val="00FD6370"/>
    <w:rsid w:val="00FD65E3"/>
    <w:rsid w:val="00FD6C1B"/>
    <w:rsid w:val="00FD7062"/>
    <w:rsid w:val="00FD70C2"/>
    <w:rsid w:val="00FD7168"/>
    <w:rsid w:val="00FD7576"/>
    <w:rsid w:val="00FD79D7"/>
    <w:rsid w:val="00FD7A8D"/>
    <w:rsid w:val="00FD7CE6"/>
    <w:rsid w:val="00FE040E"/>
    <w:rsid w:val="00FE0513"/>
    <w:rsid w:val="00FE08F3"/>
    <w:rsid w:val="00FE0D02"/>
    <w:rsid w:val="00FE0ED3"/>
    <w:rsid w:val="00FE0F97"/>
    <w:rsid w:val="00FE0FD3"/>
    <w:rsid w:val="00FE126C"/>
    <w:rsid w:val="00FE17D8"/>
    <w:rsid w:val="00FE21EE"/>
    <w:rsid w:val="00FE24F2"/>
    <w:rsid w:val="00FE26A9"/>
    <w:rsid w:val="00FE28F8"/>
    <w:rsid w:val="00FE2B93"/>
    <w:rsid w:val="00FE2EAF"/>
    <w:rsid w:val="00FE3042"/>
    <w:rsid w:val="00FE33A9"/>
    <w:rsid w:val="00FE3E92"/>
    <w:rsid w:val="00FE3FA4"/>
    <w:rsid w:val="00FE405D"/>
    <w:rsid w:val="00FE4301"/>
    <w:rsid w:val="00FE4795"/>
    <w:rsid w:val="00FE4896"/>
    <w:rsid w:val="00FE4B2C"/>
    <w:rsid w:val="00FE4BB0"/>
    <w:rsid w:val="00FE5997"/>
    <w:rsid w:val="00FE5A34"/>
    <w:rsid w:val="00FE5BEA"/>
    <w:rsid w:val="00FE65AA"/>
    <w:rsid w:val="00FE6636"/>
    <w:rsid w:val="00FE74B7"/>
    <w:rsid w:val="00FE76AE"/>
    <w:rsid w:val="00FF03F6"/>
    <w:rsid w:val="00FF0C0A"/>
    <w:rsid w:val="00FF0D61"/>
    <w:rsid w:val="00FF1C06"/>
    <w:rsid w:val="00FF1F7C"/>
    <w:rsid w:val="00FF2155"/>
    <w:rsid w:val="00FF2805"/>
    <w:rsid w:val="00FF2B47"/>
    <w:rsid w:val="00FF2BFC"/>
    <w:rsid w:val="00FF2D2B"/>
    <w:rsid w:val="00FF2E5D"/>
    <w:rsid w:val="00FF2EFB"/>
    <w:rsid w:val="00FF33B6"/>
    <w:rsid w:val="00FF3C69"/>
    <w:rsid w:val="00FF3F44"/>
    <w:rsid w:val="00FF4324"/>
    <w:rsid w:val="00FF44FD"/>
    <w:rsid w:val="00FF4669"/>
    <w:rsid w:val="00FF4812"/>
    <w:rsid w:val="00FF4E6A"/>
    <w:rsid w:val="00FF4FD6"/>
    <w:rsid w:val="00FF563C"/>
    <w:rsid w:val="00FF568D"/>
    <w:rsid w:val="00FF56AA"/>
    <w:rsid w:val="00FF59A3"/>
    <w:rsid w:val="00FF5C4D"/>
    <w:rsid w:val="00FF5DF5"/>
    <w:rsid w:val="00FF6E21"/>
    <w:rsid w:val="00FF7309"/>
    <w:rsid w:val="00FF76B9"/>
    <w:rsid w:val="00FF7C58"/>
    <w:rsid w:val="00FF7E10"/>
    <w:rsid w:val="12D70C43"/>
    <w:rsid w:val="19A54FCC"/>
    <w:rsid w:val="442C05E4"/>
    <w:rsid w:val="657009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26"/>
    <w:autoRedefine/>
    <w:qFormat/>
    <w:uiPriority w:val="9"/>
    <w:pPr>
      <w:widowControl/>
      <w:spacing w:before="312" w:beforeLines="100" w:after="312" w:afterLines="100"/>
      <w:jc w:val="center"/>
      <w:outlineLvl w:val="0"/>
    </w:pPr>
    <w:rPr>
      <w:rFonts w:eastAsia="黑体" w:cs="Times New Roman"/>
      <w:bCs/>
      <w:kern w:val="44"/>
      <w:sz w:val="36"/>
      <w:szCs w:val="44"/>
    </w:rPr>
  </w:style>
  <w:style w:type="paragraph" w:styleId="3">
    <w:name w:val="heading 2"/>
    <w:basedOn w:val="1"/>
    <w:next w:val="1"/>
    <w:link w:val="27"/>
    <w:autoRedefine/>
    <w:unhideWhenUsed/>
    <w:qFormat/>
    <w:uiPriority w:val="9"/>
    <w:pPr>
      <w:adjustRightInd w:val="0"/>
      <w:spacing w:before="156" w:beforeLines="50" w:after="156" w:afterLines="50" w:line="480" w:lineRule="auto"/>
      <w:ind w:left="420" w:hanging="420"/>
      <w:outlineLvl w:val="1"/>
    </w:pPr>
    <w:rPr>
      <w:rFonts w:eastAsia="黑体" w:cs="Times New Roman"/>
      <w:bCs/>
      <w:color w:val="000000" w:themeColor="text1"/>
      <w:sz w:val="32"/>
      <w:szCs w:val="32"/>
      <w14:textFill>
        <w14:solidFill>
          <w14:schemeClr w14:val="tx1"/>
        </w14:solidFill>
      </w14:textFill>
    </w:rPr>
  </w:style>
  <w:style w:type="paragraph" w:styleId="4">
    <w:name w:val="heading 3"/>
    <w:basedOn w:val="1"/>
    <w:next w:val="1"/>
    <w:link w:val="28"/>
    <w:autoRedefine/>
    <w:unhideWhenUsed/>
    <w:qFormat/>
    <w:uiPriority w:val="9"/>
    <w:pPr>
      <w:spacing w:before="156" w:beforeLines="50" w:after="156" w:afterLines="50"/>
      <w:outlineLvl w:val="2"/>
    </w:pPr>
    <w:rPr>
      <w:rFonts w:eastAsia="黑体" w:cs="Times New Roman"/>
      <w:bCs/>
      <w:color w:val="000000" w:themeColor="text1"/>
      <w:sz w:val="28"/>
      <w:szCs w:val="28"/>
      <w14:textFill>
        <w14:solidFill>
          <w14:schemeClr w14:val="tx1"/>
        </w14:solidFill>
      </w14:textFill>
    </w:rPr>
  </w:style>
  <w:style w:type="paragraph" w:styleId="5">
    <w:name w:val="heading 4"/>
    <w:basedOn w:val="1"/>
    <w:next w:val="1"/>
    <w:link w:val="29"/>
    <w:autoRedefine/>
    <w:unhideWhenUsed/>
    <w:qFormat/>
    <w:uiPriority w:val="9"/>
    <w:pPr>
      <w:keepNext/>
      <w:keepLines/>
      <w:numPr>
        <w:ilvl w:val="3"/>
        <w:numId w:val="1"/>
      </w:numPr>
      <w:spacing w:before="50" w:beforeLines="50" w:after="50" w:afterLines="50"/>
      <w:outlineLvl w:val="3"/>
    </w:pPr>
    <w:rPr>
      <w:rFonts w:eastAsia="宋体" w:cstheme="majorBidi"/>
      <w:b/>
      <w:bCs/>
      <w:szCs w:val="28"/>
    </w:rPr>
  </w:style>
  <w:style w:type="paragraph" w:styleId="6">
    <w:name w:val="heading 5"/>
    <w:basedOn w:val="1"/>
    <w:next w:val="1"/>
    <w:link w:val="44"/>
    <w:semiHidden/>
    <w:unhideWhenUsed/>
    <w:qFormat/>
    <w:uiPriority w:val="9"/>
    <w:pPr>
      <w:keepNext/>
      <w:keepLines/>
      <w:spacing w:before="280" w:after="290" w:line="376" w:lineRule="auto"/>
      <w:outlineLvl w:val="4"/>
    </w:pPr>
    <w:rPr>
      <w:b/>
      <w:bCs/>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link w:val="35"/>
    <w:semiHidden/>
    <w:unhideWhenUsed/>
    <w:qFormat/>
    <w:uiPriority w:val="99"/>
    <w:pPr>
      <w:jc w:val="left"/>
    </w:pPr>
  </w:style>
  <w:style w:type="paragraph" w:styleId="9">
    <w:name w:val="toc 3"/>
    <w:basedOn w:val="1"/>
    <w:next w:val="1"/>
    <w:autoRedefine/>
    <w:unhideWhenUsed/>
    <w:qFormat/>
    <w:uiPriority w:val="39"/>
    <w:pPr>
      <w:tabs>
        <w:tab w:val="left" w:pos="1680"/>
        <w:tab w:val="right" w:leader="dot" w:pos="8296"/>
      </w:tabs>
      <w:ind w:left="840" w:leftChars="400"/>
    </w:pPr>
  </w:style>
  <w:style w:type="paragraph" w:styleId="10">
    <w:name w:val="Date"/>
    <w:basedOn w:val="1"/>
    <w:next w:val="1"/>
    <w:link w:val="41"/>
    <w:semiHidden/>
    <w:unhideWhenUsed/>
    <w:qFormat/>
    <w:uiPriority w:val="99"/>
    <w:pPr>
      <w:ind w:left="100" w:leftChars="2500"/>
    </w:pPr>
  </w:style>
  <w:style w:type="paragraph" w:styleId="11">
    <w:name w:val="Balloon Text"/>
    <w:basedOn w:val="1"/>
    <w:link w:val="37"/>
    <w:semiHidden/>
    <w:unhideWhenUsed/>
    <w:qFormat/>
    <w:uiPriority w:val="99"/>
    <w:rPr>
      <w:sz w:val="18"/>
      <w:szCs w:val="18"/>
    </w:rPr>
  </w:style>
  <w:style w:type="paragraph" w:styleId="12">
    <w:name w:val="footer"/>
    <w:basedOn w:val="1"/>
    <w:link w:val="25"/>
    <w:unhideWhenUsed/>
    <w:qFormat/>
    <w:uiPriority w:val="99"/>
    <w:pPr>
      <w:tabs>
        <w:tab w:val="center" w:pos="4153"/>
        <w:tab w:val="right" w:pos="8306"/>
      </w:tabs>
      <w:snapToGrid w:val="0"/>
      <w:jc w:val="left"/>
    </w:pPr>
    <w:rPr>
      <w:sz w:val="18"/>
      <w:szCs w:val="18"/>
    </w:rPr>
  </w:style>
  <w:style w:type="paragraph" w:styleId="13">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8296"/>
      </w:tabs>
    </w:pPr>
    <w:rPr>
      <w:rFonts w:cs="Times New Roman"/>
      <w:b/>
      <w:szCs w:val="24"/>
    </w:rPr>
  </w:style>
  <w:style w:type="paragraph" w:styleId="15">
    <w:name w:val="toc 2"/>
    <w:basedOn w:val="1"/>
    <w:next w:val="1"/>
    <w:autoRedefine/>
    <w:unhideWhenUsed/>
    <w:qFormat/>
    <w:uiPriority w:val="39"/>
    <w:pPr>
      <w:tabs>
        <w:tab w:val="left" w:pos="1050"/>
        <w:tab w:val="right" w:leader="dot" w:pos="8296"/>
      </w:tabs>
      <w:ind w:left="420" w:leftChars="200"/>
    </w:pPr>
  </w:style>
  <w:style w:type="paragraph" w:styleId="1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17">
    <w:name w:val="annotation subject"/>
    <w:basedOn w:val="8"/>
    <w:next w:val="8"/>
    <w:link w:val="36"/>
    <w:semiHidden/>
    <w:unhideWhenUsed/>
    <w:qFormat/>
    <w:uiPriority w:val="99"/>
    <w:rPr>
      <w:b/>
      <w:bCs/>
    </w:rPr>
  </w:style>
  <w:style w:type="table" w:styleId="19">
    <w:name w:val="Table Grid"/>
    <w:basedOn w:val="18"/>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Hyperlink"/>
    <w:qFormat/>
    <w:uiPriority w:val="99"/>
    <w:rPr>
      <w:color w:val="0000FF"/>
      <w:u w:val="single"/>
    </w:rPr>
  </w:style>
  <w:style w:type="character" w:styleId="23">
    <w:name w:val="annotation reference"/>
    <w:basedOn w:val="20"/>
    <w:semiHidden/>
    <w:unhideWhenUsed/>
    <w:qFormat/>
    <w:uiPriority w:val="99"/>
    <w:rPr>
      <w:sz w:val="21"/>
      <w:szCs w:val="21"/>
    </w:rPr>
  </w:style>
  <w:style w:type="character" w:customStyle="1" w:styleId="24">
    <w:name w:val="页眉 字符"/>
    <w:basedOn w:val="20"/>
    <w:link w:val="13"/>
    <w:qFormat/>
    <w:uiPriority w:val="99"/>
    <w:rPr>
      <w:sz w:val="18"/>
      <w:szCs w:val="18"/>
    </w:rPr>
  </w:style>
  <w:style w:type="character" w:customStyle="1" w:styleId="25">
    <w:name w:val="页脚 字符"/>
    <w:basedOn w:val="20"/>
    <w:link w:val="12"/>
    <w:qFormat/>
    <w:uiPriority w:val="99"/>
    <w:rPr>
      <w:sz w:val="18"/>
      <w:szCs w:val="18"/>
    </w:rPr>
  </w:style>
  <w:style w:type="character" w:customStyle="1" w:styleId="26">
    <w:name w:val="标题 1 字符"/>
    <w:basedOn w:val="20"/>
    <w:link w:val="2"/>
    <w:qFormat/>
    <w:uiPriority w:val="9"/>
    <w:rPr>
      <w:rFonts w:ascii="Times New Roman" w:hAnsi="Times New Roman" w:eastAsia="黑体" w:cs="Times New Roman"/>
      <w:bCs/>
      <w:kern w:val="44"/>
      <w:sz w:val="36"/>
      <w:szCs w:val="44"/>
    </w:rPr>
  </w:style>
  <w:style w:type="character" w:customStyle="1" w:styleId="27">
    <w:name w:val="标题 2 字符"/>
    <w:basedOn w:val="20"/>
    <w:link w:val="3"/>
    <w:qFormat/>
    <w:uiPriority w:val="9"/>
    <w:rPr>
      <w:rFonts w:ascii="Times New Roman" w:hAnsi="Times New Roman" w:eastAsia="黑体" w:cs="Times New Roman"/>
      <w:bCs/>
      <w:color w:val="000000" w:themeColor="text1"/>
      <w:sz w:val="32"/>
      <w:szCs w:val="32"/>
      <w14:textFill>
        <w14:solidFill>
          <w14:schemeClr w14:val="tx1"/>
        </w14:solidFill>
      </w14:textFill>
    </w:rPr>
  </w:style>
  <w:style w:type="character" w:customStyle="1" w:styleId="28">
    <w:name w:val="标题 3 字符"/>
    <w:basedOn w:val="20"/>
    <w:link w:val="4"/>
    <w:qFormat/>
    <w:uiPriority w:val="9"/>
    <w:rPr>
      <w:rFonts w:ascii="Times New Roman" w:hAnsi="Times New Roman" w:eastAsia="黑体" w:cs="Times New Roman"/>
      <w:bCs/>
      <w:color w:val="000000" w:themeColor="text1"/>
      <w:sz w:val="28"/>
      <w:szCs w:val="28"/>
      <w14:textFill>
        <w14:solidFill>
          <w14:schemeClr w14:val="tx1"/>
        </w14:solidFill>
      </w14:textFill>
    </w:rPr>
  </w:style>
  <w:style w:type="character" w:customStyle="1" w:styleId="29">
    <w:name w:val="标题 4 字符"/>
    <w:basedOn w:val="20"/>
    <w:link w:val="5"/>
    <w:qFormat/>
    <w:uiPriority w:val="9"/>
    <w:rPr>
      <w:rFonts w:ascii="Times New Roman" w:hAnsi="Times New Roman" w:eastAsia="宋体" w:cstheme="majorBidi"/>
      <w:b/>
      <w:bCs/>
      <w:sz w:val="24"/>
      <w:szCs w:val="28"/>
    </w:rPr>
  </w:style>
  <w:style w:type="paragraph" w:styleId="30">
    <w:name w:val="List Paragraph"/>
    <w:basedOn w:val="1"/>
    <w:qFormat/>
    <w:uiPriority w:val="34"/>
    <w:pPr>
      <w:ind w:firstLine="420" w:firstLineChars="200"/>
    </w:pPr>
  </w:style>
  <w:style w:type="character" w:customStyle="1" w:styleId="31">
    <w:name w:val="katex-mathml"/>
    <w:basedOn w:val="20"/>
    <w:qFormat/>
    <w:uiPriority w:val="0"/>
  </w:style>
  <w:style w:type="character" w:customStyle="1" w:styleId="32">
    <w:name w:val="mord"/>
    <w:basedOn w:val="20"/>
    <w:qFormat/>
    <w:uiPriority w:val="0"/>
  </w:style>
  <w:style w:type="table" w:customStyle="1" w:styleId="33">
    <w:name w:val="无格式表格 21"/>
    <w:basedOn w:val="18"/>
    <w:qFormat/>
    <w:uiPriority w:val="42"/>
    <w:rPr>
      <w:szCs w:val="21"/>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
    <w:name w:val="Plain Table 2"/>
    <w:basedOn w:val="1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35">
    <w:name w:val="批注文字 字符"/>
    <w:basedOn w:val="20"/>
    <w:link w:val="8"/>
    <w:semiHidden/>
    <w:qFormat/>
    <w:uiPriority w:val="99"/>
  </w:style>
  <w:style w:type="character" w:customStyle="1" w:styleId="36">
    <w:name w:val="批注主题 字符"/>
    <w:basedOn w:val="35"/>
    <w:link w:val="17"/>
    <w:semiHidden/>
    <w:qFormat/>
    <w:uiPriority w:val="99"/>
    <w:rPr>
      <w:b/>
      <w:bCs/>
    </w:rPr>
  </w:style>
  <w:style w:type="character" w:customStyle="1" w:styleId="37">
    <w:name w:val="批注框文本 字符"/>
    <w:basedOn w:val="20"/>
    <w:link w:val="11"/>
    <w:semiHidden/>
    <w:qFormat/>
    <w:uiPriority w:val="99"/>
    <w:rPr>
      <w:sz w:val="18"/>
      <w:szCs w:val="18"/>
    </w:rPr>
  </w:style>
  <w:style w:type="character" w:styleId="38">
    <w:name w:val="Placeholder Text"/>
    <w:basedOn w:val="20"/>
    <w:semiHidden/>
    <w:qFormat/>
    <w:uiPriority w:val="99"/>
    <w:rPr>
      <w:color w:val="808080"/>
    </w:rPr>
  </w:style>
  <w:style w:type="character" w:customStyle="1" w:styleId="39">
    <w:name w:val="Unresolved Mention"/>
    <w:basedOn w:val="20"/>
    <w:semiHidden/>
    <w:unhideWhenUsed/>
    <w:qFormat/>
    <w:uiPriority w:val="99"/>
    <w:rPr>
      <w:color w:val="605E5C"/>
      <w:shd w:val="clear" w:color="auto" w:fill="E1DFDD"/>
    </w:rPr>
  </w:style>
  <w:style w:type="paragraph" w:customStyle="1" w:styleId="40">
    <w:name w:val="图"/>
    <w:basedOn w:val="1"/>
    <w:autoRedefine/>
    <w:qFormat/>
    <w:uiPriority w:val="0"/>
    <w:pPr>
      <w:spacing w:before="156" w:beforeLines="50"/>
      <w:jc w:val="center"/>
    </w:pPr>
    <w:rPr>
      <w:rFonts w:eastAsia="宋体" w:cs="Times New Roman"/>
      <w:szCs w:val="24"/>
    </w:rPr>
  </w:style>
  <w:style w:type="character" w:customStyle="1" w:styleId="41">
    <w:name w:val="日期 字符"/>
    <w:basedOn w:val="20"/>
    <w:link w:val="10"/>
    <w:semiHidden/>
    <w:qFormat/>
    <w:uiPriority w:val="99"/>
  </w:style>
  <w:style w:type="paragraph" w:customStyle="1" w:styleId="42">
    <w:name w:val="TOC Heading"/>
    <w:basedOn w:val="2"/>
    <w:next w:val="1"/>
    <w:unhideWhenUsed/>
    <w:qFormat/>
    <w:uiPriority w:val="39"/>
    <w:pPr>
      <w:spacing w:before="240" w:beforeLines="0" w:after="0" w:after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table" w:customStyle="1" w:styleId="43">
    <w:name w:val="网格型511"/>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标题 5 字符"/>
    <w:basedOn w:val="20"/>
    <w:link w:val="6"/>
    <w:semiHidden/>
    <w:qFormat/>
    <w:uiPriority w:val="9"/>
    <w:rPr>
      <w:b/>
      <w:bCs/>
      <w:sz w:val="28"/>
      <w:szCs w:val="28"/>
    </w:rPr>
  </w:style>
  <w:style w:type="paragraph" w:customStyle="1" w:styleId="45">
    <w:name w:val="MTDisplayEquation"/>
    <w:basedOn w:val="1"/>
    <w:next w:val="1"/>
    <w:link w:val="46"/>
    <w:qFormat/>
    <w:uiPriority w:val="0"/>
    <w:pPr>
      <w:tabs>
        <w:tab w:val="center" w:pos="4160"/>
        <w:tab w:val="right" w:pos="8300"/>
      </w:tabs>
      <w:ind w:firstLine="482" w:firstLineChars="200"/>
    </w:pPr>
    <w:rPr>
      <w:b/>
      <w:bCs/>
    </w:rPr>
  </w:style>
  <w:style w:type="character" w:customStyle="1" w:styleId="46">
    <w:name w:val="MTDisplayEquation 字符"/>
    <w:basedOn w:val="20"/>
    <w:link w:val="45"/>
    <w:qFormat/>
    <w:uiPriority w:val="0"/>
    <w:rPr>
      <w:rFonts w:ascii="Times New Roman" w:hAnsi="Times New Roman"/>
      <w:b/>
      <w:bCs/>
      <w:sz w:val="24"/>
    </w:rPr>
  </w:style>
  <w:style w:type="table" w:customStyle="1" w:styleId="47">
    <w:name w:val="网格型1"/>
    <w:basedOn w:val="18"/>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image" Target="media/image39.wmf"/><Relationship Id="rId97" Type="http://schemas.openxmlformats.org/officeDocument/2006/relationships/oleObject" Target="embeddings/oleObject36.bin"/><Relationship Id="rId96" Type="http://schemas.openxmlformats.org/officeDocument/2006/relationships/image" Target="media/image38.wmf"/><Relationship Id="rId95" Type="http://schemas.openxmlformats.org/officeDocument/2006/relationships/oleObject" Target="embeddings/oleObject35.bin"/><Relationship Id="rId94" Type="http://schemas.openxmlformats.org/officeDocument/2006/relationships/image" Target="media/image37.wmf"/><Relationship Id="rId93" Type="http://schemas.openxmlformats.org/officeDocument/2006/relationships/oleObject" Target="embeddings/oleObject34.bin"/><Relationship Id="rId92" Type="http://schemas.openxmlformats.org/officeDocument/2006/relationships/image" Target="media/image36.wmf"/><Relationship Id="rId91" Type="http://schemas.openxmlformats.org/officeDocument/2006/relationships/oleObject" Target="embeddings/oleObject33.bin"/><Relationship Id="rId90" Type="http://schemas.openxmlformats.org/officeDocument/2006/relationships/image" Target="media/image35.wmf"/><Relationship Id="rId9" Type="http://schemas.openxmlformats.org/officeDocument/2006/relationships/footer" Target="footer2.xml"/><Relationship Id="rId89" Type="http://schemas.openxmlformats.org/officeDocument/2006/relationships/oleObject" Target="embeddings/oleObject32.bin"/><Relationship Id="rId88" Type="http://schemas.openxmlformats.org/officeDocument/2006/relationships/image" Target="media/image34.wmf"/><Relationship Id="rId87" Type="http://schemas.openxmlformats.org/officeDocument/2006/relationships/oleObject" Target="embeddings/oleObject31.bin"/><Relationship Id="rId86" Type="http://schemas.openxmlformats.org/officeDocument/2006/relationships/image" Target="media/image33.wmf"/><Relationship Id="rId85" Type="http://schemas.openxmlformats.org/officeDocument/2006/relationships/oleObject" Target="embeddings/oleObject30.bin"/><Relationship Id="rId84" Type="http://schemas.openxmlformats.org/officeDocument/2006/relationships/oleObject" Target="embeddings/oleObject29.bin"/><Relationship Id="rId83" Type="http://schemas.openxmlformats.org/officeDocument/2006/relationships/image" Target="media/image32.wmf"/><Relationship Id="rId82" Type="http://schemas.openxmlformats.org/officeDocument/2006/relationships/oleObject" Target="embeddings/oleObject28.bin"/><Relationship Id="rId81" Type="http://schemas.openxmlformats.org/officeDocument/2006/relationships/image" Target="media/image31.wmf"/><Relationship Id="rId80" Type="http://schemas.openxmlformats.org/officeDocument/2006/relationships/oleObject" Target="embeddings/oleObject27.bin"/><Relationship Id="rId8" Type="http://schemas.openxmlformats.org/officeDocument/2006/relationships/footer" Target="footer1.xml"/><Relationship Id="rId79" Type="http://schemas.openxmlformats.org/officeDocument/2006/relationships/image" Target="media/image30.wmf"/><Relationship Id="rId78" Type="http://schemas.openxmlformats.org/officeDocument/2006/relationships/oleObject" Target="embeddings/oleObject26.bin"/><Relationship Id="rId779" Type="http://schemas.openxmlformats.org/officeDocument/2006/relationships/fontTable" Target="fontTable.xml"/><Relationship Id="rId778" Type="http://schemas.openxmlformats.org/officeDocument/2006/relationships/customXml" Target="../customXml/item1.xml"/><Relationship Id="rId777" Type="http://schemas.openxmlformats.org/officeDocument/2006/relationships/numbering" Target="numbering.xml"/><Relationship Id="rId776" Type="http://schemas.openxmlformats.org/officeDocument/2006/relationships/image" Target="media/image356.png"/><Relationship Id="rId775" Type="http://schemas.openxmlformats.org/officeDocument/2006/relationships/image" Target="media/image355.png"/><Relationship Id="rId774" Type="http://schemas.openxmlformats.org/officeDocument/2006/relationships/image" Target="media/image354.png"/><Relationship Id="rId773" Type="http://schemas.openxmlformats.org/officeDocument/2006/relationships/image" Target="media/image353.png"/><Relationship Id="rId772" Type="http://schemas.openxmlformats.org/officeDocument/2006/relationships/image" Target="media/image352.png"/><Relationship Id="rId771" Type="http://schemas.openxmlformats.org/officeDocument/2006/relationships/image" Target="media/image351.wmf"/><Relationship Id="rId770" Type="http://schemas.openxmlformats.org/officeDocument/2006/relationships/oleObject" Target="embeddings/oleObject394.bin"/><Relationship Id="rId77" Type="http://schemas.openxmlformats.org/officeDocument/2006/relationships/image" Target="media/image29.wmf"/><Relationship Id="rId769" Type="http://schemas.openxmlformats.org/officeDocument/2006/relationships/image" Target="media/image350.wmf"/><Relationship Id="rId768" Type="http://schemas.openxmlformats.org/officeDocument/2006/relationships/oleObject" Target="embeddings/oleObject393.bin"/><Relationship Id="rId767" Type="http://schemas.openxmlformats.org/officeDocument/2006/relationships/oleObject" Target="embeddings/oleObject392.bin"/><Relationship Id="rId766" Type="http://schemas.openxmlformats.org/officeDocument/2006/relationships/image" Target="media/image349.wmf"/><Relationship Id="rId765" Type="http://schemas.openxmlformats.org/officeDocument/2006/relationships/oleObject" Target="embeddings/oleObject391.bin"/><Relationship Id="rId764" Type="http://schemas.openxmlformats.org/officeDocument/2006/relationships/image" Target="media/image348.wmf"/><Relationship Id="rId763" Type="http://schemas.openxmlformats.org/officeDocument/2006/relationships/oleObject" Target="embeddings/oleObject390.bin"/><Relationship Id="rId762" Type="http://schemas.openxmlformats.org/officeDocument/2006/relationships/image" Target="media/image347.wmf"/><Relationship Id="rId761" Type="http://schemas.openxmlformats.org/officeDocument/2006/relationships/oleObject" Target="embeddings/oleObject389.bin"/><Relationship Id="rId760" Type="http://schemas.openxmlformats.org/officeDocument/2006/relationships/image" Target="media/image346.wmf"/><Relationship Id="rId76" Type="http://schemas.openxmlformats.org/officeDocument/2006/relationships/oleObject" Target="embeddings/oleObject25.bin"/><Relationship Id="rId759" Type="http://schemas.openxmlformats.org/officeDocument/2006/relationships/oleObject" Target="embeddings/oleObject388.bin"/><Relationship Id="rId758" Type="http://schemas.openxmlformats.org/officeDocument/2006/relationships/image" Target="media/image345.wmf"/><Relationship Id="rId757" Type="http://schemas.openxmlformats.org/officeDocument/2006/relationships/oleObject" Target="embeddings/oleObject387.bin"/><Relationship Id="rId756" Type="http://schemas.openxmlformats.org/officeDocument/2006/relationships/oleObject" Target="embeddings/oleObject386.bin"/><Relationship Id="rId755" Type="http://schemas.openxmlformats.org/officeDocument/2006/relationships/oleObject" Target="embeddings/oleObject385.bin"/><Relationship Id="rId754" Type="http://schemas.openxmlformats.org/officeDocument/2006/relationships/image" Target="media/image344.wmf"/><Relationship Id="rId753" Type="http://schemas.openxmlformats.org/officeDocument/2006/relationships/oleObject" Target="embeddings/oleObject384.bin"/><Relationship Id="rId752" Type="http://schemas.openxmlformats.org/officeDocument/2006/relationships/image" Target="media/image343.wmf"/><Relationship Id="rId751" Type="http://schemas.openxmlformats.org/officeDocument/2006/relationships/oleObject" Target="embeddings/oleObject383.bin"/><Relationship Id="rId750" Type="http://schemas.openxmlformats.org/officeDocument/2006/relationships/oleObject" Target="embeddings/oleObject382.bin"/><Relationship Id="rId75" Type="http://schemas.openxmlformats.org/officeDocument/2006/relationships/image" Target="media/image28.wmf"/><Relationship Id="rId749" Type="http://schemas.openxmlformats.org/officeDocument/2006/relationships/oleObject" Target="embeddings/oleObject381.bin"/><Relationship Id="rId748" Type="http://schemas.openxmlformats.org/officeDocument/2006/relationships/image" Target="media/image342.wmf"/><Relationship Id="rId747" Type="http://schemas.openxmlformats.org/officeDocument/2006/relationships/oleObject" Target="embeddings/oleObject380.bin"/><Relationship Id="rId746" Type="http://schemas.openxmlformats.org/officeDocument/2006/relationships/image" Target="media/image341.wmf"/><Relationship Id="rId745" Type="http://schemas.openxmlformats.org/officeDocument/2006/relationships/oleObject" Target="embeddings/oleObject379.bin"/><Relationship Id="rId744" Type="http://schemas.openxmlformats.org/officeDocument/2006/relationships/image" Target="media/image340.wmf"/><Relationship Id="rId743" Type="http://schemas.openxmlformats.org/officeDocument/2006/relationships/oleObject" Target="embeddings/oleObject378.bin"/><Relationship Id="rId742" Type="http://schemas.openxmlformats.org/officeDocument/2006/relationships/image" Target="media/image339.wmf"/><Relationship Id="rId741" Type="http://schemas.openxmlformats.org/officeDocument/2006/relationships/oleObject" Target="embeddings/oleObject377.bin"/><Relationship Id="rId740" Type="http://schemas.openxmlformats.org/officeDocument/2006/relationships/image" Target="media/image338.wmf"/><Relationship Id="rId74" Type="http://schemas.openxmlformats.org/officeDocument/2006/relationships/oleObject" Target="embeddings/oleObject24.bin"/><Relationship Id="rId739" Type="http://schemas.openxmlformats.org/officeDocument/2006/relationships/oleObject" Target="embeddings/oleObject376.bin"/><Relationship Id="rId738" Type="http://schemas.openxmlformats.org/officeDocument/2006/relationships/image" Target="media/image337.wmf"/><Relationship Id="rId737" Type="http://schemas.openxmlformats.org/officeDocument/2006/relationships/oleObject" Target="embeddings/oleObject375.bin"/><Relationship Id="rId736" Type="http://schemas.openxmlformats.org/officeDocument/2006/relationships/image" Target="media/image336.wmf"/><Relationship Id="rId735" Type="http://schemas.openxmlformats.org/officeDocument/2006/relationships/oleObject" Target="embeddings/oleObject374.bin"/><Relationship Id="rId734" Type="http://schemas.openxmlformats.org/officeDocument/2006/relationships/image" Target="media/image335.wmf"/><Relationship Id="rId733" Type="http://schemas.openxmlformats.org/officeDocument/2006/relationships/oleObject" Target="embeddings/oleObject373.bin"/><Relationship Id="rId732" Type="http://schemas.openxmlformats.org/officeDocument/2006/relationships/image" Target="media/image334.wmf"/><Relationship Id="rId731" Type="http://schemas.openxmlformats.org/officeDocument/2006/relationships/oleObject" Target="embeddings/oleObject372.bin"/><Relationship Id="rId730" Type="http://schemas.openxmlformats.org/officeDocument/2006/relationships/image" Target="media/image333.wmf"/><Relationship Id="rId73" Type="http://schemas.openxmlformats.org/officeDocument/2006/relationships/image" Target="media/image27.wmf"/><Relationship Id="rId729" Type="http://schemas.openxmlformats.org/officeDocument/2006/relationships/oleObject" Target="embeddings/oleObject371.bin"/><Relationship Id="rId728" Type="http://schemas.openxmlformats.org/officeDocument/2006/relationships/image" Target="media/image332.wmf"/><Relationship Id="rId727" Type="http://schemas.openxmlformats.org/officeDocument/2006/relationships/oleObject" Target="embeddings/oleObject370.bin"/><Relationship Id="rId726" Type="http://schemas.openxmlformats.org/officeDocument/2006/relationships/image" Target="media/image331.wmf"/><Relationship Id="rId725" Type="http://schemas.openxmlformats.org/officeDocument/2006/relationships/oleObject" Target="embeddings/oleObject369.bin"/><Relationship Id="rId724" Type="http://schemas.openxmlformats.org/officeDocument/2006/relationships/image" Target="media/image330.wmf"/><Relationship Id="rId723" Type="http://schemas.openxmlformats.org/officeDocument/2006/relationships/oleObject" Target="embeddings/oleObject368.bin"/><Relationship Id="rId722" Type="http://schemas.openxmlformats.org/officeDocument/2006/relationships/image" Target="media/image329.wmf"/><Relationship Id="rId721" Type="http://schemas.openxmlformats.org/officeDocument/2006/relationships/oleObject" Target="embeddings/oleObject367.bin"/><Relationship Id="rId720" Type="http://schemas.openxmlformats.org/officeDocument/2006/relationships/image" Target="media/image328.wmf"/><Relationship Id="rId72" Type="http://schemas.openxmlformats.org/officeDocument/2006/relationships/oleObject" Target="embeddings/oleObject23.bin"/><Relationship Id="rId719" Type="http://schemas.openxmlformats.org/officeDocument/2006/relationships/oleObject" Target="embeddings/oleObject366.bin"/><Relationship Id="rId718" Type="http://schemas.openxmlformats.org/officeDocument/2006/relationships/image" Target="media/image327.wmf"/><Relationship Id="rId717" Type="http://schemas.openxmlformats.org/officeDocument/2006/relationships/oleObject" Target="embeddings/oleObject365.bin"/><Relationship Id="rId716" Type="http://schemas.openxmlformats.org/officeDocument/2006/relationships/image" Target="media/image326.wmf"/><Relationship Id="rId715" Type="http://schemas.openxmlformats.org/officeDocument/2006/relationships/oleObject" Target="embeddings/oleObject364.bin"/><Relationship Id="rId714" Type="http://schemas.openxmlformats.org/officeDocument/2006/relationships/image" Target="media/image325.wmf"/><Relationship Id="rId713" Type="http://schemas.openxmlformats.org/officeDocument/2006/relationships/oleObject" Target="embeddings/oleObject363.bin"/><Relationship Id="rId712" Type="http://schemas.openxmlformats.org/officeDocument/2006/relationships/image" Target="media/image324.wmf"/><Relationship Id="rId711" Type="http://schemas.openxmlformats.org/officeDocument/2006/relationships/oleObject" Target="embeddings/oleObject362.bin"/><Relationship Id="rId710" Type="http://schemas.openxmlformats.org/officeDocument/2006/relationships/image" Target="media/image323.wmf"/><Relationship Id="rId71" Type="http://schemas.openxmlformats.org/officeDocument/2006/relationships/image" Target="media/image26.emf"/><Relationship Id="rId709" Type="http://schemas.openxmlformats.org/officeDocument/2006/relationships/oleObject" Target="embeddings/oleObject361.bin"/><Relationship Id="rId708" Type="http://schemas.openxmlformats.org/officeDocument/2006/relationships/image" Target="media/image322.wmf"/><Relationship Id="rId707" Type="http://schemas.openxmlformats.org/officeDocument/2006/relationships/oleObject" Target="embeddings/oleObject360.bin"/><Relationship Id="rId706" Type="http://schemas.openxmlformats.org/officeDocument/2006/relationships/oleObject" Target="embeddings/oleObject359.bin"/><Relationship Id="rId705" Type="http://schemas.openxmlformats.org/officeDocument/2006/relationships/image" Target="media/image321.wmf"/><Relationship Id="rId704" Type="http://schemas.openxmlformats.org/officeDocument/2006/relationships/oleObject" Target="embeddings/oleObject358.bin"/><Relationship Id="rId703" Type="http://schemas.openxmlformats.org/officeDocument/2006/relationships/image" Target="media/image320.wmf"/><Relationship Id="rId702" Type="http://schemas.openxmlformats.org/officeDocument/2006/relationships/oleObject" Target="embeddings/oleObject357.bin"/><Relationship Id="rId701" Type="http://schemas.openxmlformats.org/officeDocument/2006/relationships/image" Target="media/image319.wmf"/><Relationship Id="rId700" Type="http://schemas.openxmlformats.org/officeDocument/2006/relationships/oleObject" Target="embeddings/oleObject356.bin"/><Relationship Id="rId70" Type="http://schemas.openxmlformats.org/officeDocument/2006/relationships/package" Target="embeddings/Microsoft_Visio___6.vsdx"/><Relationship Id="rId7" Type="http://schemas.openxmlformats.org/officeDocument/2006/relationships/header" Target="header3.xml"/><Relationship Id="rId699" Type="http://schemas.openxmlformats.org/officeDocument/2006/relationships/image" Target="media/image318.wmf"/><Relationship Id="rId698" Type="http://schemas.openxmlformats.org/officeDocument/2006/relationships/oleObject" Target="embeddings/oleObject355.bin"/><Relationship Id="rId697" Type="http://schemas.openxmlformats.org/officeDocument/2006/relationships/image" Target="media/image317.wmf"/><Relationship Id="rId696" Type="http://schemas.openxmlformats.org/officeDocument/2006/relationships/oleObject" Target="embeddings/oleObject354.bin"/><Relationship Id="rId695" Type="http://schemas.openxmlformats.org/officeDocument/2006/relationships/oleObject" Target="embeddings/oleObject353.bin"/><Relationship Id="rId694" Type="http://schemas.openxmlformats.org/officeDocument/2006/relationships/oleObject" Target="embeddings/oleObject352.bin"/><Relationship Id="rId693" Type="http://schemas.openxmlformats.org/officeDocument/2006/relationships/oleObject" Target="embeddings/oleObject351.bin"/><Relationship Id="rId692" Type="http://schemas.openxmlformats.org/officeDocument/2006/relationships/image" Target="media/image316.wmf"/><Relationship Id="rId691" Type="http://schemas.openxmlformats.org/officeDocument/2006/relationships/oleObject" Target="embeddings/oleObject350.bin"/><Relationship Id="rId690" Type="http://schemas.openxmlformats.org/officeDocument/2006/relationships/oleObject" Target="embeddings/oleObject349.bin"/><Relationship Id="rId69" Type="http://schemas.openxmlformats.org/officeDocument/2006/relationships/image" Target="media/image25.emf"/><Relationship Id="rId689" Type="http://schemas.openxmlformats.org/officeDocument/2006/relationships/image" Target="media/image315.wmf"/><Relationship Id="rId688" Type="http://schemas.openxmlformats.org/officeDocument/2006/relationships/oleObject" Target="embeddings/oleObject348.bin"/><Relationship Id="rId687" Type="http://schemas.openxmlformats.org/officeDocument/2006/relationships/image" Target="media/image314.wmf"/><Relationship Id="rId686" Type="http://schemas.openxmlformats.org/officeDocument/2006/relationships/oleObject" Target="embeddings/oleObject347.bin"/><Relationship Id="rId685" Type="http://schemas.openxmlformats.org/officeDocument/2006/relationships/oleObject" Target="embeddings/oleObject346.bin"/><Relationship Id="rId684" Type="http://schemas.openxmlformats.org/officeDocument/2006/relationships/image" Target="media/image313.wmf"/><Relationship Id="rId683" Type="http://schemas.openxmlformats.org/officeDocument/2006/relationships/oleObject" Target="embeddings/oleObject345.bin"/><Relationship Id="rId682" Type="http://schemas.openxmlformats.org/officeDocument/2006/relationships/oleObject" Target="embeddings/oleObject344.bin"/><Relationship Id="rId681" Type="http://schemas.openxmlformats.org/officeDocument/2006/relationships/image" Target="media/image312.wmf"/><Relationship Id="rId680" Type="http://schemas.openxmlformats.org/officeDocument/2006/relationships/oleObject" Target="embeddings/oleObject343.bin"/><Relationship Id="rId68" Type="http://schemas.openxmlformats.org/officeDocument/2006/relationships/package" Target="embeddings/Microsoft_Visio___5.vsdx"/><Relationship Id="rId679" Type="http://schemas.openxmlformats.org/officeDocument/2006/relationships/oleObject" Target="embeddings/oleObject342.bin"/><Relationship Id="rId678" Type="http://schemas.openxmlformats.org/officeDocument/2006/relationships/image" Target="media/image311.wmf"/><Relationship Id="rId677" Type="http://schemas.openxmlformats.org/officeDocument/2006/relationships/oleObject" Target="embeddings/oleObject341.bin"/><Relationship Id="rId676" Type="http://schemas.openxmlformats.org/officeDocument/2006/relationships/image" Target="media/image310.wmf"/><Relationship Id="rId675" Type="http://schemas.openxmlformats.org/officeDocument/2006/relationships/oleObject" Target="embeddings/oleObject340.bin"/><Relationship Id="rId674" Type="http://schemas.openxmlformats.org/officeDocument/2006/relationships/oleObject" Target="embeddings/oleObject339.bin"/><Relationship Id="rId673" Type="http://schemas.openxmlformats.org/officeDocument/2006/relationships/image" Target="media/image309.wmf"/><Relationship Id="rId672" Type="http://schemas.openxmlformats.org/officeDocument/2006/relationships/oleObject" Target="embeddings/oleObject338.bin"/><Relationship Id="rId671" Type="http://schemas.openxmlformats.org/officeDocument/2006/relationships/image" Target="media/image308.wmf"/><Relationship Id="rId670" Type="http://schemas.openxmlformats.org/officeDocument/2006/relationships/oleObject" Target="embeddings/oleObject337.bin"/><Relationship Id="rId67" Type="http://schemas.openxmlformats.org/officeDocument/2006/relationships/image" Target="media/image24.wmf"/><Relationship Id="rId669" Type="http://schemas.openxmlformats.org/officeDocument/2006/relationships/oleObject" Target="embeddings/oleObject336.bin"/><Relationship Id="rId668" Type="http://schemas.openxmlformats.org/officeDocument/2006/relationships/image" Target="media/image307.wmf"/><Relationship Id="rId667" Type="http://schemas.openxmlformats.org/officeDocument/2006/relationships/oleObject" Target="embeddings/oleObject335.bin"/><Relationship Id="rId666" Type="http://schemas.openxmlformats.org/officeDocument/2006/relationships/image" Target="media/image306.wmf"/><Relationship Id="rId665" Type="http://schemas.openxmlformats.org/officeDocument/2006/relationships/oleObject" Target="embeddings/oleObject334.bin"/><Relationship Id="rId664" Type="http://schemas.openxmlformats.org/officeDocument/2006/relationships/image" Target="media/image305.wmf"/><Relationship Id="rId663" Type="http://schemas.openxmlformats.org/officeDocument/2006/relationships/oleObject" Target="embeddings/oleObject333.bin"/><Relationship Id="rId662" Type="http://schemas.openxmlformats.org/officeDocument/2006/relationships/image" Target="media/image304.wmf"/><Relationship Id="rId661" Type="http://schemas.openxmlformats.org/officeDocument/2006/relationships/oleObject" Target="embeddings/oleObject332.bin"/><Relationship Id="rId660" Type="http://schemas.openxmlformats.org/officeDocument/2006/relationships/image" Target="media/image303.wmf"/><Relationship Id="rId66" Type="http://schemas.openxmlformats.org/officeDocument/2006/relationships/oleObject" Target="embeddings/oleObject22.bin"/><Relationship Id="rId659" Type="http://schemas.openxmlformats.org/officeDocument/2006/relationships/oleObject" Target="embeddings/oleObject331.bin"/><Relationship Id="rId658" Type="http://schemas.openxmlformats.org/officeDocument/2006/relationships/oleObject" Target="embeddings/oleObject330.bin"/><Relationship Id="rId657" Type="http://schemas.openxmlformats.org/officeDocument/2006/relationships/image" Target="media/image302.wmf"/><Relationship Id="rId656" Type="http://schemas.openxmlformats.org/officeDocument/2006/relationships/oleObject" Target="embeddings/oleObject329.bin"/><Relationship Id="rId655" Type="http://schemas.openxmlformats.org/officeDocument/2006/relationships/oleObject" Target="embeddings/oleObject328.bin"/><Relationship Id="rId654" Type="http://schemas.openxmlformats.org/officeDocument/2006/relationships/oleObject" Target="embeddings/oleObject327.bin"/><Relationship Id="rId653" Type="http://schemas.openxmlformats.org/officeDocument/2006/relationships/oleObject" Target="embeddings/oleObject326.bin"/><Relationship Id="rId652" Type="http://schemas.openxmlformats.org/officeDocument/2006/relationships/image" Target="media/image301.wmf"/><Relationship Id="rId651" Type="http://schemas.openxmlformats.org/officeDocument/2006/relationships/oleObject" Target="embeddings/oleObject325.bin"/><Relationship Id="rId650" Type="http://schemas.openxmlformats.org/officeDocument/2006/relationships/oleObject" Target="embeddings/oleObject324.bin"/><Relationship Id="rId65" Type="http://schemas.openxmlformats.org/officeDocument/2006/relationships/image" Target="media/image23.wmf"/><Relationship Id="rId649" Type="http://schemas.openxmlformats.org/officeDocument/2006/relationships/image" Target="media/image300.wmf"/><Relationship Id="rId648" Type="http://schemas.openxmlformats.org/officeDocument/2006/relationships/oleObject" Target="embeddings/oleObject323.bin"/><Relationship Id="rId647" Type="http://schemas.openxmlformats.org/officeDocument/2006/relationships/oleObject" Target="embeddings/oleObject322.bin"/><Relationship Id="rId646" Type="http://schemas.openxmlformats.org/officeDocument/2006/relationships/oleObject" Target="embeddings/oleObject321.bin"/><Relationship Id="rId645" Type="http://schemas.openxmlformats.org/officeDocument/2006/relationships/image" Target="media/image299.wmf"/><Relationship Id="rId644" Type="http://schemas.openxmlformats.org/officeDocument/2006/relationships/oleObject" Target="embeddings/oleObject320.bin"/><Relationship Id="rId643" Type="http://schemas.openxmlformats.org/officeDocument/2006/relationships/oleObject" Target="embeddings/oleObject319.bin"/><Relationship Id="rId642" Type="http://schemas.openxmlformats.org/officeDocument/2006/relationships/oleObject" Target="embeddings/oleObject318.bin"/><Relationship Id="rId641" Type="http://schemas.openxmlformats.org/officeDocument/2006/relationships/oleObject" Target="embeddings/oleObject317.bin"/><Relationship Id="rId640" Type="http://schemas.openxmlformats.org/officeDocument/2006/relationships/oleObject" Target="embeddings/oleObject316.bin"/><Relationship Id="rId64" Type="http://schemas.openxmlformats.org/officeDocument/2006/relationships/oleObject" Target="embeddings/oleObject21.bin"/><Relationship Id="rId639" Type="http://schemas.openxmlformats.org/officeDocument/2006/relationships/image" Target="media/image298.wmf"/><Relationship Id="rId638" Type="http://schemas.openxmlformats.org/officeDocument/2006/relationships/oleObject" Target="embeddings/oleObject315.bin"/><Relationship Id="rId637" Type="http://schemas.openxmlformats.org/officeDocument/2006/relationships/image" Target="media/image297.wmf"/><Relationship Id="rId636" Type="http://schemas.openxmlformats.org/officeDocument/2006/relationships/oleObject" Target="embeddings/oleObject314.bin"/><Relationship Id="rId635" Type="http://schemas.openxmlformats.org/officeDocument/2006/relationships/image" Target="media/image296.wmf"/><Relationship Id="rId634" Type="http://schemas.openxmlformats.org/officeDocument/2006/relationships/oleObject" Target="embeddings/oleObject313.bin"/><Relationship Id="rId633" Type="http://schemas.openxmlformats.org/officeDocument/2006/relationships/image" Target="media/image295.wmf"/><Relationship Id="rId632" Type="http://schemas.openxmlformats.org/officeDocument/2006/relationships/oleObject" Target="embeddings/oleObject312.bin"/><Relationship Id="rId631" Type="http://schemas.openxmlformats.org/officeDocument/2006/relationships/image" Target="media/image294.wmf"/><Relationship Id="rId630" Type="http://schemas.openxmlformats.org/officeDocument/2006/relationships/oleObject" Target="embeddings/oleObject311.bin"/><Relationship Id="rId63" Type="http://schemas.openxmlformats.org/officeDocument/2006/relationships/image" Target="media/image22.wmf"/><Relationship Id="rId629" Type="http://schemas.openxmlformats.org/officeDocument/2006/relationships/image" Target="media/image293.wmf"/><Relationship Id="rId628" Type="http://schemas.openxmlformats.org/officeDocument/2006/relationships/oleObject" Target="embeddings/oleObject310.bin"/><Relationship Id="rId627" Type="http://schemas.openxmlformats.org/officeDocument/2006/relationships/image" Target="media/image292.wmf"/><Relationship Id="rId626" Type="http://schemas.openxmlformats.org/officeDocument/2006/relationships/oleObject" Target="embeddings/oleObject309.bin"/><Relationship Id="rId625" Type="http://schemas.openxmlformats.org/officeDocument/2006/relationships/image" Target="media/image291.wmf"/><Relationship Id="rId624" Type="http://schemas.openxmlformats.org/officeDocument/2006/relationships/oleObject" Target="embeddings/oleObject308.bin"/><Relationship Id="rId623" Type="http://schemas.openxmlformats.org/officeDocument/2006/relationships/image" Target="media/image290.wmf"/><Relationship Id="rId622" Type="http://schemas.openxmlformats.org/officeDocument/2006/relationships/oleObject" Target="embeddings/oleObject307.bin"/><Relationship Id="rId621" Type="http://schemas.openxmlformats.org/officeDocument/2006/relationships/image" Target="media/image289.wmf"/><Relationship Id="rId620" Type="http://schemas.openxmlformats.org/officeDocument/2006/relationships/oleObject" Target="embeddings/oleObject306.bin"/><Relationship Id="rId62" Type="http://schemas.openxmlformats.org/officeDocument/2006/relationships/oleObject" Target="embeddings/oleObject20.bin"/><Relationship Id="rId619" Type="http://schemas.openxmlformats.org/officeDocument/2006/relationships/image" Target="media/image288.wmf"/><Relationship Id="rId618" Type="http://schemas.openxmlformats.org/officeDocument/2006/relationships/oleObject" Target="embeddings/oleObject305.bin"/><Relationship Id="rId617" Type="http://schemas.openxmlformats.org/officeDocument/2006/relationships/image" Target="media/image287.wmf"/><Relationship Id="rId616" Type="http://schemas.openxmlformats.org/officeDocument/2006/relationships/oleObject" Target="embeddings/oleObject304.bin"/><Relationship Id="rId615" Type="http://schemas.openxmlformats.org/officeDocument/2006/relationships/image" Target="media/image286.wmf"/><Relationship Id="rId614" Type="http://schemas.openxmlformats.org/officeDocument/2006/relationships/oleObject" Target="embeddings/oleObject303.bin"/><Relationship Id="rId613" Type="http://schemas.openxmlformats.org/officeDocument/2006/relationships/image" Target="media/image285.wmf"/><Relationship Id="rId612" Type="http://schemas.openxmlformats.org/officeDocument/2006/relationships/oleObject" Target="embeddings/oleObject302.bin"/><Relationship Id="rId611" Type="http://schemas.openxmlformats.org/officeDocument/2006/relationships/image" Target="media/image284.wmf"/><Relationship Id="rId610" Type="http://schemas.openxmlformats.org/officeDocument/2006/relationships/oleObject" Target="embeddings/oleObject301.bin"/><Relationship Id="rId61" Type="http://schemas.openxmlformats.org/officeDocument/2006/relationships/oleObject" Target="embeddings/oleObject19.bin"/><Relationship Id="rId609" Type="http://schemas.openxmlformats.org/officeDocument/2006/relationships/image" Target="media/image283.wmf"/><Relationship Id="rId608" Type="http://schemas.openxmlformats.org/officeDocument/2006/relationships/oleObject" Target="embeddings/oleObject300.bin"/><Relationship Id="rId607" Type="http://schemas.openxmlformats.org/officeDocument/2006/relationships/oleObject" Target="embeddings/oleObject299.bin"/><Relationship Id="rId606" Type="http://schemas.openxmlformats.org/officeDocument/2006/relationships/oleObject" Target="embeddings/oleObject298.bin"/><Relationship Id="rId605" Type="http://schemas.openxmlformats.org/officeDocument/2006/relationships/image" Target="media/image282.wmf"/><Relationship Id="rId604" Type="http://schemas.openxmlformats.org/officeDocument/2006/relationships/oleObject" Target="embeddings/oleObject297.bin"/><Relationship Id="rId603" Type="http://schemas.openxmlformats.org/officeDocument/2006/relationships/image" Target="media/image281.wmf"/><Relationship Id="rId602" Type="http://schemas.openxmlformats.org/officeDocument/2006/relationships/oleObject" Target="embeddings/oleObject296.bin"/><Relationship Id="rId601" Type="http://schemas.openxmlformats.org/officeDocument/2006/relationships/image" Target="media/image280.wmf"/><Relationship Id="rId600" Type="http://schemas.openxmlformats.org/officeDocument/2006/relationships/oleObject" Target="embeddings/oleObject295.bin"/><Relationship Id="rId60" Type="http://schemas.openxmlformats.org/officeDocument/2006/relationships/image" Target="media/image21.wmf"/><Relationship Id="rId6" Type="http://schemas.openxmlformats.org/officeDocument/2006/relationships/header" Target="header2.xml"/><Relationship Id="rId599" Type="http://schemas.openxmlformats.org/officeDocument/2006/relationships/image" Target="media/image279.wmf"/><Relationship Id="rId598" Type="http://schemas.openxmlformats.org/officeDocument/2006/relationships/oleObject" Target="embeddings/oleObject294.bin"/><Relationship Id="rId597" Type="http://schemas.openxmlformats.org/officeDocument/2006/relationships/image" Target="media/image278.wmf"/><Relationship Id="rId596" Type="http://schemas.openxmlformats.org/officeDocument/2006/relationships/oleObject" Target="embeddings/oleObject293.bin"/><Relationship Id="rId595" Type="http://schemas.openxmlformats.org/officeDocument/2006/relationships/image" Target="media/image277.wmf"/><Relationship Id="rId594" Type="http://schemas.openxmlformats.org/officeDocument/2006/relationships/oleObject" Target="embeddings/oleObject292.bin"/><Relationship Id="rId593" Type="http://schemas.openxmlformats.org/officeDocument/2006/relationships/image" Target="media/image276.wmf"/><Relationship Id="rId592" Type="http://schemas.openxmlformats.org/officeDocument/2006/relationships/oleObject" Target="embeddings/oleObject291.bin"/><Relationship Id="rId591" Type="http://schemas.openxmlformats.org/officeDocument/2006/relationships/image" Target="media/image275.wmf"/><Relationship Id="rId590" Type="http://schemas.openxmlformats.org/officeDocument/2006/relationships/oleObject" Target="embeddings/oleObject290.bin"/><Relationship Id="rId59" Type="http://schemas.openxmlformats.org/officeDocument/2006/relationships/oleObject" Target="embeddings/oleObject18.bin"/><Relationship Id="rId589" Type="http://schemas.openxmlformats.org/officeDocument/2006/relationships/image" Target="media/image274.wmf"/><Relationship Id="rId588" Type="http://schemas.openxmlformats.org/officeDocument/2006/relationships/oleObject" Target="embeddings/oleObject289.bin"/><Relationship Id="rId587" Type="http://schemas.openxmlformats.org/officeDocument/2006/relationships/image" Target="media/image273.wmf"/><Relationship Id="rId586" Type="http://schemas.openxmlformats.org/officeDocument/2006/relationships/oleObject" Target="embeddings/oleObject288.bin"/><Relationship Id="rId585" Type="http://schemas.openxmlformats.org/officeDocument/2006/relationships/image" Target="media/image272.wmf"/><Relationship Id="rId584" Type="http://schemas.openxmlformats.org/officeDocument/2006/relationships/oleObject" Target="embeddings/oleObject287.bin"/><Relationship Id="rId583" Type="http://schemas.openxmlformats.org/officeDocument/2006/relationships/image" Target="media/image271.wmf"/><Relationship Id="rId582" Type="http://schemas.openxmlformats.org/officeDocument/2006/relationships/oleObject" Target="embeddings/oleObject286.bin"/><Relationship Id="rId581" Type="http://schemas.openxmlformats.org/officeDocument/2006/relationships/image" Target="media/image270.wmf"/><Relationship Id="rId580" Type="http://schemas.openxmlformats.org/officeDocument/2006/relationships/oleObject" Target="embeddings/oleObject285.bin"/><Relationship Id="rId58" Type="http://schemas.openxmlformats.org/officeDocument/2006/relationships/image" Target="media/image20.wmf"/><Relationship Id="rId579" Type="http://schemas.openxmlformats.org/officeDocument/2006/relationships/image" Target="media/image269.wmf"/><Relationship Id="rId578" Type="http://schemas.openxmlformats.org/officeDocument/2006/relationships/oleObject" Target="embeddings/oleObject284.bin"/><Relationship Id="rId577" Type="http://schemas.openxmlformats.org/officeDocument/2006/relationships/oleObject" Target="embeddings/oleObject283.bin"/><Relationship Id="rId576" Type="http://schemas.openxmlformats.org/officeDocument/2006/relationships/image" Target="media/image268.wmf"/><Relationship Id="rId575" Type="http://schemas.openxmlformats.org/officeDocument/2006/relationships/oleObject" Target="embeddings/oleObject282.bin"/><Relationship Id="rId574" Type="http://schemas.openxmlformats.org/officeDocument/2006/relationships/image" Target="media/image267.wmf"/><Relationship Id="rId573" Type="http://schemas.openxmlformats.org/officeDocument/2006/relationships/oleObject" Target="embeddings/oleObject281.bin"/><Relationship Id="rId572" Type="http://schemas.openxmlformats.org/officeDocument/2006/relationships/oleObject" Target="embeddings/oleObject280.bin"/><Relationship Id="rId571" Type="http://schemas.openxmlformats.org/officeDocument/2006/relationships/image" Target="media/image266.wmf"/><Relationship Id="rId570" Type="http://schemas.openxmlformats.org/officeDocument/2006/relationships/oleObject" Target="embeddings/oleObject279.bin"/><Relationship Id="rId57" Type="http://schemas.openxmlformats.org/officeDocument/2006/relationships/oleObject" Target="embeddings/oleObject17.bin"/><Relationship Id="rId569" Type="http://schemas.openxmlformats.org/officeDocument/2006/relationships/image" Target="media/image265.wmf"/><Relationship Id="rId568" Type="http://schemas.openxmlformats.org/officeDocument/2006/relationships/oleObject" Target="embeddings/oleObject278.bin"/><Relationship Id="rId567" Type="http://schemas.openxmlformats.org/officeDocument/2006/relationships/image" Target="media/image264.wmf"/><Relationship Id="rId566" Type="http://schemas.openxmlformats.org/officeDocument/2006/relationships/oleObject" Target="embeddings/oleObject277.bin"/><Relationship Id="rId565" Type="http://schemas.openxmlformats.org/officeDocument/2006/relationships/image" Target="media/image263.wmf"/><Relationship Id="rId564" Type="http://schemas.openxmlformats.org/officeDocument/2006/relationships/oleObject" Target="embeddings/oleObject276.bin"/><Relationship Id="rId563" Type="http://schemas.openxmlformats.org/officeDocument/2006/relationships/image" Target="media/image262.wmf"/><Relationship Id="rId562" Type="http://schemas.openxmlformats.org/officeDocument/2006/relationships/oleObject" Target="embeddings/oleObject275.bin"/><Relationship Id="rId561" Type="http://schemas.openxmlformats.org/officeDocument/2006/relationships/image" Target="media/image261.wmf"/><Relationship Id="rId560" Type="http://schemas.openxmlformats.org/officeDocument/2006/relationships/oleObject" Target="embeddings/oleObject274.bin"/><Relationship Id="rId56" Type="http://schemas.openxmlformats.org/officeDocument/2006/relationships/image" Target="media/image19.wmf"/><Relationship Id="rId559" Type="http://schemas.openxmlformats.org/officeDocument/2006/relationships/image" Target="media/image260.wmf"/><Relationship Id="rId558" Type="http://schemas.openxmlformats.org/officeDocument/2006/relationships/oleObject" Target="embeddings/oleObject273.bin"/><Relationship Id="rId557" Type="http://schemas.openxmlformats.org/officeDocument/2006/relationships/image" Target="media/image259.wmf"/><Relationship Id="rId556" Type="http://schemas.openxmlformats.org/officeDocument/2006/relationships/oleObject" Target="embeddings/oleObject272.bin"/><Relationship Id="rId555" Type="http://schemas.openxmlformats.org/officeDocument/2006/relationships/image" Target="media/image258.wmf"/><Relationship Id="rId554" Type="http://schemas.openxmlformats.org/officeDocument/2006/relationships/oleObject" Target="embeddings/oleObject271.bin"/><Relationship Id="rId553" Type="http://schemas.openxmlformats.org/officeDocument/2006/relationships/image" Target="media/image257.wmf"/><Relationship Id="rId552" Type="http://schemas.openxmlformats.org/officeDocument/2006/relationships/oleObject" Target="embeddings/oleObject270.bin"/><Relationship Id="rId551" Type="http://schemas.openxmlformats.org/officeDocument/2006/relationships/image" Target="media/image256.wmf"/><Relationship Id="rId550" Type="http://schemas.openxmlformats.org/officeDocument/2006/relationships/oleObject" Target="embeddings/oleObject269.bin"/><Relationship Id="rId55" Type="http://schemas.openxmlformats.org/officeDocument/2006/relationships/oleObject" Target="embeddings/oleObject16.bin"/><Relationship Id="rId549" Type="http://schemas.openxmlformats.org/officeDocument/2006/relationships/image" Target="media/image255.wmf"/><Relationship Id="rId548" Type="http://schemas.openxmlformats.org/officeDocument/2006/relationships/oleObject" Target="embeddings/oleObject268.bin"/><Relationship Id="rId547" Type="http://schemas.openxmlformats.org/officeDocument/2006/relationships/image" Target="media/image254.wmf"/><Relationship Id="rId546" Type="http://schemas.openxmlformats.org/officeDocument/2006/relationships/oleObject" Target="embeddings/oleObject267.bin"/><Relationship Id="rId545" Type="http://schemas.openxmlformats.org/officeDocument/2006/relationships/image" Target="media/image253.wmf"/><Relationship Id="rId544" Type="http://schemas.openxmlformats.org/officeDocument/2006/relationships/oleObject" Target="embeddings/oleObject266.bin"/><Relationship Id="rId543" Type="http://schemas.openxmlformats.org/officeDocument/2006/relationships/image" Target="media/image252.wmf"/><Relationship Id="rId542" Type="http://schemas.openxmlformats.org/officeDocument/2006/relationships/oleObject" Target="embeddings/oleObject265.bin"/><Relationship Id="rId541" Type="http://schemas.openxmlformats.org/officeDocument/2006/relationships/image" Target="media/image251.wmf"/><Relationship Id="rId540" Type="http://schemas.openxmlformats.org/officeDocument/2006/relationships/oleObject" Target="embeddings/oleObject264.bin"/><Relationship Id="rId54" Type="http://schemas.openxmlformats.org/officeDocument/2006/relationships/image" Target="media/image18.emf"/><Relationship Id="rId539" Type="http://schemas.openxmlformats.org/officeDocument/2006/relationships/image" Target="media/image250.wmf"/><Relationship Id="rId538" Type="http://schemas.openxmlformats.org/officeDocument/2006/relationships/oleObject" Target="embeddings/oleObject263.bin"/><Relationship Id="rId537" Type="http://schemas.openxmlformats.org/officeDocument/2006/relationships/image" Target="media/image249.wmf"/><Relationship Id="rId536" Type="http://schemas.openxmlformats.org/officeDocument/2006/relationships/oleObject" Target="embeddings/oleObject262.bin"/><Relationship Id="rId535" Type="http://schemas.openxmlformats.org/officeDocument/2006/relationships/image" Target="media/image248.wmf"/><Relationship Id="rId534" Type="http://schemas.openxmlformats.org/officeDocument/2006/relationships/oleObject" Target="embeddings/oleObject261.bin"/><Relationship Id="rId533" Type="http://schemas.openxmlformats.org/officeDocument/2006/relationships/image" Target="media/image247.wmf"/><Relationship Id="rId532" Type="http://schemas.openxmlformats.org/officeDocument/2006/relationships/oleObject" Target="embeddings/oleObject260.bin"/><Relationship Id="rId531" Type="http://schemas.openxmlformats.org/officeDocument/2006/relationships/image" Target="media/image246.wmf"/><Relationship Id="rId530" Type="http://schemas.openxmlformats.org/officeDocument/2006/relationships/oleObject" Target="embeddings/oleObject259.bin"/><Relationship Id="rId53" Type="http://schemas.openxmlformats.org/officeDocument/2006/relationships/package" Target="embeddings/Microsoft_Visio___4.vsdx"/><Relationship Id="rId529" Type="http://schemas.openxmlformats.org/officeDocument/2006/relationships/image" Target="media/image245.wmf"/><Relationship Id="rId528" Type="http://schemas.openxmlformats.org/officeDocument/2006/relationships/oleObject" Target="embeddings/oleObject258.bin"/><Relationship Id="rId527" Type="http://schemas.openxmlformats.org/officeDocument/2006/relationships/image" Target="media/image244.wmf"/><Relationship Id="rId526" Type="http://schemas.openxmlformats.org/officeDocument/2006/relationships/oleObject" Target="embeddings/oleObject257.bin"/><Relationship Id="rId525" Type="http://schemas.openxmlformats.org/officeDocument/2006/relationships/image" Target="media/image243.wmf"/><Relationship Id="rId524" Type="http://schemas.openxmlformats.org/officeDocument/2006/relationships/oleObject" Target="embeddings/oleObject256.bin"/><Relationship Id="rId523" Type="http://schemas.openxmlformats.org/officeDocument/2006/relationships/image" Target="media/image242.wmf"/><Relationship Id="rId522" Type="http://schemas.openxmlformats.org/officeDocument/2006/relationships/oleObject" Target="embeddings/oleObject255.bin"/><Relationship Id="rId521" Type="http://schemas.openxmlformats.org/officeDocument/2006/relationships/image" Target="media/image241.wmf"/><Relationship Id="rId520" Type="http://schemas.openxmlformats.org/officeDocument/2006/relationships/oleObject" Target="embeddings/oleObject254.bin"/><Relationship Id="rId52" Type="http://schemas.openxmlformats.org/officeDocument/2006/relationships/image" Target="media/image17.wmf"/><Relationship Id="rId519" Type="http://schemas.openxmlformats.org/officeDocument/2006/relationships/image" Target="media/image240.wmf"/><Relationship Id="rId518" Type="http://schemas.openxmlformats.org/officeDocument/2006/relationships/oleObject" Target="embeddings/oleObject253.bin"/><Relationship Id="rId517" Type="http://schemas.openxmlformats.org/officeDocument/2006/relationships/image" Target="media/image239.wmf"/><Relationship Id="rId516" Type="http://schemas.openxmlformats.org/officeDocument/2006/relationships/oleObject" Target="embeddings/oleObject252.bin"/><Relationship Id="rId515" Type="http://schemas.openxmlformats.org/officeDocument/2006/relationships/image" Target="media/image238.wmf"/><Relationship Id="rId514" Type="http://schemas.openxmlformats.org/officeDocument/2006/relationships/oleObject" Target="embeddings/oleObject251.bin"/><Relationship Id="rId513" Type="http://schemas.openxmlformats.org/officeDocument/2006/relationships/image" Target="media/image237.emf"/><Relationship Id="rId512" Type="http://schemas.openxmlformats.org/officeDocument/2006/relationships/package" Target="embeddings/Microsoft_Visio___9.vsdx"/><Relationship Id="rId511" Type="http://schemas.openxmlformats.org/officeDocument/2006/relationships/image" Target="media/image236.png"/><Relationship Id="rId510" Type="http://schemas.openxmlformats.org/officeDocument/2006/relationships/image" Target="media/image235.png"/><Relationship Id="rId51" Type="http://schemas.openxmlformats.org/officeDocument/2006/relationships/oleObject" Target="embeddings/oleObject15.bin"/><Relationship Id="rId509" Type="http://schemas.openxmlformats.org/officeDocument/2006/relationships/image" Target="media/image234.png"/><Relationship Id="rId508" Type="http://schemas.openxmlformats.org/officeDocument/2006/relationships/image" Target="media/image233.png"/><Relationship Id="rId507" Type="http://schemas.openxmlformats.org/officeDocument/2006/relationships/oleObject" Target="embeddings/oleObject250.bin"/><Relationship Id="rId506" Type="http://schemas.openxmlformats.org/officeDocument/2006/relationships/oleObject" Target="embeddings/oleObject249.bin"/><Relationship Id="rId505" Type="http://schemas.openxmlformats.org/officeDocument/2006/relationships/image" Target="media/image232.wmf"/><Relationship Id="rId504" Type="http://schemas.openxmlformats.org/officeDocument/2006/relationships/oleObject" Target="embeddings/oleObject248.bin"/><Relationship Id="rId503" Type="http://schemas.openxmlformats.org/officeDocument/2006/relationships/image" Target="media/image231.png"/><Relationship Id="rId502" Type="http://schemas.openxmlformats.org/officeDocument/2006/relationships/image" Target="media/image230.png"/><Relationship Id="rId501" Type="http://schemas.openxmlformats.org/officeDocument/2006/relationships/image" Target="media/image229.wmf"/><Relationship Id="rId500" Type="http://schemas.openxmlformats.org/officeDocument/2006/relationships/oleObject" Target="embeddings/oleObject247.bin"/><Relationship Id="rId50" Type="http://schemas.openxmlformats.org/officeDocument/2006/relationships/image" Target="media/image16.wmf"/><Relationship Id="rId5" Type="http://schemas.openxmlformats.org/officeDocument/2006/relationships/header" Target="header1.xml"/><Relationship Id="rId499" Type="http://schemas.openxmlformats.org/officeDocument/2006/relationships/image" Target="media/image228.wmf"/><Relationship Id="rId498" Type="http://schemas.openxmlformats.org/officeDocument/2006/relationships/oleObject" Target="embeddings/oleObject246.bin"/><Relationship Id="rId497" Type="http://schemas.openxmlformats.org/officeDocument/2006/relationships/image" Target="media/image227.wmf"/><Relationship Id="rId496" Type="http://schemas.openxmlformats.org/officeDocument/2006/relationships/oleObject" Target="embeddings/oleObject245.bin"/><Relationship Id="rId495" Type="http://schemas.openxmlformats.org/officeDocument/2006/relationships/image" Target="media/image226.wmf"/><Relationship Id="rId494" Type="http://schemas.openxmlformats.org/officeDocument/2006/relationships/oleObject" Target="embeddings/oleObject244.bin"/><Relationship Id="rId493" Type="http://schemas.openxmlformats.org/officeDocument/2006/relationships/image" Target="media/image225.wmf"/><Relationship Id="rId492" Type="http://schemas.openxmlformats.org/officeDocument/2006/relationships/oleObject" Target="embeddings/oleObject243.bin"/><Relationship Id="rId491" Type="http://schemas.openxmlformats.org/officeDocument/2006/relationships/image" Target="media/image224.wmf"/><Relationship Id="rId490" Type="http://schemas.openxmlformats.org/officeDocument/2006/relationships/oleObject" Target="embeddings/oleObject242.bin"/><Relationship Id="rId49" Type="http://schemas.openxmlformats.org/officeDocument/2006/relationships/oleObject" Target="embeddings/oleObject14.bin"/><Relationship Id="rId489" Type="http://schemas.openxmlformats.org/officeDocument/2006/relationships/image" Target="media/image223.wmf"/><Relationship Id="rId488" Type="http://schemas.openxmlformats.org/officeDocument/2006/relationships/oleObject" Target="embeddings/oleObject241.bin"/><Relationship Id="rId487" Type="http://schemas.openxmlformats.org/officeDocument/2006/relationships/image" Target="media/image222.wmf"/><Relationship Id="rId486" Type="http://schemas.openxmlformats.org/officeDocument/2006/relationships/oleObject" Target="embeddings/oleObject240.bin"/><Relationship Id="rId485" Type="http://schemas.openxmlformats.org/officeDocument/2006/relationships/image" Target="media/image221.wmf"/><Relationship Id="rId484" Type="http://schemas.openxmlformats.org/officeDocument/2006/relationships/oleObject" Target="embeddings/oleObject239.bin"/><Relationship Id="rId483" Type="http://schemas.openxmlformats.org/officeDocument/2006/relationships/image" Target="media/image220.wmf"/><Relationship Id="rId482" Type="http://schemas.openxmlformats.org/officeDocument/2006/relationships/oleObject" Target="embeddings/oleObject238.bin"/><Relationship Id="rId481" Type="http://schemas.openxmlformats.org/officeDocument/2006/relationships/image" Target="media/image219.wmf"/><Relationship Id="rId480" Type="http://schemas.openxmlformats.org/officeDocument/2006/relationships/oleObject" Target="embeddings/oleObject237.bin"/><Relationship Id="rId48" Type="http://schemas.openxmlformats.org/officeDocument/2006/relationships/image" Target="media/image15.wmf"/><Relationship Id="rId479" Type="http://schemas.openxmlformats.org/officeDocument/2006/relationships/image" Target="media/image218.wmf"/><Relationship Id="rId478" Type="http://schemas.openxmlformats.org/officeDocument/2006/relationships/oleObject" Target="embeddings/oleObject236.bin"/><Relationship Id="rId477" Type="http://schemas.openxmlformats.org/officeDocument/2006/relationships/image" Target="media/image217.wmf"/><Relationship Id="rId476" Type="http://schemas.openxmlformats.org/officeDocument/2006/relationships/oleObject" Target="embeddings/oleObject235.bin"/><Relationship Id="rId475" Type="http://schemas.openxmlformats.org/officeDocument/2006/relationships/image" Target="media/image216.wmf"/><Relationship Id="rId474" Type="http://schemas.openxmlformats.org/officeDocument/2006/relationships/oleObject" Target="embeddings/oleObject234.bin"/><Relationship Id="rId473" Type="http://schemas.openxmlformats.org/officeDocument/2006/relationships/image" Target="media/image215.wmf"/><Relationship Id="rId472" Type="http://schemas.openxmlformats.org/officeDocument/2006/relationships/oleObject" Target="embeddings/oleObject233.bin"/><Relationship Id="rId471" Type="http://schemas.openxmlformats.org/officeDocument/2006/relationships/image" Target="media/image214.wmf"/><Relationship Id="rId470" Type="http://schemas.openxmlformats.org/officeDocument/2006/relationships/oleObject" Target="embeddings/oleObject232.bin"/><Relationship Id="rId47" Type="http://schemas.openxmlformats.org/officeDocument/2006/relationships/oleObject" Target="embeddings/oleObject13.bin"/><Relationship Id="rId469" Type="http://schemas.openxmlformats.org/officeDocument/2006/relationships/image" Target="media/image213.wmf"/><Relationship Id="rId468" Type="http://schemas.openxmlformats.org/officeDocument/2006/relationships/oleObject" Target="embeddings/oleObject231.bin"/><Relationship Id="rId467" Type="http://schemas.openxmlformats.org/officeDocument/2006/relationships/image" Target="media/image212.wmf"/><Relationship Id="rId466" Type="http://schemas.openxmlformats.org/officeDocument/2006/relationships/oleObject" Target="embeddings/oleObject230.bin"/><Relationship Id="rId465" Type="http://schemas.openxmlformats.org/officeDocument/2006/relationships/image" Target="media/image211.wmf"/><Relationship Id="rId464" Type="http://schemas.openxmlformats.org/officeDocument/2006/relationships/oleObject" Target="embeddings/oleObject229.bin"/><Relationship Id="rId463" Type="http://schemas.openxmlformats.org/officeDocument/2006/relationships/image" Target="media/image210.wmf"/><Relationship Id="rId462" Type="http://schemas.openxmlformats.org/officeDocument/2006/relationships/oleObject" Target="embeddings/oleObject228.bin"/><Relationship Id="rId461" Type="http://schemas.openxmlformats.org/officeDocument/2006/relationships/image" Target="media/image209.wmf"/><Relationship Id="rId460" Type="http://schemas.openxmlformats.org/officeDocument/2006/relationships/oleObject" Target="embeddings/oleObject227.bin"/><Relationship Id="rId46" Type="http://schemas.openxmlformats.org/officeDocument/2006/relationships/image" Target="media/image14.wmf"/><Relationship Id="rId459" Type="http://schemas.openxmlformats.org/officeDocument/2006/relationships/image" Target="media/image208.wmf"/><Relationship Id="rId458" Type="http://schemas.openxmlformats.org/officeDocument/2006/relationships/oleObject" Target="embeddings/oleObject226.bin"/><Relationship Id="rId457" Type="http://schemas.openxmlformats.org/officeDocument/2006/relationships/image" Target="media/image207.wmf"/><Relationship Id="rId456" Type="http://schemas.openxmlformats.org/officeDocument/2006/relationships/oleObject" Target="embeddings/oleObject225.bin"/><Relationship Id="rId455" Type="http://schemas.openxmlformats.org/officeDocument/2006/relationships/image" Target="media/image206.wmf"/><Relationship Id="rId454" Type="http://schemas.openxmlformats.org/officeDocument/2006/relationships/oleObject" Target="embeddings/oleObject224.bin"/><Relationship Id="rId453" Type="http://schemas.openxmlformats.org/officeDocument/2006/relationships/image" Target="media/image205.wmf"/><Relationship Id="rId452" Type="http://schemas.openxmlformats.org/officeDocument/2006/relationships/oleObject" Target="embeddings/oleObject223.bin"/><Relationship Id="rId451" Type="http://schemas.openxmlformats.org/officeDocument/2006/relationships/image" Target="media/image204.wmf"/><Relationship Id="rId450" Type="http://schemas.openxmlformats.org/officeDocument/2006/relationships/oleObject" Target="embeddings/oleObject222.bin"/><Relationship Id="rId45" Type="http://schemas.openxmlformats.org/officeDocument/2006/relationships/oleObject" Target="embeddings/oleObject12.bin"/><Relationship Id="rId449" Type="http://schemas.openxmlformats.org/officeDocument/2006/relationships/image" Target="media/image203.wmf"/><Relationship Id="rId448" Type="http://schemas.openxmlformats.org/officeDocument/2006/relationships/oleObject" Target="embeddings/oleObject221.bin"/><Relationship Id="rId447" Type="http://schemas.openxmlformats.org/officeDocument/2006/relationships/image" Target="media/image202.wmf"/><Relationship Id="rId446" Type="http://schemas.openxmlformats.org/officeDocument/2006/relationships/oleObject" Target="embeddings/oleObject220.bin"/><Relationship Id="rId445" Type="http://schemas.openxmlformats.org/officeDocument/2006/relationships/image" Target="media/image201.wmf"/><Relationship Id="rId444" Type="http://schemas.openxmlformats.org/officeDocument/2006/relationships/oleObject" Target="embeddings/oleObject219.bin"/><Relationship Id="rId443" Type="http://schemas.openxmlformats.org/officeDocument/2006/relationships/image" Target="media/image200.wmf"/><Relationship Id="rId442" Type="http://schemas.openxmlformats.org/officeDocument/2006/relationships/oleObject" Target="embeddings/oleObject218.bin"/><Relationship Id="rId441" Type="http://schemas.openxmlformats.org/officeDocument/2006/relationships/image" Target="media/image199.wmf"/><Relationship Id="rId440" Type="http://schemas.openxmlformats.org/officeDocument/2006/relationships/oleObject" Target="embeddings/oleObject217.bin"/><Relationship Id="rId44" Type="http://schemas.openxmlformats.org/officeDocument/2006/relationships/image" Target="media/image13.wmf"/><Relationship Id="rId439" Type="http://schemas.openxmlformats.org/officeDocument/2006/relationships/image" Target="media/image198.wmf"/><Relationship Id="rId438" Type="http://schemas.openxmlformats.org/officeDocument/2006/relationships/oleObject" Target="embeddings/oleObject216.bin"/><Relationship Id="rId437" Type="http://schemas.openxmlformats.org/officeDocument/2006/relationships/image" Target="media/image197.wmf"/><Relationship Id="rId436" Type="http://schemas.openxmlformats.org/officeDocument/2006/relationships/oleObject" Target="embeddings/oleObject215.bin"/><Relationship Id="rId435" Type="http://schemas.openxmlformats.org/officeDocument/2006/relationships/image" Target="media/image196.wmf"/><Relationship Id="rId434" Type="http://schemas.openxmlformats.org/officeDocument/2006/relationships/oleObject" Target="embeddings/oleObject214.bin"/><Relationship Id="rId433" Type="http://schemas.openxmlformats.org/officeDocument/2006/relationships/image" Target="media/image195.wmf"/><Relationship Id="rId432" Type="http://schemas.openxmlformats.org/officeDocument/2006/relationships/oleObject" Target="embeddings/oleObject213.bin"/><Relationship Id="rId431" Type="http://schemas.openxmlformats.org/officeDocument/2006/relationships/image" Target="media/image194.wmf"/><Relationship Id="rId430" Type="http://schemas.openxmlformats.org/officeDocument/2006/relationships/oleObject" Target="embeddings/oleObject212.bin"/><Relationship Id="rId43" Type="http://schemas.openxmlformats.org/officeDocument/2006/relationships/oleObject" Target="embeddings/oleObject11.bin"/><Relationship Id="rId429" Type="http://schemas.openxmlformats.org/officeDocument/2006/relationships/image" Target="media/image193.wmf"/><Relationship Id="rId428" Type="http://schemas.openxmlformats.org/officeDocument/2006/relationships/oleObject" Target="embeddings/oleObject211.bin"/><Relationship Id="rId427" Type="http://schemas.openxmlformats.org/officeDocument/2006/relationships/image" Target="media/image192.wmf"/><Relationship Id="rId426" Type="http://schemas.openxmlformats.org/officeDocument/2006/relationships/oleObject" Target="embeddings/oleObject210.bin"/><Relationship Id="rId425" Type="http://schemas.openxmlformats.org/officeDocument/2006/relationships/image" Target="media/image191.wmf"/><Relationship Id="rId424" Type="http://schemas.openxmlformats.org/officeDocument/2006/relationships/oleObject" Target="embeddings/oleObject209.bin"/><Relationship Id="rId423" Type="http://schemas.openxmlformats.org/officeDocument/2006/relationships/image" Target="media/image190.wmf"/><Relationship Id="rId422" Type="http://schemas.openxmlformats.org/officeDocument/2006/relationships/oleObject" Target="embeddings/oleObject208.bin"/><Relationship Id="rId421" Type="http://schemas.openxmlformats.org/officeDocument/2006/relationships/image" Target="media/image189.wmf"/><Relationship Id="rId420" Type="http://schemas.openxmlformats.org/officeDocument/2006/relationships/oleObject" Target="embeddings/oleObject207.bin"/><Relationship Id="rId42" Type="http://schemas.openxmlformats.org/officeDocument/2006/relationships/oleObject" Target="embeddings/oleObject10.bin"/><Relationship Id="rId419" Type="http://schemas.openxmlformats.org/officeDocument/2006/relationships/image" Target="media/image188.wmf"/><Relationship Id="rId418" Type="http://schemas.openxmlformats.org/officeDocument/2006/relationships/oleObject" Target="embeddings/oleObject206.bin"/><Relationship Id="rId417" Type="http://schemas.openxmlformats.org/officeDocument/2006/relationships/image" Target="media/image187.wmf"/><Relationship Id="rId416" Type="http://schemas.openxmlformats.org/officeDocument/2006/relationships/oleObject" Target="embeddings/oleObject205.bin"/><Relationship Id="rId415" Type="http://schemas.openxmlformats.org/officeDocument/2006/relationships/image" Target="media/image186.wmf"/><Relationship Id="rId414" Type="http://schemas.openxmlformats.org/officeDocument/2006/relationships/oleObject" Target="embeddings/oleObject204.bin"/><Relationship Id="rId413" Type="http://schemas.openxmlformats.org/officeDocument/2006/relationships/image" Target="media/image185.wmf"/><Relationship Id="rId412" Type="http://schemas.openxmlformats.org/officeDocument/2006/relationships/oleObject" Target="embeddings/oleObject203.bin"/><Relationship Id="rId411" Type="http://schemas.openxmlformats.org/officeDocument/2006/relationships/image" Target="media/image184.wmf"/><Relationship Id="rId410" Type="http://schemas.openxmlformats.org/officeDocument/2006/relationships/oleObject" Target="embeddings/oleObject202.bin"/><Relationship Id="rId41" Type="http://schemas.openxmlformats.org/officeDocument/2006/relationships/image" Target="media/image12.wmf"/><Relationship Id="rId409" Type="http://schemas.openxmlformats.org/officeDocument/2006/relationships/image" Target="media/image183.wmf"/><Relationship Id="rId408" Type="http://schemas.openxmlformats.org/officeDocument/2006/relationships/oleObject" Target="embeddings/oleObject201.bin"/><Relationship Id="rId407" Type="http://schemas.openxmlformats.org/officeDocument/2006/relationships/image" Target="media/image182.wmf"/><Relationship Id="rId406" Type="http://schemas.openxmlformats.org/officeDocument/2006/relationships/oleObject" Target="embeddings/oleObject200.bin"/><Relationship Id="rId405" Type="http://schemas.openxmlformats.org/officeDocument/2006/relationships/image" Target="media/image181.wmf"/><Relationship Id="rId404" Type="http://schemas.openxmlformats.org/officeDocument/2006/relationships/oleObject" Target="embeddings/oleObject199.bin"/><Relationship Id="rId403" Type="http://schemas.openxmlformats.org/officeDocument/2006/relationships/image" Target="media/image180.wmf"/><Relationship Id="rId402" Type="http://schemas.openxmlformats.org/officeDocument/2006/relationships/oleObject" Target="embeddings/oleObject198.bin"/><Relationship Id="rId401" Type="http://schemas.openxmlformats.org/officeDocument/2006/relationships/oleObject" Target="embeddings/oleObject197.bin"/><Relationship Id="rId400" Type="http://schemas.openxmlformats.org/officeDocument/2006/relationships/image" Target="media/image179.wmf"/><Relationship Id="rId40" Type="http://schemas.openxmlformats.org/officeDocument/2006/relationships/oleObject" Target="embeddings/oleObject9.bin"/><Relationship Id="rId4" Type="http://schemas.openxmlformats.org/officeDocument/2006/relationships/endnotes" Target="endnotes.xml"/><Relationship Id="rId399" Type="http://schemas.openxmlformats.org/officeDocument/2006/relationships/oleObject" Target="embeddings/oleObject196.bin"/><Relationship Id="rId398" Type="http://schemas.openxmlformats.org/officeDocument/2006/relationships/image" Target="media/image178.wmf"/><Relationship Id="rId397" Type="http://schemas.openxmlformats.org/officeDocument/2006/relationships/oleObject" Target="embeddings/oleObject195.bin"/><Relationship Id="rId396" Type="http://schemas.openxmlformats.org/officeDocument/2006/relationships/image" Target="media/image177.wmf"/><Relationship Id="rId395" Type="http://schemas.openxmlformats.org/officeDocument/2006/relationships/oleObject" Target="embeddings/oleObject194.bin"/><Relationship Id="rId394" Type="http://schemas.openxmlformats.org/officeDocument/2006/relationships/image" Target="media/image176.wmf"/><Relationship Id="rId393" Type="http://schemas.openxmlformats.org/officeDocument/2006/relationships/oleObject" Target="embeddings/oleObject193.bin"/><Relationship Id="rId392" Type="http://schemas.openxmlformats.org/officeDocument/2006/relationships/image" Target="media/image175.wmf"/><Relationship Id="rId391" Type="http://schemas.openxmlformats.org/officeDocument/2006/relationships/oleObject" Target="embeddings/oleObject192.bin"/><Relationship Id="rId390" Type="http://schemas.openxmlformats.org/officeDocument/2006/relationships/image" Target="media/image174.wmf"/><Relationship Id="rId39" Type="http://schemas.openxmlformats.org/officeDocument/2006/relationships/oleObject" Target="embeddings/oleObject8.bin"/><Relationship Id="rId389" Type="http://schemas.openxmlformats.org/officeDocument/2006/relationships/oleObject" Target="embeddings/oleObject191.bin"/><Relationship Id="rId388" Type="http://schemas.openxmlformats.org/officeDocument/2006/relationships/image" Target="media/image173.wmf"/><Relationship Id="rId387" Type="http://schemas.openxmlformats.org/officeDocument/2006/relationships/oleObject" Target="embeddings/oleObject190.bin"/><Relationship Id="rId386" Type="http://schemas.openxmlformats.org/officeDocument/2006/relationships/image" Target="media/image172.wmf"/><Relationship Id="rId385" Type="http://schemas.openxmlformats.org/officeDocument/2006/relationships/oleObject" Target="embeddings/oleObject189.bin"/><Relationship Id="rId384" Type="http://schemas.openxmlformats.org/officeDocument/2006/relationships/image" Target="media/image171.wmf"/><Relationship Id="rId383" Type="http://schemas.openxmlformats.org/officeDocument/2006/relationships/oleObject" Target="embeddings/oleObject188.bin"/><Relationship Id="rId382" Type="http://schemas.openxmlformats.org/officeDocument/2006/relationships/image" Target="media/image170.wmf"/><Relationship Id="rId381" Type="http://schemas.openxmlformats.org/officeDocument/2006/relationships/oleObject" Target="embeddings/oleObject187.bin"/><Relationship Id="rId380" Type="http://schemas.openxmlformats.org/officeDocument/2006/relationships/image" Target="media/image169.wmf"/><Relationship Id="rId38" Type="http://schemas.openxmlformats.org/officeDocument/2006/relationships/oleObject" Target="embeddings/oleObject7.bin"/><Relationship Id="rId379" Type="http://schemas.openxmlformats.org/officeDocument/2006/relationships/oleObject" Target="embeddings/oleObject186.bin"/><Relationship Id="rId378" Type="http://schemas.openxmlformats.org/officeDocument/2006/relationships/image" Target="media/image168.wmf"/><Relationship Id="rId377" Type="http://schemas.openxmlformats.org/officeDocument/2006/relationships/oleObject" Target="embeddings/oleObject185.bin"/><Relationship Id="rId376" Type="http://schemas.openxmlformats.org/officeDocument/2006/relationships/image" Target="media/image167.wmf"/><Relationship Id="rId375" Type="http://schemas.openxmlformats.org/officeDocument/2006/relationships/oleObject" Target="embeddings/oleObject184.bin"/><Relationship Id="rId374" Type="http://schemas.openxmlformats.org/officeDocument/2006/relationships/image" Target="media/image166.wmf"/><Relationship Id="rId373" Type="http://schemas.openxmlformats.org/officeDocument/2006/relationships/oleObject" Target="embeddings/oleObject183.bin"/><Relationship Id="rId372" Type="http://schemas.openxmlformats.org/officeDocument/2006/relationships/image" Target="media/image165.wmf"/><Relationship Id="rId371" Type="http://schemas.openxmlformats.org/officeDocument/2006/relationships/oleObject" Target="embeddings/oleObject182.bin"/><Relationship Id="rId370" Type="http://schemas.openxmlformats.org/officeDocument/2006/relationships/image" Target="media/image164.wmf"/><Relationship Id="rId37" Type="http://schemas.openxmlformats.org/officeDocument/2006/relationships/image" Target="media/image11.wmf"/><Relationship Id="rId369" Type="http://schemas.openxmlformats.org/officeDocument/2006/relationships/oleObject" Target="embeddings/oleObject181.bin"/><Relationship Id="rId368" Type="http://schemas.openxmlformats.org/officeDocument/2006/relationships/image" Target="media/image163.wmf"/><Relationship Id="rId367" Type="http://schemas.openxmlformats.org/officeDocument/2006/relationships/oleObject" Target="embeddings/oleObject180.bin"/><Relationship Id="rId366" Type="http://schemas.openxmlformats.org/officeDocument/2006/relationships/image" Target="media/image162.wmf"/><Relationship Id="rId365" Type="http://schemas.openxmlformats.org/officeDocument/2006/relationships/oleObject" Target="embeddings/oleObject179.bin"/><Relationship Id="rId364" Type="http://schemas.openxmlformats.org/officeDocument/2006/relationships/image" Target="media/image161.wmf"/><Relationship Id="rId363" Type="http://schemas.openxmlformats.org/officeDocument/2006/relationships/oleObject" Target="embeddings/oleObject178.bin"/><Relationship Id="rId362" Type="http://schemas.openxmlformats.org/officeDocument/2006/relationships/image" Target="media/image160.wmf"/><Relationship Id="rId361" Type="http://schemas.openxmlformats.org/officeDocument/2006/relationships/oleObject" Target="embeddings/oleObject177.bin"/><Relationship Id="rId360" Type="http://schemas.openxmlformats.org/officeDocument/2006/relationships/image" Target="media/image159.wmf"/><Relationship Id="rId36" Type="http://schemas.openxmlformats.org/officeDocument/2006/relationships/oleObject" Target="embeddings/oleObject6.bin"/><Relationship Id="rId359" Type="http://schemas.openxmlformats.org/officeDocument/2006/relationships/oleObject" Target="embeddings/oleObject176.bin"/><Relationship Id="rId358" Type="http://schemas.openxmlformats.org/officeDocument/2006/relationships/image" Target="media/image158.wmf"/><Relationship Id="rId357" Type="http://schemas.openxmlformats.org/officeDocument/2006/relationships/oleObject" Target="embeddings/oleObject175.bin"/><Relationship Id="rId356" Type="http://schemas.openxmlformats.org/officeDocument/2006/relationships/image" Target="media/image157.wmf"/><Relationship Id="rId355" Type="http://schemas.openxmlformats.org/officeDocument/2006/relationships/oleObject" Target="embeddings/oleObject174.bin"/><Relationship Id="rId354" Type="http://schemas.openxmlformats.org/officeDocument/2006/relationships/image" Target="media/image156.wmf"/><Relationship Id="rId353" Type="http://schemas.openxmlformats.org/officeDocument/2006/relationships/oleObject" Target="embeddings/oleObject173.bin"/><Relationship Id="rId352" Type="http://schemas.openxmlformats.org/officeDocument/2006/relationships/image" Target="media/image155.wmf"/><Relationship Id="rId351" Type="http://schemas.openxmlformats.org/officeDocument/2006/relationships/oleObject" Target="embeddings/oleObject172.bin"/><Relationship Id="rId350" Type="http://schemas.openxmlformats.org/officeDocument/2006/relationships/image" Target="media/image154.wmf"/><Relationship Id="rId35" Type="http://schemas.openxmlformats.org/officeDocument/2006/relationships/image" Target="media/image10.wmf"/><Relationship Id="rId349" Type="http://schemas.openxmlformats.org/officeDocument/2006/relationships/oleObject" Target="embeddings/oleObject171.bin"/><Relationship Id="rId348" Type="http://schemas.openxmlformats.org/officeDocument/2006/relationships/image" Target="media/image153.wmf"/><Relationship Id="rId347" Type="http://schemas.openxmlformats.org/officeDocument/2006/relationships/oleObject" Target="embeddings/oleObject170.bin"/><Relationship Id="rId346" Type="http://schemas.openxmlformats.org/officeDocument/2006/relationships/image" Target="media/image152.wmf"/><Relationship Id="rId345" Type="http://schemas.openxmlformats.org/officeDocument/2006/relationships/oleObject" Target="embeddings/oleObject169.bin"/><Relationship Id="rId344" Type="http://schemas.openxmlformats.org/officeDocument/2006/relationships/image" Target="media/image151.wmf"/><Relationship Id="rId343" Type="http://schemas.openxmlformats.org/officeDocument/2006/relationships/oleObject" Target="embeddings/oleObject168.bin"/><Relationship Id="rId342" Type="http://schemas.openxmlformats.org/officeDocument/2006/relationships/image" Target="media/image150.wmf"/><Relationship Id="rId341" Type="http://schemas.openxmlformats.org/officeDocument/2006/relationships/oleObject" Target="embeddings/oleObject167.bin"/><Relationship Id="rId340" Type="http://schemas.openxmlformats.org/officeDocument/2006/relationships/image" Target="media/image149.wmf"/><Relationship Id="rId34" Type="http://schemas.openxmlformats.org/officeDocument/2006/relationships/oleObject" Target="embeddings/oleObject5.bin"/><Relationship Id="rId339" Type="http://schemas.openxmlformats.org/officeDocument/2006/relationships/oleObject" Target="embeddings/oleObject166.bin"/><Relationship Id="rId338" Type="http://schemas.openxmlformats.org/officeDocument/2006/relationships/image" Target="media/image148.wmf"/><Relationship Id="rId337" Type="http://schemas.openxmlformats.org/officeDocument/2006/relationships/oleObject" Target="embeddings/oleObject165.bin"/><Relationship Id="rId336" Type="http://schemas.openxmlformats.org/officeDocument/2006/relationships/image" Target="media/image147.wmf"/><Relationship Id="rId335" Type="http://schemas.openxmlformats.org/officeDocument/2006/relationships/oleObject" Target="embeddings/oleObject164.bin"/><Relationship Id="rId334" Type="http://schemas.openxmlformats.org/officeDocument/2006/relationships/image" Target="media/image146.wmf"/><Relationship Id="rId333" Type="http://schemas.openxmlformats.org/officeDocument/2006/relationships/oleObject" Target="embeddings/oleObject163.bin"/><Relationship Id="rId332" Type="http://schemas.openxmlformats.org/officeDocument/2006/relationships/image" Target="media/image145.wmf"/><Relationship Id="rId331" Type="http://schemas.openxmlformats.org/officeDocument/2006/relationships/oleObject" Target="embeddings/oleObject162.bin"/><Relationship Id="rId330" Type="http://schemas.openxmlformats.org/officeDocument/2006/relationships/image" Target="media/image144.wmf"/><Relationship Id="rId33" Type="http://schemas.openxmlformats.org/officeDocument/2006/relationships/oleObject" Target="embeddings/oleObject4.bin"/><Relationship Id="rId329" Type="http://schemas.openxmlformats.org/officeDocument/2006/relationships/oleObject" Target="embeddings/oleObject161.bin"/><Relationship Id="rId328" Type="http://schemas.openxmlformats.org/officeDocument/2006/relationships/image" Target="media/image143.wmf"/><Relationship Id="rId327" Type="http://schemas.openxmlformats.org/officeDocument/2006/relationships/oleObject" Target="embeddings/oleObject160.bin"/><Relationship Id="rId326" Type="http://schemas.openxmlformats.org/officeDocument/2006/relationships/image" Target="media/image142.wmf"/><Relationship Id="rId325" Type="http://schemas.openxmlformats.org/officeDocument/2006/relationships/oleObject" Target="embeddings/oleObject159.bin"/><Relationship Id="rId324" Type="http://schemas.openxmlformats.org/officeDocument/2006/relationships/image" Target="media/image141.wmf"/><Relationship Id="rId323" Type="http://schemas.openxmlformats.org/officeDocument/2006/relationships/oleObject" Target="embeddings/oleObject158.bin"/><Relationship Id="rId322" Type="http://schemas.openxmlformats.org/officeDocument/2006/relationships/image" Target="media/image140.wmf"/><Relationship Id="rId321" Type="http://schemas.openxmlformats.org/officeDocument/2006/relationships/oleObject" Target="embeddings/oleObject157.bin"/><Relationship Id="rId320" Type="http://schemas.openxmlformats.org/officeDocument/2006/relationships/image" Target="media/image139.wmf"/><Relationship Id="rId32" Type="http://schemas.openxmlformats.org/officeDocument/2006/relationships/image" Target="media/image9.wmf"/><Relationship Id="rId319" Type="http://schemas.openxmlformats.org/officeDocument/2006/relationships/oleObject" Target="embeddings/oleObject156.bin"/><Relationship Id="rId318" Type="http://schemas.openxmlformats.org/officeDocument/2006/relationships/image" Target="media/image138.wmf"/><Relationship Id="rId317" Type="http://schemas.openxmlformats.org/officeDocument/2006/relationships/oleObject" Target="embeddings/oleObject155.bin"/><Relationship Id="rId316" Type="http://schemas.openxmlformats.org/officeDocument/2006/relationships/image" Target="media/image137.wmf"/><Relationship Id="rId315" Type="http://schemas.openxmlformats.org/officeDocument/2006/relationships/oleObject" Target="embeddings/oleObject154.bin"/><Relationship Id="rId314" Type="http://schemas.openxmlformats.org/officeDocument/2006/relationships/image" Target="media/image136.wmf"/><Relationship Id="rId313" Type="http://schemas.openxmlformats.org/officeDocument/2006/relationships/oleObject" Target="embeddings/oleObject153.bin"/><Relationship Id="rId312" Type="http://schemas.openxmlformats.org/officeDocument/2006/relationships/oleObject" Target="embeddings/oleObject152.bin"/><Relationship Id="rId311" Type="http://schemas.openxmlformats.org/officeDocument/2006/relationships/oleObject" Target="embeddings/oleObject151.bin"/><Relationship Id="rId310" Type="http://schemas.openxmlformats.org/officeDocument/2006/relationships/oleObject" Target="embeddings/oleObject150.bin"/><Relationship Id="rId31" Type="http://schemas.openxmlformats.org/officeDocument/2006/relationships/oleObject" Target="embeddings/oleObject3.bin"/><Relationship Id="rId309" Type="http://schemas.openxmlformats.org/officeDocument/2006/relationships/oleObject" Target="embeddings/oleObject149.bin"/><Relationship Id="rId308" Type="http://schemas.openxmlformats.org/officeDocument/2006/relationships/image" Target="media/image135.wmf"/><Relationship Id="rId307" Type="http://schemas.openxmlformats.org/officeDocument/2006/relationships/oleObject" Target="embeddings/oleObject148.bin"/><Relationship Id="rId306" Type="http://schemas.openxmlformats.org/officeDocument/2006/relationships/image" Target="media/image134.wmf"/><Relationship Id="rId305" Type="http://schemas.openxmlformats.org/officeDocument/2006/relationships/oleObject" Target="embeddings/oleObject147.bin"/><Relationship Id="rId304" Type="http://schemas.openxmlformats.org/officeDocument/2006/relationships/image" Target="media/image133.wmf"/><Relationship Id="rId303" Type="http://schemas.openxmlformats.org/officeDocument/2006/relationships/oleObject" Target="embeddings/oleObject146.bin"/><Relationship Id="rId302" Type="http://schemas.openxmlformats.org/officeDocument/2006/relationships/image" Target="media/image132.wmf"/><Relationship Id="rId301" Type="http://schemas.openxmlformats.org/officeDocument/2006/relationships/oleObject" Target="embeddings/oleObject145.bin"/><Relationship Id="rId300" Type="http://schemas.openxmlformats.org/officeDocument/2006/relationships/image" Target="media/image131.wmf"/><Relationship Id="rId30" Type="http://schemas.openxmlformats.org/officeDocument/2006/relationships/image" Target="media/image8.wmf"/><Relationship Id="rId3" Type="http://schemas.openxmlformats.org/officeDocument/2006/relationships/footnotes" Target="footnotes.xml"/><Relationship Id="rId299" Type="http://schemas.openxmlformats.org/officeDocument/2006/relationships/oleObject" Target="embeddings/oleObject144.bin"/><Relationship Id="rId298" Type="http://schemas.openxmlformats.org/officeDocument/2006/relationships/image" Target="media/image130.wmf"/><Relationship Id="rId297" Type="http://schemas.openxmlformats.org/officeDocument/2006/relationships/oleObject" Target="embeddings/oleObject143.bin"/><Relationship Id="rId296" Type="http://schemas.openxmlformats.org/officeDocument/2006/relationships/image" Target="media/image129.wmf"/><Relationship Id="rId295" Type="http://schemas.openxmlformats.org/officeDocument/2006/relationships/oleObject" Target="embeddings/oleObject142.bin"/><Relationship Id="rId294" Type="http://schemas.openxmlformats.org/officeDocument/2006/relationships/image" Target="media/image128.emf"/><Relationship Id="rId293" Type="http://schemas.openxmlformats.org/officeDocument/2006/relationships/package" Target="embeddings/Microsoft_Visio___8.vsdx"/><Relationship Id="rId292" Type="http://schemas.openxmlformats.org/officeDocument/2006/relationships/image" Target="media/image127.png"/><Relationship Id="rId291" Type="http://schemas.openxmlformats.org/officeDocument/2006/relationships/image" Target="media/image126.png"/><Relationship Id="rId290" Type="http://schemas.openxmlformats.org/officeDocument/2006/relationships/image" Target="media/image125.emf"/><Relationship Id="rId29" Type="http://schemas.openxmlformats.org/officeDocument/2006/relationships/oleObject" Target="embeddings/oleObject2.bin"/><Relationship Id="rId289" Type="http://schemas.openxmlformats.org/officeDocument/2006/relationships/package" Target="embeddings/Microsoft_Visio___7.vsdx"/><Relationship Id="rId288" Type="http://schemas.openxmlformats.org/officeDocument/2006/relationships/image" Target="media/image124.wmf"/><Relationship Id="rId287" Type="http://schemas.openxmlformats.org/officeDocument/2006/relationships/oleObject" Target="embeddings/oleObject141.bin"/><Relationship Id="rId286" Type="http://schemas.openxmlformats.org/officeDocument/2006/relationships/image" Target="media/image123.wmf"/><Relationship Id="rId285" Type="http://schemas.openxmlformats.org/officeDocument/2006/relationships/oleObject" Target="embeddings/oleObject140.bin"/><Relationship Id="rId284" Type="http://schemas.openxmlformats.org/officeDocument/2006/relationships/oleObject" Target="embeddings/oleObject139.bin"/><Relationship Id="rId283" Type="http://schemas.openxmlformats.org/officeDocument/2006/relationships/image" Target="media/image122.wmf"/><Relationship Id="rId282" Type="http://schemas.openxmlformats.org/officeDocument/2006/relationships/oleObject" Target="embeddings/oleObject138.bin"/><Relationship Id="rId281" Type="http://schemas.openxmlformats.org/officeDocument/2006/relationships/oleObject" Target="embeddings/oleObject137.bin"/><Relationship Id="rId280" Type="http://schemas.openxmlformats.org/officeDocument/2006/relationships/image" Target="media/image121.wmf"/><Relationship Id="rId28" Type="http://schemas.openxmlformats.org/officeDocument/2006/relationships/image" Target="media/image7.wmf"/><Relationship Id="rId279" Type="http://schemas.openxmlformats.org/officeDocument/2006/relationships/oleObject" Target="embeddings/oleObject136.bin"/><Relationship Id="rId278" Type="http://schemas.openxmlformats.org/officeDocument/2006/relationships/image" Target="media/image120.wmf"/><Relationship Id="rId277" Type="http://schemas.openxmlformats.org/officeDocument/2006/relationships/oleObject" Target="embeddings/oleObject135.bin"/><Relationship Id="rId276" Type="http://schemas.openxmlformats.org/officeDocument/2006/relationships/image" Target="media/image119.wmf"/><Relationship Id="rId275" Type="http://schemas.openxmlformats.org/officeDocument/2006/relationships/oleObject" Target="embeddings/oleObject134.bin"/><Relationship Id="rId274" Type="http://schemas.openxmlformats.org/officeDocument/2006/relationships/image" Target="media/image118.wmf"/><Relationship Id="rId273" Type="http://schemas.openxmlformats.org/officeDocument/2006/relationships/oleObject" Target="embeddings/oleObject133.bin"/><Relationship Id="rId272" Type="http://schemas.openxmlformats.org/officeDocument/2006/relationships/image" Target="media/image117.wmf"/><Relationship Id="rId271" Type="http://schemas.openxmlformats.org/officeDocument/2006/relationships/oleObject" Target="embeddings/oleObject132.bin"/><Relationship Id="rId270" Type="http://schemas.openxmlformats.org/officeDocument/2006/relationships/image" Target="media/image116.wmf"/><Relationship Id="rId27" Type="http://schemas.openxmlformats.org/officeDocument/2006/relationships/oleObject" Target="embeddings/oleObject1.bin"/><Relationship Id="rId269" Type="http://schemas.openxmlformats.org/officeDocument/2006/relationships/oleObject" Target="embeddings/oleObject131.bin"/><Relationship Id="rId268" Type="http://schemas.openxmlformats.org/officeDocument/2006/relationships/oleObject" Target="embeddings/oleObject130.bin"/><Relationship Id="rId267" Type="http://schemas.openxmlformats.org/officeDocument/2006/relationships/image" Target="media/image115.wmf"/><Relationship Id="rId266" Type="http://schemas.openxmlformats.org/officeDocument/2006/relationships/oleObject" Target="embeddings/oleObject129.bin"/><Relationship Id="rId265" Type="http://schemas.openxmlformats.org/officeDocument/2006/relationships/image" Target="media/image114.wmf"/><Relationship Id="rId264" Type="http://schemas.openxmlformats.org/officeDocument/2006/relationships/oleObject" Target="embeddings/oleObject128.bin"/><Relationship Id="rId263" Type="http://schemas.openxmlformats.org/officeDocument/2006/relationships/image" Target="media/image113.wmf"/><Relationship Id="rId262" Type="http://schemas.openxmlformats.org/officeDocument/2006/relationships/oleObject" Target="embeddings/oleObject127.bin"/><Relationship Id="rId261" Type="http://schemas.openxmlformats.org/officeDocument/2006/relationships/image" Target="media/image112.wmf"/><Relationship Id="rId260" Type="http://schemas.openxmlformats.org/officeDocument/2006/relationships/oleObject" Target="embeddings/oleObject126.bin"/><Relationship Id="rId26" Type="http://schemas.openxmlformats.org/officeDocument/2006/relationships/image" Target="media/image6.emf"/><Relationship Id="rId259" Type="http://schemas.openxmlformats.org/officeDocument/2006/relationships/image" Target="media/image111.wmf"/><Relationship Id="rId258" Type="http://schemas.openxmlformats.org/officeDocument/2006/relationships/oleObject" Target="embeddings/oleObject125.bin"/><Relationship Id="rId257" Type="http://schemas.openxmlformats.org/officeDocument/2006/relationships/oleObject" Target="embeddings/oleObject124.bin"/><Relationship Id="rId256" Type="http://schemas.openxmlformats.org/officeDocument/2006/relationships/oleObject" Target="embeddings/oleObject123.bin"/><Relationship Id="rId255" Type="http://schemas.openxmlformats.org/officeDocument/2006/relationships/oleObject" Target="embeddings/oleObject122.bin"/><Relationship Id="rId254" Type="http://schemas.openxmlformats.org/officeDocument/2006/relationships/oleObject" Target="embeddings/oleObject121.bin"/><Relationship Id="rId253" Type="http://schemas.openxmlformats.org/officeDocument/2006/relationships/image" Target="media/image110.wmf"/><Relationship Id="rId252" Type="http://schemas.openxmlformats.org/officeDocument/2006/relationships/oleObject" Target="embeddings/oleObject120.bin"/><Relationship Id="rId251" Type="http://schemas.openxmlformats.org/officeDocument/2006/relationships/image" Target="media/image109.wmf"/><Relationship Id="rId250" Type="http://schemas.openxmlformats.org/officeDocument/2006/relationships/oleObject" Target="embeddings/oleObject119.bin"/><Relationship Id="rId25" Type="http://schemas.openxmlformats.org/officeDocument/2006/relationships/package" Target="embeddings/Microsoft_Visio___3.vsdx"/><Relationship Id="rId249" Type="http://schemas.openxmlformats.org/officeDocument/2006/relationships/image" Target="media/image108.wmf"/><Relationship Id="rId248" Type="http://schemas.openxmlformats.org/officeDocument/2006/relationships/oleObject" Target="embeddings/oleObject118.bin"/><Relationship Id="rId247" Type="http://schemas.openxmlformats.org/officeDocument/2006/relationships/image" Target="media/image107.wmf"/><Relationship Id="rId246" Type="http://schemas.openxmlformats.org/officeDocument/2006/relationships/oleObject" Target="embeddings/oleObject117.bin"/><Relationship Id="rId245" Type="http://schemas.openxmlformats.org/officeDocument/2006/relationships/image" Target="media/image106.wmf"/><Relationship Id="rId244" Type="http://schemas.openxmlformats.org/officeDocument/2006/relationships/oleObject" Target="embeddings/oleObject116.bin"/><Relationship Id="rId243" Type="http://schemas.openxmlformats.org/officeDocument/2006/relationships/image" Target="media/image105.wmf"/><Relationship Id="rId242" Type="http://schemas.openxmlformats.org/officeDocument/2006/relationships/oleObject" Target="embeddings/oleObject115.bin"/><Relationship Id="rId241" Type="http://schemas.openxmlformats.org/officeDocument/2006/relationships/image" Target="media/image104.wmf"/><Relationship Id="rId240" Type="http://schemas.openxmlformats.org/officeDocument/2006/relationships/oleObject" Target="embeddings/oleObject114.bin"/><Relationship Id="rId24" Type="http://schemas.openxmlformats.org/officeDocument/2006/relationships/image" Target="media/image5.jpeg"/><Relationship Id="rId239" Type="http://schemas.openxmlformats.org/officeDocument/2006/relationships/image" Target="media/image103.wmf"/><Relationship Id="rId238" Type="http://schemas.openxmlformats.org/officeDocument/2006/relationships/oleObject" Target="embeddings/oleObject113.bin"/><Relationship Id="rId237" Type="http://schemas.openxmlformats.org/officeDocument/2006/relationships/image" Target="media/image102.wmf"/><Relationship Id="rId236" Type="http://schemas.openxmlformats.org/officeDocument/2006/relationships/oleObject" Target="embeddings/oleObject112.bin"/><Relationship Id="rId235" Type="http://schemas.openxmlformats.org/officeDocument/2006/relationships/image" Target="media/image101.wmf"/><Relationship Id="rId234" Type="http://schemas.openxmlformats.org/officeDocument/2006/relationships/oleObject" Target="embeddings/oleObject111.bin"/><Relationship Id="rId233" Type="http://schemas.openxmlformats.org/officeDocument/2006/relationships/image" Target="media/image100.wmf"/><Relationship Id="rId232" Type="http://schemas.openxmlformats.org/officeDocument/2006/relationships/oleObject" Target="embeddings/oleObject110.bin"/><Relationship Id="rId231" Type="http://schemas.openxmlformats.org/officeDocument/2006/relationships/image" Target="media/image99.wmf"/><Relationship Id="rId230" Type="http://schemas.openxmlformats.org/officeDocument/2006/relationships/oleObject" Target="embeddings/oleObject109.bin"/><Relationship Id="rId23" Type="http://schemas.openxmlformats.org/officeDocument/2006/relationships/image" Target="media/image4.emf"/><Relationship Id="rId229" Type="http://schemas.openxmlformats.org/officeDocument/2006/relationships/oleObject" Target="embeddings/oleObject108.bin"/><Relationship Id="rId228" Type="http://schemas.openxmlformats.org/officeDocument/2006/relationships/image" Target="media/image98.wmf"/><Relationship Id="rId227" Type="http://schemas.openxmlformats.org/officeDocument/2006/relationships/oleObject" Target="embeddings/oleObject107.bin"/><Relationship Id="rId226" Type="http://schemas.openxmlformats.org/officeDocument/2006/relationships/image" Target="media/image97.wmf"/><Relationship Id="rId225" Type="http://schemas.openxmlformats.org/officeDocument/2006/relationships/oleObject" Target="embeddings/oleObject106.bin"/><Relationship Id="rId224" Type="http://schemas.openxmlformats.org/officeDocument/2006/relationships/image" Target="media/image96.wmf"/><Relationship Id="rId223" Type="http://schemas.openxmlformats.org/officeDocument/2006/relationships/oleObject" Target="embeddings/oleObject105.bin"/><Relationship Id="rId222" Type="http://schemas.openxmlformats.org/officeDocument/2006/relationships/image" Target="media/image95.wmf"/><Relationship Id="rId221" Type="http://schemas.openxmlformats.org/officeDocument/2006/relationships/oleObject" Target="embeddings/oleObject104.bin"/><Relationship Id="rId220" Type="http://schemas.openxmlformats.org/officeDocument/2006/relationships/oleObject" Target="embeddings/oleObject103.bin"/><Relationship Id="rId22" Type="http://schemas.openxmlformats.org/officeDocument/2006/relationships/package" Target="embeddings/Microsoft_Visio___2.vsdx"/><Relationship Id="rId219" Type="http://schemas.openxmlformats.org/officeDocument/2006/relationships/image" Target="media/image94.wmf"/><Relationship Id="rId218" Type="http://schemas.openxmlformats.org/officeDocument/2006/relationships/oleObject" Target="embeddings/oleObject102.bin"/><Relationship Id="rId217" Type="http://schemas.openxmlformats.org/officeDocument/2006/relationships/image" Target="media/image93.wmf"/><Relationship Id="rId216" Type="http://schemas.openxmlformats.org/officeDocument/2006/relationships/oleObject" Target="embeddings/oleObject101.bin"/><Relationship Id="rId215" Type="http://schemas.openxmlformats.org/officeDocument/2006/relationships/image" Target="media/image92.wmf"/><Relationship Id="rId214" Type="http://schemas.openxmlformats.org/officeDocument/2006/relationships/oleObject" Target="embeddings/oleObject100.bin"/><Relationship Id="rId213" Type="http://schemas.openxmlformats.org/officeDocument/2006/relationships/oleObject" Target="embeddings/oleObject99.bin"/><Relationship Id="rId212" Type="http://schemas.openxmlformats.org/officeDocument/2006/relationships/oleObject" Target="embeddings/oleObject98.bin"/><Relationship Id="rId211" Type="http://schemas.openxmlformats.org/officeDocument/2006/relationships/image" Target="media/image91.wmf"/><Relationship Id="rId210" Type="http://schemas.openxmlformats.org/officeDocument/2006/relationships/oleObject" Target="embeddings/oleObject97.bin"/><Relationship Id="rId21" Type="http://schemas.openxmlformats.org/officeDocument/2006/relationships/image" Target="media/image3.emf"/><Relationship Id="rId209" Type="http://schemas.openxmlformats.org/officeDocument/2006/relationships/oleObject" Target="embeddings/oleObject96.bin"/><Relationship Id="rId208" Type="http://schemas.openxmlformats.org/officeDocument/2006/relationships/image" Target="media/image90.wmf"/><Relationship Id="rId207" Type="http://schemas.openxmlformats.org/officeDocument/2006/relationships/oleObject" Target="embeddings/oleObject95.bin"/><Relationship Id="rId206" Type="http://schemas.openxmlformats.org/officeDocument/2006/relationships/image" Target="media/image89.wmf"/><Relationship Id="rId205" Type="http://schemas.openxmlformats.org/officeDocument/2006/relationships/oleObject" Target="embeddings/oleObject94.bin"/><Relationship Id="rId204" Type="http://schemas.openxmlformats.org/officeDocument/2006/relationships/image" Target="media/image88.wmf"/><Relationship Id="rId203" Type="http://schemas.openxmlformats.org/officeDocument/2006/relationships/oleObject" Target="embeddings/oleObject93.bin"/><Relationship Id="rId202" Type="http://schemas.openxmlformats.org/officeDocument/2006/relationships/image" Target="media/image87.wmf"/><Relationship Id="rId201" Type="http://schemas.openxmlformats.org/officeDocument/2006/relationships/oleObject" Target="embeddings/oleObject92.bin"/><Relationship Id="rId200" Type="http://schemas.openxmlformats.org/officeDocument/2006/relationships/image" Target="media/image86.wmf"/><Relationship Id="rId20" Type="http://schemas.openxmlformats.org/officeDocument/2006/relationships/package" Target="embeddings/Microsoft_Visio___1.vsdx"/><Relationship Id="rId2" Type="http://schemas.openxmlformats.org/officeDocument/2006/relationships/settings" Target="settings.xml"/><Relationship Id="rId199" Type="http://schemas.openxmlformats.org/officeDocument/2006/relationships/oleObject" Target="embeddings/oleObject91.bin"/><Relationship Id="rId198" Type="http://schemas.openxmlformats.org/officeDocument/2006/relationships/image" Target="media/image85.wmf"/><Relationship Id="rId197" Type="http://schemas.openxmlformats.org/officeDocument/2006/relationships/oleObject" Target="embeddings/oleObject90.bin"/><Relationship Id="rId196" Type="http://schemas.openxmlformats.org/officeDocument/2006/relationships/image" Target="media/image84.wmf"/><Relationship Id="rId195" Type="http://schemas.openxmlformats.org/officeDocument/2006/relationships/oleObject" Target="embeddings/oleObject89.bin"/><Relationship Id="rId194" Type="http://schemas.openxmlformats.org/officeDocument/2006/relationships/oleObject" Target="embeddings/oleObject88.bin"/><Relationship Id="rId193" Type="http://schemas.openxmlformats.org/officeDocument/2006/relationships/oleObject" Target="embeddings/oleObject87.bin"/><Relationship Id="rId192" Type="http://schemas.openxmlformats.org/officeDocument/2006/relationships/oleObject" Target="embeddings/oleObject86.bin"/><Relationship Id="rId191" Type="http://schemas.openxmlformats.org/officeDocument/2006/relationships/image" Target="media/image83.wmf"/><Relationship Id="rId190" Type="http://schemas.openxmlformats.org/officeDocument/2006/relationships/oleObject" Target="embeddings/oleObject85.bin"/><Relationship Id="rId19" Type="http://schemas.openxmlformats.org/officeDocument/2006/relationships/image" Target="media/image2.jpeg"/><Relationship Id="rId189" Type="http://schemas.openxmlformats.org/officeDocument/2006/relationships/oleObject" Target="embeddings/oleObject84.bin"/><Relationship Id="rId188" Type="http://schemas.openxmlformats.org/officeDocument/2006/relationships/image" Target="media/image82.wmf"/><Relationship Id="rId187" Type="http://schemas.openxmlformats.org/officeDocument/2006/relationships/oleObject" Target="embeddings/oleObject83.bin"/><Relationship Id="rId186" Type="http://schemas.openxmlformats.org/officeDocument/2006/relationships/image" Target="media/image81.wmf"/><Relationship Id="rId185" Type="http://schemas.openxmlformats.org/officeDocument/2006/relationships/oleObject" Target="embeddings/oleObject82.bin"/><Relationship Id="rId184" Type="http://schemas.openxmlformats.org/officeDocument/2006/relationships/image" Target="media/image80.wmf"/><Relationship Id="rId183" Type="http://schemas.openxmlformats.org/officeDocument/2006/relationships/oleObject" Target="embeddings/oleObject81.bin"/><Relationship Id="rId182" Type="http://schemas.openxmlformats.org/officeDocument/2006/relationships/image" Target="media/image79.wmf"/><Relationship Id="rId181" Type="http://schemas.openxmlformats.org/officeDocument/2006/relationships/oleObject" Target="embeddings/oleObject80.bin"/><Relationship Id="rId180" Type="http://schemas.openxmlformats.org/officeDocument/2006/relationships/image" Target="media/image78.wmf"/><Relationship Id="rId18" Type="http://schemas.openxmlformats.org/officeDocument/2006/relationships/image" Target="media/image1.jpeg"/><Relationship Id="rId179" Type="http://schemas.openxmlformats.org/officeDocument/2006/relationships/oleObject" Target="embeddings/oleObject79.bin"/><Relationship Id="rId178" Type="http://schemas.openxmlformats.org/officeDocument/2006/relationships/image" Target="media/image77.wmf"/><Relationship Id="rId177" Type="http://schemas.openxmlformats.org/officeDocument/2006/relationships/oleObject" Target="embeddings/oleObject78.bin"/><Relationship Id="rId176" Type="http://schemas.openxmlformats.org/officeDocument/2006/relationships/image" Target="media/image76.wmf"/><Relationship Id="rId175" Type="http://schemas.openxmlformats.org/officeDocument/2006/relationships/oleObject" Target="embeddings/oleObject77.bin"/><Relationship Id="rId174" Type="http://schemas.openxmlformats.org/officeDocument/2006/relationships/image" Target="media/image75.wmf"/><Relationship Id="rId173" Type="http://schemas.openxmlformats.org/officeDocument/2006/relationships/oleObject" Target="embeddings/oleObject76.bin"/><Relationship Id="rId172" Type="http://schemas.openxmlformats.org/officeDocument/2006/relationships/image" Target="media/image74.wmf"/><Relationship Id="rId171" Type="http://schemas.openxmlformats.org/officeDocument/2006/relationships/oleObject" Target="embeddings/oleObject75.bin"/><Relationship Id="rId170" Type="http://schemas.openxmlformats.org/officeDocument/2006/relationships/image" Target="media/image73.wmf"/><Relationship Id="rId17" Type="http://schemas.openxmlformats.org/officeDocument/2006/relationships/theme" Target="theme/theme1.xml"/><Relationship Id="rId169" Type="http://schemas.openxmlformats.org/officeDocument/2006/relationships/oleObject" Target="embeddings/oleObject74.bin"/><Relationship Id="rId168" Type="http://schemas.openxmlformats.org/officeDocument/2006/relationships/image" Target="media/image72.wmf"/><Relationship Id="rId167" Type="http://schemas.openxmlformats.org/officeDocument/2006/relationships/oleObject" Target="embeddings/oleObject73.bin"/><Relationship Id="rId166" Type="http://schemas.openxmlformats.org/officeDocument/2006/relationships/image" Target="media/image71.wmf"/><Relationship Id="rId165" Type="http://schemas.openxmlformats.org/officeDocument/2006/relationships/oleObject" Target="embeddings/oleObject72.bin"/><Relationship Id="rId164" Type="http://schemas.openxmlformats.org/officeDocument/2006/relationships/image" Target="media/image70.wmf"/><Relationship Id="rId163" Type="http://schemas.openxmlformats.org/officeDocument/2006/relationships/oleObject" Target="embeddings/oleObject71.bin"/><Relationship Id="rId162" Type="http://schemas.openxmlformats.org/officeDocument/2006/relationships/image" Target="media/image69.wmf"/><Relationship Id="rId161" Type="http://schemas.openxmlformats.org/officeDocument/2006/relationships/oleObject" Target="embeddings/oleObject70.bin"/><Relationship Id="rId160" Type="http://schemas.openxmlformats.org/officeDocument/2006/relationships/image" Target="media/image68.wmf"/><Relationship Id="rId16" Type="http://schemas.openxmlformats.org/officeDocument/2006/relationships/footer" Target="footer7.xml"/><Relationship Id="rId159" Type="http://schemas.openxmlformats.org/officeDocument/2006/relationships/oleObject" Target="embeddings/oleObject69.bin"/><Relationship Id="rId158" Type="http://schemas.openxmlformats.org/officeDocument/2006/relationships/image" Target="media/image67.wmf"/><Relationship Id="rId157" Type="http://schemas.openxmlformats.org/officeDocument/2006/relationships/oleObject" Target="embeddings/oleObject68.bin"/><Relationship Id="rId156" Type="http://schemas.openxmlformats.org/officeDocument/2006/relationships/image" Target="media/image66.wmf"/><Relationship Id="rId155" Type="http://schemas.openxmlformats.org/officeDocument/2006/relationships/oleObject" Target="embeddings/oleObject67.bin"/><Relationship Id="rId154" Type="http://schemas.openxmlformats.org/officeDocument/2006/relationships/image" Target="media/image65.wmf"/><Relationship Id="rId153" Type="http://schemas.openxmlformats.org/officeDocument/2006/relationships/oleObject" Target="embeddings/oleObject66.bin"/><Relationship Id="rId152" Type="http://schemas.openxmlformats.org/officeDocument/2006/relationships/image" Target="media/image64.wmf"/><Relationship Id="rId151" Type="http://schemas.openxmlformats.org/officeDocument/2006/relationships/oleObject" Target="embeddings/oleObject65.bin"/><Relationship Id="rId150" Type="http://schemas.openxmlformats.org/officeDocument/2006/relationships/image" Target="media/image63.wmf"/><Relationship Id="rId15" Type="http://schemas.openxmlformats.org/officeDocument/2006/relationships/footer" Target="footer6.xml"/><Relationship Id="rId149" Type="http://schemas.openxmlformats.org/officeDocument/2006/relationships/oleObject" Target="embeddings/oleObject64.bin"/><Relationship Id="rId148" Type="http://schemas.openxmlformats.org/officeDocument/2006/relationships/image" Target="media/image62.wmf"/><Relationship Id="rId147" Type="http://schemas.openxmlformats.org/officeDocument/2006/relationships/oleObject" Target="embeddings/oleObject63.bin"/><Relationship Id="rId146" Type="http://schemas.openxmlformats.org/officeDocument/2006/relationships/image" Target="media/image61.wmf"/><Relationship Id="rId145" Type="http://schemas.openxmlformats.org/officeDocument/2006/relationships/oleObject" Target="embeddings/oleObject62.bin"/><Relationship Id="rId144" Type="http://schemas.openxmlformats.org/officeDocument/2006/relationships/oleObject" Target="embeddings/oleObject61.bin"/><Relationship Id="rId143" Type="http://schemas.openxmlformats.org/officeDocument/2006/relationships/image" Target="media/image60.wmf"/><Relationship Id="rId142" Type="http://schemas.openxmlformats.org/officeDocument/2006/relationships/oleObject" Target="embeddings/oleObject60.bin"/><Relationship Id="rId141" Type="http://schemas.openxmlformats.org/officeDocument/2006/relationships/image" Target="media/image59.wmf"/><Relationship Id="rId140" Type="http://schemas.openxmlformats.org/officeDocument/2006/relationships/oleObject" Target="embeddings/oleObject59.bin"/><Relationship Id="rId14" Type="http://schemas.openxmlformats.org/officeDocument/2006/relationships/footer" Target="footer5.xml"/><Relationship Id="rId139" Type="http://schemas.openxmlformats.org/officeDocument/2006/relationships/image" Target="media/image58.wmf"/><Relationship Id="rId138" Type="http://schemas.openxmlformats.org/officeDocument/2006/relationships/oleObject" Target="embeddings/oleObject58.bin"/><Relationship Id="rId137" Type="http://schemas.openxmlformats.org/officeDocument/2006/relationships/oleObject" Target="embeddings/oleObject57.bin"/><Relationship Id="rId136" Type="http://schemas.openxmlformats.org/officeDocument/2006/relationships/image" Target="media/image57.wmf"/><Relationship Id="rId135" Type="http://schemas.openxmlformats.org/officeDocument/2006/relationships/oleObject" Target="embeddings/oleObject56.bin"/><Relationship Id="rId134" Type="http://schemas.openxmlformats.org/officeDocument/2006/relationships/image" Target="media/image56.wmf"/><Relationship Id="rId133" Type="http://schemas.openxmlformats.org/officeDocument/2006/relationships/oleObject" Target="embeddings/oleObject55.bin"/><Relationship Id="rId132" Type="http://schemas.openxmlformats.org/officeDocument/2006/relationships/image" Target="media/image55.wmf"/><Relationship Id="rId131" Type="http://schemas.openxmlformats.org/officeDocument/2006/relationships/oleObject" Target="embeddings/oleObject54.bin"/><Relationship Id="rId130" Type="http://schemas.openxmlformats.org/officeDocument/2006/relationships/image" Target="media/image54.wmf"/><Relationship Id="rId13" Type="http://schemas.openxmlformats.org/officeDocument/2006/relationships/footer" Target="footer4.xml"/><Relationship Id="rId129" Type="http://schemas.openxmlformats.org/officeDocument/2006/relationships/oleObject" Target="embeddings/oleObject53.bin"/><Relationship Id="rId128" Type="http://schemas.openxmlformats.org/officeDocument/2006/relationships/image" Target="media/image53.wmf"/><Relationship Id="rId127" Type="http://schemas.openxmlformats.org/officeDocument/2006/relationships/oleObject" Target="embeddings/oleObject52.bin"/><Relationship Id="rId126" Type="http://schemas.openxmlformats.org/officeDocument/2006/relationships/image" Target="media/image52.wmf"/><Relationship Id="rId125" Type="http://schemas.openxmlformats.org/officeDocument/2006/relationships/oleObject" Target="embeddings/oleObject51.bin"/><Relationship Id="rId124" Type="http://schemas.openxmlformats.org/officeDocument/2006/relationships/image" Target="media/image51.wmf"/><Relationship Id="rId123" Type="http://schemas.openxmlformats.org/officeDocument/2006/relationships/oleObject" Target="embeddings/oleObject50.bin"/><Relationship Id="rId122" Type="http://schemas.openxmlformats.org/officeDocument/2006/relationships/image" Target="media/image50.wmf"/><Relationship Id="rId121" Type="http://schemas.openxmlformats.org/officeDocument/2006/relationships/oleObject" Target="embeddings/oleObject49.bin"/><Relationship Id="rId120" Type="http://schemas.openxmlformats.org/officeDocument/2006/relationships/image" Target="media/image49.wmf"/><Relationship Id="rId12" Type="http://schemas.openxmlformats.org/officeDocument/2006/relationships/header" Target="header5.xml"/><Relationship Id="rId119" Type="http://schemas.openxmlformats.org/officeDocument/2006/relationships/oleObject" Target="embeddings/oleObject48.bin"/><Relationship Id="rId118" Type="http://schemas.openxmlformats.org/officeDocument/2006/relationships/image" Target="media/image48.wmf"/><Relationship Id="rId117" Type="http://schemas.openxmlformats.org/officeDocument/2006/relationships/oleObject" Target="embeddings/oleObject47.bin"/><Relationship Id="rId116" Type="http://schemas.openxmlformats.org/officeDocument/2006/relationships/oleObject" Target="embeddings/oleObject46.bin"/><Relationship Id="rId115" Type="http://schemas.openxmlformats.org/officeDocument/2006/relationships/image" Target="media/image47.wmf"/><Relationship Id="rId114" Type="http://schemas.openxmlformats.org/officeDocument/2006/relationships/oleObject" Target="embeddings/oleObject45.bin"/><Relationship Id="rId113" Type="http://schemas.openxmlformats.org/officeDocument/2006/relationships/image" Target="media/image46.wmf"/><Relationship Id="rId112" Type="http://schemas.openxmlformats.org/officeDocument/2006/relationships/oleObject" Target="embeddings/oleObject44.bin"/><Relationship Id="rId111" Type="http://schemas.openxmlformats.org/officeDocument/2006/relationships/image" Target="media/image45.wmf"/><Relationship Id="rId110" Type="http://schemas.openxmlformats.org/officeDocument/2006/relationships/oleObject" Target="embeddings/oleObject43.bin"/><Relationship Id="rId11" Type="http://schemas.openxmlformats.org/officeDocument/2006/relationships/header" Target="header4.xml"/><Relationship Id="rId109" Type="http://schemas.openxmlformats.org/officeDocument/2006/relationships/image" Target="media/image44.wmf"/><Relationship Id="rId108" Type="http://schemas.openxmlformats.org/officeDocument/2006/relationships/oleObject" Target="embeddings/oleObject42.bin"/><Relationship Id="rId107" Type="http://schemas.openxmlformats.org/officeDocument/2006/relationships/image" Target="media/image43.wmf"/><Relationship Id="rId106" Type="http://schemas.openxmlformats.org/officeDocument/2006/relationships/oleObject" Target="embeddings/oleObject41.bin"/><Relationship Id="rId105" Type="http://schemas.openxmlformats.org/officeDocument/2006/relationships/image" Target="media/image42.wmf"/><Relationship Id="rId104" Type="http://schemas.openxmlformats.org/officeDocument/2006/relationships/oleObject" Target="embeddings/oleObject40.bin"/><Relationship Id="rId103" Type="http://schemas.openxmlformats.org/officeDocument/2006/relationships/oleObject" Target="embeddings/oleObject39.bin"/><Relationship Id="rId102" Type="http://schemas.openxmlformats.org/officeDocument/2006/relationships/image" Target="media/image41.wmf"/><Relationship Id="rId101" Type="http://schemas.openxmlformats.org/officeDocument/2006/relationships/oleObject" Target="embeddings/oleObject38.bin"/><Relationship Id="rId100" Type="http://schemas.openxmlformats.org/officeDocument/2006/relationships/image" Target="media/image40.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BF314-FFDC-4662-B084-C1EE1C36A277}">
  <ds:schemaRefs/>
</ds:datastoreItem>
</file>

<file path=docProps/app.xml><?xml version="1.0" encoding="utf-8"?>
<Properties xmlns="http://schemas.openxmlformats.org/officeDocument/2006/extended-properties" xmlns:vt="http://schemas.openxmlformats.org/officeDocument/2006/docPropsVTypes">
  <Template>Normal</Template>
  <Pages>107</Pages>
  <Words>2078</Words>
  <Characters>6011</Characters>
  <Lines>2612</Lines>
  <Paragraphs>1901</Paragraphs>
  <TotalTime>927</TotalTime>
  <ScaleCrop>false</ScaleCrop>
  <LinksUpToDate>false</LinksUpToDate>
  <CharactersWithSpaces>6717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2024-12-25T02:13:00Z</dcterms:created>
  <dc:creator>lenovo</dc:creator>
  <cp:lastModifiedBy>未待旭日丶不可语寒</cp:lastModifiedBy>
  <cp:lastPrinted>2026-05-19T08:37:00Z</cp:lastPrinted>
  <dcterms:modified xsi:type="dcterms:W3CDTF">2026-06-02T13:04:59Z</dcterms:modified>
  <cp:revision>2837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eyJoZGlkIjoiZGIzNTg5ZTJmMWZhM2E4ODc4NjI5ZGFiNmFmNzJjYzkiLCJ1c2VySWQiOiI4NDQ1MDA4NDYifQ==</vt:lpwstr>
  </property>
  <property fmtid="{D5CDD505-2E9C-101B-9397-08002B2CF9AE}" pid="4" name="KSOProductBuildVer">
    <vt:lpwstr>2052-12.1.0.26375</vt:lpwstr>
  </property>
  <property fmtid="{D5CDD505-2E9C-101B-9397-08002B2CF9AE}" pid="5" name="ICV">
    <vt:lpwstr>660D9CE1D79E49F39897C8DA0F2639A5_13</vt:lpwstr>
  </property>
</Properties>
</file>