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CED5A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安全生产档案管理制度</w:t>
      </w:r>
    </w:p>
    <w:p w14:paraId="09813DC3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3C33BCB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为规范公司安全生产档案管理工作，确保安全生产信息的完整性、可追溯性，为安全管理决策提供依据，特制定本制度。</w:t>
      </w:r>
    </w:p>
    <w:p w14:paraId="202251A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630BC1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本制度适用于公司各部门、各车间在生产经营活动中形成的所有安全生产相关文件、记录、台账、图纸、影像资料等的收集、整理、归档和保管。</w:t>
      </w:r>
    </w:p>
    <w:p w14:paraId="45FAFCD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6FD075D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安全生产档案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指在安全生产管理活动中直接形成的，具有保存价值的文字、图表、声像等各种形式的历史记录。</w:t>
      </w:r>
    </w:p>
    <w:p w14:paraId="6F4DF15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1800551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a）负责建立全公司安全生产档案管理体系，制定档案分类标准。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b）负责公司级安全档案（如评价报告、事故调查报告、综合性制度）的归档管理。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c）指导、监督各部门的安全档案管理工作。</w:t>
      </w:r>
    </w:p>
    <w:p w14:paraId="51DD745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a）负责建立并保管所有员工的“职业健康监护档案”及人事档案。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b）负责离职人员职业健康档案的封存与备查。</w:t>
      </w:r>
    </w:p>
    <w:p w14:paraId="2F3F820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生产运营部与厂务部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a）负责建立“一机一档”，确保特种设备及关键生产设施的技术资料（说明书、合格证、维护记录）完整。</w:t>
      </w:r>
    </w:p>
    <w:p w14:paraId="55DF655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人事行政部/综合管理中心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a）负责公司实体档案室的“五防”管理（防火、防潮、防虫、防盗、防光）。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b）负责电子文档的服务器备份与数据安全。</w:t>
      </w:r>
    </w:p>
    <w:p w14:paraId="1AE1C2B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各职能部门/车间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a）负责本部门/车间安全档案（如班组活动记录、巡检记录、隐患整改记录）的收集、整理和保管。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b）指定专人（兼职档案员）负责档案管理工作。</w:t>
      </w:r>
    </w:p>
    <w:p w14:paraId="498F83D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232DA10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档案分类与建档要求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人员档案（一人一档）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b）建立全员安全生产教育培训档案，包括三级教育卡、培训签到表、试卷、证书复印件。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c）建立职业健康监护档案，包括上岗前、在岗期间、离岗时的体检报告及职业病危害告知书。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d）记录员工的违章行为及安全奖励情况。</w:t>
      </w:r>
    </w:p>
    <w:p w14:paraId="53D9CBD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设备档案（一机一档）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f）特种设备及重点生产设备必须建立台账和专项档案。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g）档案内容包括：设备说明书、合格证、安装验收资料、历次检验报告、维护保养记录、故障及维修记录。</w:t>
      </w:r>
    </w:p>
    <w:p w14:paraId="46B12A8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运行管理档案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i）安全生产责任制及各类管理制度。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j）安全生产会议记录。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k）隐患排查与整改闭环台账。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l）危险源辨识与风险评价资料。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m）应急演练方案、签到表及评估报告。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n）事故调查处理卷宗。</w:t>
      </w:r>
    </w:p>
    <w:p w14:paraId="7F82E48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档案的收集与归档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a）遵循“谁形成、谁收集、谁整理”的原则。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b）安全生产记录应真实、清晰，严禁涂改或伪造。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c）各部门应在每季度末对本季度的安全档案进行清理，并于次年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月底</w:t>
      </w:r>
      <w:r>
        <w:rPr>
          <w:rFonts w:hint="eastAsia" w:ascii="仿宋" w:hAnsi="仿宋" w:eastAsia="仿宋" w:cs="仿宋"/>
          <w:sz w:val="28"/>
          <w:szCs w:val="28"/>
        </w:rPr>
        <w:t xml:space="preserve"> 前完成上一年度档案的组卷工作。</w:t>
      </w:r>
    </w:p>
    <w:p w14:paraId="108F48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 档案的保管与销毁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a）档案保管应具备防潮、防火、防虫、防光、防盗等“五防”条件。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保存年限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永久保存</w:t>
      </w:r>
      <w:r>
        <w:rPr>
          <w:rFonts w:hint="eastAsia" w:ascii="仿宋" w:hAnsi="仿宋" w:eastAsia="仿宋" w:cs="仿宋"/>
          <w:sz w:val="28"/>
          <w:szCs w:val="28"/>
        </w:rPr>
        <w:t>：事故调查报告、职业病危害评价报告、安全评价报告、安全设施设计专篇、竣工验收资料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职业健康监护档案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特种设备注册登记/检验资料。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长期保存（不少于 30 年）</w:t>
      </w:r>
      <w:r>
        <w:rPr>
          <w:rFonts w:hint="eastAsia" w:ascii="仿宋" w:hAnsi="仿宋" w:eastAsia="仿宋" w:cs="仿宋"/>
          <w:sz w:val="28"/>
          <w:szCs w:val="28"/>
        </w:rPr>
        <w:t>：重大隐患整改记录。</w:t>
      </w:r>
    </w:p>
    <w:p w14:paraId="243AAD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ind w:firstLine="50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中长期保存（不少于10年）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:</w:t>
      </w:r>
      <w:r>
        <w:rPr>
          <w:rFonts w:hint="eastAsia" w:ascii="仿宋" w:hAnsi="仿宋" w:eastAsia="仿宋" w:cs="仿宋"/>
          <w:sz w:val="28"/>
          <w:szCs w:val="28"/>
        </w:rPr>
        <w:t>危险废物转移联单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职业卫生检测报告（定期检测）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班前会记录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特殊作业票。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短期保存（3 年）</w:t>
      </w:r>
      <w:r>
        <w:rPr>
          <w:rFonts w:hint="eastAsia" w:ascii="仿宋" w:hAnsi="仿宋" w:eastAsia="仿宋" w:cs="仿宋"/>
          <w:sz w:val="28"/>
          <w:szCs w:val="28"/>
        </w:rPr>
        <w:t>：日常巡检记录、会议签到、一般教育培训记录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年度</w:t>
      </w:r>
      <w:r>
        <w:rPr>
          <w:rFonts w:hint="eastAsia" w:ascii="仿宋" w:hAnsi="仿宋" w:eastAsia="仿宋" w:cs="仿宋"/>
          <w:sz w:val="28"/>
          <w:szCs w:val="28"/>
        </w:rPr>
        <w:t>再教育培训记录。</w:t>
      </w:r>
    </w:p>
    <w:p w14:paraId="39D4C6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ind w:firstLine="500" w:firstLine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其他：</w:t>
      </w:r>
      <w:r>
        <w:rPr>
          <w:rFonts w:hint="eastAsia" w:ascii="仿宋" w:hAnsi="仿宋" w:eastAsia="仿宋" w:cs="仿宋"/>
          <w:sz w:val="28"/>
          <w:szCs w:val="28"/>
        </w:rPr>
        <w:t>“三级安全教育”卡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在职+离职后3年）。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</w:t>
      </w:r>
      <w:r>
        <w:rPr>
          <w:rFonts w:hint="eastAsia" w:ascii="仿宋" w:hAnsi="仿宋" w:eastAsia="仿宋" w:cs="仿宋"/>
          <w:sz w:val="28"/>
          <w:szCs w:val="28"/>
        </w:rPr>
        <w:t xml:space="preserve">）超过保存期限的档案，由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编制销毁清单，经公司主要负责人审批后，由两人监督销毁。</w:t>
      </w:r>
    </w:p>
    <w:p w14:paraId="0A56AB1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档案的借阅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a）借阅档案必须履行审批登记手续。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b）严禁在借阅档案上圈划、涂改、折叠或拆散。</w:t>
      </w:r>
    </w:p>
    <w:p w14:paraId="48942E9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附则</w:t>
      </w:r>
    </w:p>
    <w:p w14:paraId="5F9C726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6.2 本制度自发布之日起执行。</w:t>
      </w:r>
    </w:p>
    <w:p w14:paraId="36A5C46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52855FE"/>
    <w:rsid w:val="525F0AAE"/>
    <w:rsid w:val="75E83B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1250</Words>
  <Characters>1282</Characters>
  <TotalTime>4</TotalTime>
  <ScaleCrop>false</ScaleCrop>
  <LinksUpToDate>false</LinksUpToDate>
  <CharactersWithSpaces>1312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2026-01-21T09:59:00Z</dcterms:created>
  <dc:creator>Guangyang</dc:creator>
  <cp:lastModifiedBy>噗⁼³₌₃</cp:lastModifiedBy>
  <dcterms:modified xsi:type="dcterms:W3CDTF">2026-01-21T15:55:53Z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DA7962A1703F457D9EEF1E1BC9A86161_12</vt:lpwstr>
  </property>
</Properties>
</file>