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BB939D">
      <w:pPr>
        <w:pStyle w:val="2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变更管理制度</w:t>
      </w:r>
    </w:p>
    <w:p w14:paraId="2EA00BA1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一、 目的</w:t>
      </w:r>
    </w:p>
    <w:p w14:paraId="5F56EEA2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为规范公司生产经营过程中的变更管理（Management of Change, MOC），确保在工艺、技术、设备、材料、人员及组织架构发生变化时，能够及时识别并管控潜在的 EHS 风险，防止因变更失控引发事故，特制定本制度。</w:t>
      </w:r>
    </w:p>
    <w:p w14:paraId="63436E4C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二、 适用范围</w:t>
      </w:r>
    </w:p>
    <w:p w14:paraId="7BEC080F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本制度适用于公司范围内所有涉及安全生产的永久性、临时性或紧急性变更。</w:t>
      </w:r>
    </w:p>
    <w:p w14:paraId="7F1B318E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三、 定义</w:t>
      </w:r>
    </w:p>
    <w:p w14:paraId="4D80B693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3.1 </w:t>
      </w:r>
      <w:r>
        <w:rPr>
          <w:rStyle w:val="7"/>
          <w:rFonts w:hint="eastAsia" w:ascii="仿宋" w:hAnsi="仿宋" w:eastAsia="仿宋" w:cs="仿宋"/>
          <w:sz w:val="28"/>
          <w:szCs w:val="28"/>
        </w:rPr>
        <w:t>变更（MOC）</w:t>
      </w:r>
      <w:r>
        <w:rPr>
          <w:rFonts w:hint="eastAsia" w:ascii="仿宋" w:hAnsi="仿宋" w:eastAsia="仿宋" w:cs="仿宋"/>
          <w:sz w:val="28"/>
          <w:szCs w:val="28"/>
        </w:rPr>
        <w:t>：指在现有生产运行状态基础上，对工艺技术、设备设施、作业环境、人员配置、管理制度等进行的任何改变。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3.2 </w:t>
      </w:r>
      <w:r>
        <w:rPr>
          <w:rStyle w:val="7"/>
          <w:rFonts w:hint="eastAsia" w:ascii="仿宋" w:hAnsi="仿宋" w:eastAsia="仿宋" w:cs="仿宋"/>
          <w:sz w:val="28"/>
          <w:szCs w:val="28"/>
        </w:rPr>
        <w:t>同类替换（Like-for-like）</w:t>
      </w:r>
      <w:r>
        <w:rPr>
          <w:rFonts w:hint="eastAsia" w:ascii="仿宋" w:hAnsi="仿宋" w:eastAsia="仿宋" w:cs="仿宋"/>
          <w:sz w:val="28"/>
          <w:szCs w:val="28"/>
        </w:rPr>
        <w:t>：指在材质、规格、型号、品牌、精度、量程及功能特性上</w:t>
      </w:r>
      <w:r>
        <w:rPr>
          <w:rStyle w:val="7"/>
          <w:rFonts w:hint="eastAsia" w:ascii="仿宋" w:hAnsi="仿宋" w:eastAsia="仿宋" w:cs="仿宋"/>
          <w:sz w:val="28"/>
          <w:szCs w:val="28"/>
        </w:rPr>
        <w:t>完全一致</w:t>
      </w:r>
      <w:r>
        <w:rPr>
          <w:rFonts w:hint="eastAsia" w:ascii="仿宋" w:hAnsi="仿宋" w:eastAsia="仿宋" w:cs="仿宋"/>
          <w:sz w:val="28"/>
          <w:szCs w:val="28"/>
        </w:rPr>
        <w:t>的替换。此种情况可免予由变更流程，但必须进行功能验证。注意：同规格但不同品牌、或同型号但不同材质、或“性能升级”的替换，均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不</w:t>
      </w:r>
      <w:r>
        <w:rPr>
          <w:rFonts w:hint="eastAsia" w:ascii="仿宋" w:hAnsi="仿宋" w:eastAsia="仿宋" w:cs="仿宋"/>
          <w:sz w:val="28"/>
          <w:szCs w:val="28"/>
        </w:rPr>
        <w:t>属于同类替换，必须执行MOC流程。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3.3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临时变更</w:t>
      </w:r>
      <w:r>
        <w:rPr>
          <w:rFonts w:hint="eastAsia" w:ascii="仿宋" w:hAnsi="仿宋" w:eastAsia="仿宋" w:cs="仿宋"/>
          <w:sz w:val="28"/>
          <w:szCs w:val="28"/>
        </w:rPr>
        <w:t>：指在限定时间内实施的变更，到期后必须恢复原状或转为永久变更。</w:t>
      </w:r>
    </w:p>
    <w:p w14:paraId="4BB6B9AF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四、 职责划分</w:t>
      </w:r>
    </w:p>
    <w:p w14:paraId="73E762AA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4.1 变更申请部门（如生产运营部、研发部、厂务部）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a）负责提出变更申请，编制变更方案及风险评估报告；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b）负责变更实施过程中的现场安全管理；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c）负责变更后的员工培训及资料更新。</w:t>
      </w:r>
    </w:p>
    <w:p w14:paraId="66B82BC2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4.2 EHS与消防部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a）负责对变更申请进行 EHS 专项审核，参与风险评估；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b）负责对变更后的安全设施进行验收；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c）负责监督变更管理流程的闭环执行。</w:t>
      </w:r>
    </w:p>
    <w:p w14:paraId="6C8B8D64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4.3 研发部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a）负责对工艺技术类变更（如电解液配方、充放电策略）进行技术可行性及安全验证。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b）提供变更所需的各项技术参数及反应机理数据，确保风险评估基于真实数据。</w:t>
      </w:r>
    </w:p>
    <w:p w14:paraId="45F09D64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4.4 供应链管理部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a）在发起原材料或供应商变更（包括“二供”导入）时，必须提前向EHS部门和研发部报备。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b）负责向新供应商索取变更后的化学品SDS报告及EHS合规声明，并不定期送检验证。</w:t>
      </w:r>
    </w:p>
    <w:p w14:paraId="4CB09252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4.5 财务与审计部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a）对以“降本增效”为目的的变更项目（如更换廉价原料、简化工艺步骤），必须在审批流程中增加EHS否决权节点。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b）确保变更项目所需的安全整改资金预算落实到位。</w:t>
      </w:r>
    </w:p>
    <w:p w14:paraId="3E6A5A9C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4.6 人事行政部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a）在发起组织架构调整或关键核心人员（如注液、化成工序及EHS管理岗）变动前，应评估其对安全管理体系运行的影响。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b）负责变更后的人员资质审核及培训记录归档。</w:t>
      </w:r>
    </w:p>
    <w:p w14:paraId="23C01532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4.7 变更审批组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由公司分管领导、技术专家及 EHS 负责人组成，负责对重大变更进行联合评审与批准。</w:t>
      </w:r>
    </w:p>
    <w:p w14:paraId="43F4ED7E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五、 内容</w:t>
      </w:r>
    </w:p>
    <w:p w14:paraId="034A22C7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5.1 变更分类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工艺技术变更</w:t>
      </w:r>
      <w:r>
        <w:rPr>
          <w:rFonts w:hint="eastAsia" w:ascii="仿宋" w:hAnsi="仿宋" w:eastAsia="仿宋" w:cs="仿宋"/>
          <w:sz w:val="28"/>
          <w:szCs w:val="28"/>
        </w:rPr>
        <w:t>：如电解液配方调整、涂布速度提升、化成充放电曲线修改、溶剂由 NMP 变更为其他物质。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设备设施变更</w:t>
      </w:r>
      <w:r>
        <w:rPr>
          <w:rFonts w:hint="eastAsia" w:ascii="仿宋" w:hAnsi="仿宋" w:eastAsia="仿宋" w:cs="仿宋"/>
          <w:sz w:val="28"/>
          <w:szCs w:val="28"/>
        </w:rPr>
        <w:t>：如新增生产线、改变设备联锁逻辑、公用工程（氮气/压缩空气）管路改造。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材料变更</w:t>
      </w:r>
      <w:r>
        <w:rPr>
          <w:rFonts w:hint="eastAsia" w:ascii="仿宋" w:hAnsi="仿宋" w:eastAsia="仿宋" w:cs="仿宋"/>
          <w:sz w:val="28"/>
          <w:szCs w:val="28"/>
        </w:rPr>
        <w:t>：如供应商更换、原材料规格改变、包装方式改变。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人员/组织变更</w:t>
      </w:r>
      <w:r>
        <w:rPr>
          <w:rFonts w:hint="eastAsia" w:ascii="仿宋" w:hAnsi="仿宋" w:eastAsia="仿宋" w:cs="仿宋"/>
          <w:sz w:val="28"/>
          <w:szCs w:val="28"/>
        </w:rPr>
        <w:t>：如关键岗位（注液、化成）人员大比例调整、EHS 管理架构变动。</w:t>
      </w:r>
    </w:p>
    <w:p w14:paraId="17E27C48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5.2 变更管理流程（强制性）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变更申请</w:t>
      </w:r>
      <w:r>
        <w:rPr>
          <w:rFonts w:hint="eastAsia" w:ascii="仿宋" w:hAnsi="仿宋" w:eastAsia="仿宋" w:cs="仿宋"/>
          <w:sz w:val="28"/>
          <w:szCs w:val="28"/>
        </w:rPr>
        <w:t>：申请部门填写《变更申请表（MOC）》。涉及原料或工艺变更的，</w:t>
      </w:r>
      <w:r>
        <w:rPr>
          <w:rStyle w:val="7"/>
          <w:rFonts w:hint="eastAsia" w:ascii="仿宋" w:hAnsi="仿宋" w:eastAsia="仿宋" w:cs="仿宋"/>
          <w:sz w:val="28"/>
          <w:szCs w:val="28"/>
        </w:rPr>
        <w:t>研发部</w:t>
      </w:r>
      <w:r>
        <w:rPr>
          <w:rFonts w:hint="eastAsia" w:ascii="仿宋" w:hAnsi="仿宋" w:eastAsia="仿宋" w:cs="仿宋"/>
          <w:sz w:val="28"/>
          <w:szCs w:val="28"/>
        </w:rPr>
        <w:t>必须审核其技术安全性，并提供相应的MSDS或反应风险数据。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风险评估</w:t>
      </w:r>
      <w:r>
        <w:rPr>
          <w:rFonts w:hint="eastAsia" w:ascii="仿宋" w:hAnsi="仿宋" w:eastAsia="仿宋" w:cs="仿宋"/>
          <w:sz w:val="28"/>
          <w:szCs w:val="28"/>
        </w:rPr>
        <w:t>：申请部门必须组织相关专家（含EHS及技术人员）对变更风险进行评估。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审核与批准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d）涉及供应商变更（含二供）的，</w:t>
      </w:r>
      <w:r>
        <w:rPr>
          <w:rStyle w:val="7"/>
          <w:rFonts w:hint="eastAsia" w:ascii="仿宋" w:hAnsi="仿宋" w:eastAsia="仿宋" w:cs="仿宋"/>
          <w:sz w:val="28"/>
          <w:szCs w:val="28"/>
        </w:rPr>
        <w:t>供应链管理部</w:t>
      </w:r>
      <w:r>
        <w:rPr>
          <w:rFonts w:hint="eastAsia" w:ascii="仿宋" w:hAnsi="仿宋" w:eastAsia="仿宋" w:cs="仿宋"/>
          <w:sz w:val="28"/>
          <w:szCs w:val="28"/>
        </w:rPr>
        <w:t>必须在审批前提供新供应商的EHS合规声明。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e）涉及降低成本可能削减安全投入的，</w:t>
      </w:r>
      <w:r>
        <w:rPr>
          <w:rStyle w:val="7"/>
          <w:rFonts w:hint="eastAsia" w:ascii="仿宋" w:hAnsi="仿宋" w:eastAsia="仿宋" w:cs="仿宋"/>
          <w:sz w:val="28"/>
          <w:szCs w:val="28"/>
        </w:rPr>
        <w:t>财务与审计部</w:t>
      </w:r>
      <w:r>
        <w:rPr>
          <w:rFonts w:hint="eastAsia" w:ascii="仿宋" w:hAnsi="仿宋" w:eastAsia="仿宋" w:cs="仿宋"/>
          <w:sz w:val="28"/>
          <w:szCs w:val="28"/>
        </w:rPr>
        <w:t>必须重点审核，并支持EHS的一票否决权。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f）一般变更：由申请部门负责人及 EHS 部门审核批准。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g）重大变更：必须经变更审批组联合评审，由公司总经理或分管副总批准。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h）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变更实施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i）实施前必须对受影响的员工进行专项安全培训。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j）涉及危险作业的，必须办理相应的作业许可证。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k）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变更验收</w:t>
      </w:r>
      <w:r>
        <w:rPr>
          <w:rFonts w:hint="eastAsia" w:ascii="仿宋" w:hAnsi="仿宋" w:eastAsia="仿宋" w:cs="仿宋"/>
          <w:sz w:val="28"/>
          <w:szCs w:val="28"/>
        </w:rPr>
        <w:t>：变更完成后，必须由 EHS 部门进行现场验收，确认安全防护装置完好、SOP 已更新、员工已掌握新风险。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l）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资料归档</w:t>
      </w:r>
      <w:r>
        <w:rPr>
          <w:rFonts w:hint="eastAsia" w:ascii="仿宋" w:hAnsi="仿宋" w:eastAsia="仿宋" w:cs="仿宋"/>
          <w:sz w:val="28"/>
          <w:szCs w:val="28"/>
        </w:rPr>
        <w:t>：变更全过程记录应存入设备档案或工艺档案中。</w:t>
      </w:r>
    </w:p>
    <w:p w14:paraId="4CE3C5AE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5.3 临时变更管理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a）临时变更必须明确有效期，原则上不超过 </w:t>
      </w:r>
      <w:r>
        <w:rPr>
          <w:rStyle w:val="7"/>
          <w:rFonts w:hint="eastAsia" w:ascii="仿宋" w:hAnsi="仿宋" w:eastAsia="仿宋" w:cs="仿宋"/>
          <w:sz w:val="28"/>
          <w:szCs w:val="28"/>
        </w:rPr>
        <w:t>30 天</w:t>
      </w:r>
      <w:r>
        <w:rPr>
          <w:rFonts w:hint="eastAsia" w:ascii="仿宋" w:hAnsi="仿宋" w:eastAsia="仿宋" w:cs="仿宋"/>
          <w:sz w:val="28"/>
          <w:szCs w:val="28"/>
        </w:rPr>
        <w:t>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b）有效期届满，必须立即恢复原状。如需延长，必须重新办理审批手续。</w:t>
      </w:r>
    </w:p>
    <w:p w14:paraId="67E15FAD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5.4 紧急变更管理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a）在紧急状态下（如设备突发故障需临时跨接联锁），可由现场最高负责人口头批准实施，但必须在 </w:t>
      </w:r>
      <w:r>
        <w:rPr>
          <w:rStyle w:val="7"/>
          <w:rFonts w:hint="eastAsia" w:ascii="仿宋" w:hAnsi="仿宋" w:eastAsia="仿宋" w:cs="仿宋"/>
          <w:sz w:val="28"/>
          <w:szCs w:val="28"/>
        </w:rPr>
        <w:t>24 小时内</w:t>
      </w:r>
      <w:r>
        <w:rPr>
          <w:rFonts w:hint="eastAsia" w:ascii="仿宋" w:hAnsi="仿宋" w:eastAsia="仿宋" w:cs="仿宋"/>
          <w:sz w:val="28"/>
          <w:szCs w:val="28"/>
        </w:rPr>
        <w:t xml:space="preserve"> 补办正式 MOC 手续。</w:t>
      </w:r>
    </w:p>
    <w:p w14:paraId="75768B47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六、 禁止行为与责任追究</w:t>
      </w:r>
    </w:p>
    <w:p w14:paraId="657D1EC7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6.1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严禁擅自变更</w:t>
      </w:r>
      <w:r>
        <w:rPr>
          <w:rFonts w:hint="eastAsia" w:ascii="仿宋" w:hAnsi="仿宋" w:eastAsia="仿宋" w:cs="仿宋"/>
          <w:sz w:val="28"/>
          <w:szCs w:val="28"/>
        </w:rPr>
        <w:t>。严禁未经审批擅自实施工艺、设备、材料或组织架构变更。违者对申请部门负责人给予警告处分，并责令立即恢复原状。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6.2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严禁评估缺失</w:t>
      </w:r>
      <w:r>
        <w:rPr>
          <w:rFonts w:hint="eastAsia" w:ascii="仿宋" w:hAnsi="仿宋" w:eastAsia="仿宋" w:cs="仿宋"/>
          <w:sz w:val="28"/>
          <w:szCs w:val="28"/>
        </w:rPr>
        <w:t>。严禁变更风险评估流于形式或未识别出重大风险。违者对评估小组负责人给予通报批评处分，并责令重新进行风险评估。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6.3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严禁违规作业</w:t>
      </w:r>
      <w:r>
        <w:rPr>
          <w:rFonts w:hint="eastAsia" w:ascii="仿宋" w:hAnsi="仿宋" w:eastAsia="仿宋" w:cs="仿宋"/>
          <w:sz w:val="28"/>
          <w:szCs w:val="28"/>
        </w:rPr>
        <w:t>。严禁变更后未对受影响员工进行专项培训即开始作业。违者对直接管理责任人给予警告处分，并强制相关人员离岗补训。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6.4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严禁逾期不复</w:t>
      </w:r>
      <w:r>
        <w:rPr>
          <w:rFonts w:hint="eastAsia" w:ascii="仿宋" w:hAnsi="仿宋" w:eastAsia="仿宋" w:cs="仿宋"/>
          <w:sz w:val="28"/>
          <w:szCs w:val="28"/>
        </w:rPr>
        <w:t>。严禁临时变更到期未恢复原状且未办理延期手续。违者对责任部门负责人给予通报批评处分。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6.5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严禁破坏联锁</w:t>
      </w:r>
      <w:r>
        <w:rPr>
          <w:rFonts w:hint="eastAsia" w:ascii="仿宋" w:hAnsi="仿宋" w:eastAsia="仿宋" w:cs="仿宋"/>
          <w:sz w:val="28"/>
          <w:szCs w:val="28"/>
        </w:rPr>
        <w:t>。严禁在变更过程中擅自屏蔽、短接或拆除设备安全联锁装置。此行为属于安全红线，违者对直接责任人给予解除劳动合同处理。</w:t>
      </w:r>
    </w:p>
    <w:p w14:paraId="010AC43F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七、 附件</w:t>
      </w:r>
    </w:p>
    <w:p w14:paraId="41279BE6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7.1 《变更申请审批表（MOC）》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7.2 《变更风险评估记录表》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7.3 《变更验收单》</w:t>
      </w:r>
    </w:p>
    <w:p w14:paraId="1817EDF4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八、 本文件自发布之日起生效</w:t>
      </w:r>
    </w:p>
    <w:p w14:paraId="427276CA">
      <w:pPr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bookmarkStart w:id="0" w:name="_GoBack"/>
      <w:bookmarkEnd w:id="0"/>
    </w:p>
    <w:p w14:paraId="78E87A9B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555748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480" w:beforeAutospacing="0" w:after="480" w:afterAutospacing="0"/>
      <w:ind w:left="0" w:right="0"/>
      <w:jc w:val="center"/>
    </w:pPr>
    <w:rPr>
      <w:rFonts w:hint="eastAsia" w:ascii="黑体" w:hAnsi="宋体" w:eastAsia="黑体" w:cs="黑体"/>
      <w:b/>
      <w:bCs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60" w:beforeAutospacing="0" w:after="360" w:afterAutospacing="0"/>
      <w:ind w:left="0" w:right="0"/>
      <w:jc w:val="left"/>
    </w:pPr>
    <w:rPr>
      <w:rFonts w:ascii="黑体" w:hAnsi="宋体" w:eastAsia="黑体" w:cs="黑体"/>
      <w:b/>
      <w:bCs/>
      <w:kern w:val="0"/>
      <w:sz w:val="32"/>
      <w:szCs w:val="32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0" w:after="200" w:afterAutospacing="0" w:line="23" w:lineRule="atLeast"/>
      <w:ind w:left="0" w:right="0"/>
      <w:jc w:val="both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nsolas" w:hAnsi="Consolas" w:eastAsia="Consolas" w:cs="Consolas"/>
      <w:sz w:val="20"/>
      <w:bdr w:val="none" w:color="auto" w:sz="0" w:space="0"/>
      <w:shd w:val="clear" w:fill="F5F5F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1949</Words>
  <Characters>2088</Characters>
  <TotalTime>0</TotalTime>
  <ScaleCrop>false</ScaleCrop>
  <LinksUpToDate>false</LinksUpToDate>
  <CharactersWithSpaces>2142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2026-01-21T12:14:21Z</dcterms:created>
  <dc:creator>Guangyang</dc:creator>
  <cp:lastModifiedBy>噗⁼³₌₃</cp:lastModifiedBy>
  <dcterms:modified xsi:type="dcterms:W3CDTF">2026-01-21T12:15:01Z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eyJoZGlkIjoiNDVlM2M0ODBlZWJiMDk1MzY5NGExM2U5YjAwNjdiZTQiLCJ1c2VySWQiOiI0Mjk3NTYwODAifQ==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888B7002FEF3440A8FE30EA5D8A265C1_12</vt:lpwstr>
  </property>
</Properties>
</file>