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6B0D6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事故调查与报告管理制度</w:t>
      </w:r>
    </w:p>
    <w:p w14:paraId="034233A9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 目的</w:t>
      </w:r>
    </w:p>
    <w:p w14:paraId="08B91E3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为规范公司生产安全事故的报告、调查、处理和统计工作，落实“四不放过”原则（事故原因未查清不放过、责任人员未处理不放过、整改措施未落实不放过、有关人员未受到教育不放过），防止同类事故重复发生，特制定本制度。</w:t>
      </w:r>
    </w:p>
    <w:p w14:paraId="42B80028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 适用范围</w:t>
      </w:r>
    </w:p>
    <w:p w14:paraId="2208EA1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本制度适用于公司范围内发生的所有生产安全事故（含火灾、爆炸、设备损坏、环境污染）及未遂事故（Near Miss）的调查处理。</w:t>
      </w:r>
    </w:p>
    <w:p w14:paraId="6DC89848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 定义</w:t>
      </w:r>
    </w:p>
    <w:p w14:paraId="41E260C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3.1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生产安全事故</w:t>
      </w:r>
      <w:r>
        <w:rPr>
          <w:rFonts w:hint="eastAsia" w:ascii="仿宋" w:hAnsi="仿宋" w:eastAsia="仿宋" w:cs="仿宋"/>
          <w:sz w:val="28"/>
          <w:szCs w:val="28"/>
        </w:rPr>
        <w:t>：指在生产经营活动中发生的造成人身伤亡或者直接经济损失的事故。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3.2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未遂事故（险肇事故）</w:t>
      </w:r>
      <w:r>
        <w:rPr>
          <w:rFonts w:hint="eastAsia" w:ascii="仿宋" w:hAnsi="仿宋" w:eastAsia="仿宋" w:cs="仿宋"/>
          <w:sz w:val="28"/>
          <w:szCs w:val="28"/>
        </w:rPr>
        <w:t>：指已经发生但未造成人员伤害或直接经济损失，但具有潜在危险性的事件（如锂电池冒烟但被及时扑灭）。</w:t>
      </w:r>
    </w:p>
    <w:p w14:paraId="33B3C438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 职责划分</w:t>
      </w:r>
    </w:p>
    <w:p w14:paraId="4179CC2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4.1 EHS与消防部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a）负责事故的归口管理，接报后立即启动应急响应；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b）负责组织一般事故的调查，编制《事故调查报告》；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c）负责事故档案的建立与统计分析。</w:t>
      </w:r>
    </w:p>
    <w:p w14:paraId="3EBFA9A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4.2 事故发生部门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a）负责事故现场的保护与初步应急处置；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b）负责在规定时间内如实上报事故情况，配合调查组工作；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c）负责落实事故整改措施。</w:t>
      </w:r>
    </w:p>
    <w:p w14:paraId="5D2A790C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4.3 事故调查组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由公司总经理或授权代表任组长，EHS、技术、设备、工会等部门人员组成，负责查明原因、认定责任、提出处理建议。</w:t>
      </w:r>
    </w:p>
    <w:p w14:paraId="39ECE8E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4.4 人事行政部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a）负责工伤认定申报及工伤保险理赔工作，保障受伤员工的合法权益。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b）依据事故调查报告的处理决定，执行对责任人员的行政处分（如记过、开除）及绩效扣款。</w:t>
      </w:r>
    </w:p>
    <w:p w14:paraId="5D280EC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4.5 财务与审计部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a）负责建立“事故损失统计台账”，核算直接经济损失（含医疗费、赔偿金、设备维修费）。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b）落实事故罚款的收缴及工伤赔偿金的支付。</w:t>
      </w:r>
    </w:p>
    <w:p w14:paraId="6E8B5C9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4.6 供应链管理部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a）负责协助调查因设备质量或外购材料缺陷导致的事故，并向供应商发起索赔。</w:t>
      </w:r>
    </w:p>
    <w:p w14:paraId="03B97520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五、 内容</w:t>
      </w:r>
    </w:p>
    <w:p w14:paraId="6DE3340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5.1 事故分级（内部标准）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轻微事故</w:t>
      </w:r>
      <w:r>
        <w:rPr>
          <w:rFonts w:hint="eastAsia" w:ascii="仿宋" w:hAnsi="仿宋" w:eastAsia="仿宋" w:cs="仿宋"/>
          <w:sz w:val="28"/>
          <w:szCs w:val="28"/>
        </w:rPr>
        <w:t>：一次造成轻伤 1-2 人，或直接经济损失 1000 元以上、1 万元以下。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一般事故</w:t>
      </w:r>
      <w:r>
        <w:rPr>
          <w:rFonts w:hint="eastAsia" w:ascii="仿宋" w:hAnsi="仿宋" w:eastAsia="仿宋" w:cs="仿宋"/>
          <w:sz w:val="28"/>
          <w:szCs w:val="28"/>
        </w:rPr>
        <w:t>：一次造成重伤 1-2 人，或轻伤 3 人以上，或直接经济损失 1 万元以上、10 万元以下。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重大事故</w:t>
      </w:r>
      <w:r>
        <w:rPr>
          <w:rFonts w:hint="eastAsia" w:ascii="仿宋" w:hAnsi="仿宋" w:eastAsia="仿宋" w:cs="仿宋"/>
          <w:sz w:val="28"/>
          <w:szCs w:val="28"/>
        </w:rPr>
        <w:t>：一次造成死亡 1 人及以上，或重伤 3 人以上，或直接经济损失 10 万元以上。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锂电专项事故</w:t>
      </w:r>
      <w:r>
        <w:rPr>
          <w:rFonts w:hint="eastAsia" w:ascii="仿宋" w:hAnsi="仿宋" w:eastAsia="仿宋" w:cs="仿宋"/>
          <w:sz w:val="28"/>
          <w:szCs w:val="28"/>
        </w:rPr>
        <w:t>：凡发生电芯热失控引发明火、NMP 管道泄漏 &gt;10kg、洁净室火灾报警联动，无论损失大小，均提级按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一般事故</w:t>
      </w:r>
      <w:r>
        <w:rPr>
          <w:rFonts w:hint="eastAsia" w:ascii="仿宋" w:hAnsi="仿宋" w:eastAsia="仿宋" w:cs="仿宋"/>
          <w:sz w:val="28"/>
          <w:szCs w:val="28"/>
        </w:rPr>
        <w:t>管理。</w:t>
      </w:r>
    </w:p>
    <w:p w14:paraId="67AB04A8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5.2 事故报告流程（强制时限）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现场报告</w:t>
      </w:r>
      <w:r>
        <w:rPr>
          <w:rFonts w:hint="eastAsia" w:ascii="仿宋" w:hAnsi="仿宋" w:eastAsia="仿宋" w:cs="仿宋"/>
          <w:sz w:val="28"/>
          <w:szCs w:val="28"/>
        </w:rPr>
        <w:t>：事故发生后，现场人员应立即（</w:t>
      </w:r>
      <w:r>
        <w:rPr>
          <w:rStyle w:val="7"/>
          <w:rFonts w:hint="eastAsia" w:ascii="仿宋" w:hAnsi="仿宋" w:eastAsia="仿宋" w:cs="仿宋"/>
          <w:sz w:val="28"/>
          <w:szCs w:val="28"/>
        </w:rPr>
        <w:t>5 分钟内</w:t>
      </w:r>
      <w:r>
        <w:rPr>
          <w:rFonts w:hint="eastAsia" w:ascii="仿宋" w:hAnsi="仿宋" w:eastAsia="仿宋" w:cs="仿宋"/>
          <w:sz w:val="28"/>
          <w:szCs w:val="28"/>
        </w:rPr>
        <w:t>）报告班组长或部门负责人。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部门报告</w:t>
      </w:r>
      <w:r>
        <w:rPr>
          <w:rFonts w:hint="eastAsia" w:ascii="仿宋" w:hAnsi="仿宋" w:eastAsia="仿宋" w:cs="仿宋"/>
          <w:sz w:val="28"/>
          <w:szCs w:val="28"/>
        </w:rPr>
        <w:t xml:space="preserve">：部门负责人接报后，必须在 </w:t>
      </w:r>
      <w:r>
        <w:rPr>
          <w:rStyle w:val="7"/>
          <w:rFonts w:hint="eastAsia" w:ascii="仿宋" w:hAnsi="仿宋" w:eastAsia="仿宋" w:cs="仿宋"/>
          <w:sz w:val="28"/>
          <w:szCs w:val="28"/>
        </w:rPr>
        <w:t>15 分钟内</w:t>
      </w:r>
      <w:r>
        <w:rPr>
          <w:rFonts w:hint="eastAsia" w:ascii="仿宋" w:hAnsi="仿宋" w:eastAsia="仿宋" w:cs="仿宋"/>
          <w:sz w:val="28"/>
          <w:szCs w:val="28"/>
        </w:rPr>
        <w:t xml:space="preserve"> 电话报告 EHS 部门及总经理。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书面报告</w:t>
      </w:r>
      <w:r>
        <w:rPr>
          <w:rFonts w:hint="eastAsia" w:ascii="仿宋" w:hAnsi="仿宋" w:eastAsia="仿宋" w:cs="仿宋"/>
          <w:sz w:val="28"/>
          <w:szCs w:val="28"/>
        </w:rPr>
        <w:t xml:space="preserve">：事故发生后 </w:t>
      </w:r>
      <w:r>
        <w:rPr>
          <w:rStyle w:val="7"/>
          <w:rFonts w:hint="eastAsia" w:ascii="仿宋" w:hAnsi="仿宋" w:eastAsia="仿宋" w:cs="仿宋"/>
          <w:sz w:val="28"/>
          <w:szCs w:val="28"/>
        </w:rPr>
        <w:t>24 小时内</w:t>
      </w:r>
      <w:r>
        <w:rPr>
          <w:rFonts w:hint="eastAsia" w:ascii="仿宋" w:hAnsi="仿宋" w:eastAsia="仿宋" w:cs="仿宋"/>
          <w:sz w:val="28"/>
          <w:szCs w:val="28"/>
        </w:rPr>
        <w:t>，事故部门必须提交《事故快报表》，内容包括：时间、地点、经过、伤亡情况、初步原因。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严禁瞒报</w:t>
      </w:r>
      <w:r>
        <w:rPr>
          <w:rFonts w:hint="eastAsia" w:ascii="仿宋" w:hAnsi="仿宋" w:eastAsia="仿宋" w:cs="仿宋"/>
          <w:sz w:val="28"/>
          <w:szCs w:val="28"/>
        </w:rPr>
        <w:t>：任何单位和个人不得迟报、漏报、谎报或者瞒报事故。</w:t>
      </w:r>
    </w:p>
    <w:p w14:paraId="513870B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5.3 事故调查与处理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调查启动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b）轻微事故：由部门负责人组织调查，EHS 部门参与。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c）一般及以上事故：由公司成立事故调查组进行调查。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调查期限</w:t>
      </w:r>
      <w:r>
        <w:rPr>
          <w:rFonts w:hint="eastAsia" w:ascii="仿宋" w:hAnsi="仿宋" w:eastAsia="仿宋" w:cs="仿宋"/>
          <w:sz w:val="28"/>
          <w:szCs w:val="28"/>
        </w:rPr>
        <w:t xml:space="preserve">：原则上应在事故发生后 </w:t>
      </w:r>
      <w:r>
        <w:rPr>
          <w:rStyle w:val="7"/>
          <w:rFonts w:hint="eastAsia" w:ascii="仿宋" w:hAnsi="仿宋" w:eastAsia="仿宋" w:cs="仿宋"/>
          <w:sz w:val="28"/>
          <w:szCs w:val="28"/>
        </w:rPr>
        <w:t>7 个工作日内</w:t>
      </w:r>
      <w:r>
        <w:rPr>
          <w:rFonts w:hint="eastAsia" w:ascii="仿宋" w:hAnsi="仿宋" w:eastAsia="仿宋" w:cs="仿宋"/>
          <w:sz w:val="28"/>
          <w:szCs w:val="28"/>
        </w:rPr>
        <w:t xml:space="preserve"> 完成调查并提交报告。特殊情况经批准可延长，但不得超过 30 日。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原因分析</w:t>
      </w:r>
      <w:r>
        <w:rPr>
          <w:rFonts w:hint="eastAsia" w:ascii="仿宋" w:hAnsi="仿宋" w:eastAsia="仿宋" w:cs="仿宋"/>
          <w:sz w:val="28"/>
          <w:szCs w:val="28"/>
        </w:rPr>
        <w:t>：必须使用“5Why 分析法”或“鱼骨图”深挖根本原因，严禁仅停留在“员工操作不当”等表面原因。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f）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责任认定</w:t>
      </w:r>
      <w:r>
        <w:rPr>
          <w:rFonts w:hint="eastAsia" w:ascii="仿宋" w:hAnsi="仿宋" w:eastAsia="仿宋" w:cs="仿宋"/>
          <w:sz w:val="28"/>
          <w:szCs w:val="28"/>
        </w:rPr>
        <w:t>：依据调查结果，明确直接责任者、主要责任者和领导责任者。</w:t>
      </w:r>
    </w:p>
    <w:p w14:paraId="4A91659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5.4 工伤申报与理赔（HR主责）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a）事故发生后，</w:t>
      </w:r>
      <w:r>
        <w:rPr>
          <w:rStyle w:val="7"/>
          <w:rFonts w:hint="eastAsia" w:ascii="仿宋" w:hAnsi="仿宋" w:eastAsia="仿宋" w:cs="仿宋"/>
          <w:sz w:val="28"/>
          <w:szCs w:val="28"/>
        </w:rPr>
        <w:t>人事行政部</w:t>
      </w:r>
      <w:r>
        <w:rPr>
          <w:rFonts w:hint="eastAsia" w:ascii="仿宋" w:hAnsi="仿宋" w:eastAsia="仿宋" w:cs="仿宋"/>
          <w:sz w:val="28"/>
          <w:szCs w:val="28"/>
        </w:rPr>
        <w:t xml:space="preserve">必须在 </w:t>
      </w:r>
      <w:r>
        <w:rPr>
          <w:rStyle w:val="7"/>
          <w:rFonts w:hint="eastAsia" w:ascii="仿宋" w:hAnsi="仿宋" w:eastAsia="仿宋" w:cs="仿宋"/>
          <w:sz w:val="28"/>
          <w:szCs w:val="28"/>
        </w:rPr>
        <w:t>24小时内</w:t>
      </w:r>
      <w:r>
        <w:rPr>
          <w:rFonts w:hint="eastAsia" w:ascii="仿宋" w:hAnsi="仿宋" w:eastAsia="仿宋" w:cs="仿宋"/>
          <w:sz w:val="28"/>
          <w:szCs w:val="28"/>
        </w:rPr>
        <w:t xml:space="preserve"> 完成工伤保险报案。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b）需进行工伤认定的，受伤员工所在的事故部门必须在 </w:t>
      </w:r>
      <w:r>
        <w:rPr>
          <w:rStyle w:val="7"/>
          <w:rFonts w:hint="eastAsia" w:ascii="仿宋" w:hAnsi="仿宋" w:eastAsia="仿宋" w:cs="仿宋"/>
          <w:sz w:val="28"/>
          <w:szCs w:val="28"/>
        </w:rPr>
        <w:t>30日内</w:t>
      </w:r>
      <w:r>
        <w:rPr>
          <w:rFonts w:hint="eastAsia" w:ascii="仿宋" w:hAnsi="仿宋" w:eastAsia="仿宋" w:cs="仿宋"/>
          <w:sz w:val="28"/>
          <w:szCs w:val="28"/>
        </w:rPr>
        <w:t xml:space="preserve"> 配合HR提交全套申报材料。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财务与审计部</w:t>
      </w:r>
      <w:r>
        <w:rPr>
          <w:rFonts w:hint="eastAsia" w:ascii="仿宋" w:hAnsi="仿宋" w:eastAsia="仿宋" w:cs="仿宋"/>
          <w:sz w:val="28"/>
          <w:szCs w:val="28"/>
        </w:rPr>
        <w:t xml:space="preserve">应在收到保险公司理赔款后 </w:t>
      </w:r>
      <w:r>
        <w:rPr>
          <w:rStyle w:val="7"/>
          <w:rFonts w:hint="eastAsia" w:ascii="仿宋" w:hAnsi="仿宋" w:eastAsia="仿宋" w:cs="仿宋"/>
          <w:sz w:val="28"/>
          <w:szCs w:val="28"/>
        </w:rPr>
        <w:t>3个工作日内</w:t>
      </w:r>
      <w:r>
        <w:rPr>
          <w:rFonts w:hint="eastAsia" w:ascii="仿宋" w:hAnsi="仿宋" w:eastAsia="仿宋" w:cs="仿宋"/>
          <w:sz w:val="28"/>
          <w:szCs w:val="28"/>
        </w:rPr>
        <w:t xml:space="preserve"> 支付给受伤员工，严禁截留挪用。</w:t>
      </w:r>
    </w:p>
    <w:p w14:paraId="324F39CC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5.5 档案管理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事故调查处理结案后，EHS 部门应将事故快报、调查报告、现场照片、询问笔录、处理决定等资料归档保存，保存期限为 </w:t>
      </w:r>
      <w:r>
        <w:rPr>
          <w:rStyle w:val="7"/>
          <w:rFonts w:hint="eastAsia" w:ascii="仿宋" w:hAnsi="仿宋" w:eastAsia="仿宋" w:cs="仿宋"/>
          <w:sz w:val="28"/>
          <w:szCs w:val="28"/>
        </w:rPr>
        <w:t>永久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743F0072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六、 禁止行为与责任追究</w:t>
      </w:r>
    </w:p>
    <w:p w14:paraId="096EE786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6.1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严禁迟报漏报</w:t>
      </w:r>
      <w:r>
        <w:rPr>
          <w:rFonts w:hint="eastAsia" w:ascii="仿宋" w:hAnsi="仿宋" w:eastAsia="仿宋" w:cs="仿宋"/>
          <w:sz w:val="28"/>
          <w:szCs w:val="28"/>
        </w:rPr>
        <w:t>。严禁迟报、漏报生产安全事故（超过规定时限）。违者对责任部门负责人给予通报批评处分，并记入年度安全履职档案。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严禁谎报瞒报</w:t>
      </w:r>
      <w:r>
        <w:rPr>
          <w:rFonts w:hint="eastAsia" w:ascii="仿宋" w:hAnsi="仿宋" w:eastAsia="仿宋" w:cs="仿宋"/>
          <w:sz w:val="28"/>
          <w:szCs w:val="28"/>
        </w:rPr>
        <w:t>。严禁谎报、瞒报事故。此行为属于诚信红线，违者对直接责任人及部门负责人给予撤职或解除劳动合同处理。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6.3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严禁破坏现场</w:t>
      </w:r>
      <w:r>
        <w:rPr>
          <w:rFonts w:hint="eastAsia" w:ascii="仿宋" w:hAnsi="仿宋" w:eastAsia="仿宋" w:cs="仿宋"/>
          <w:sz w:val="28"/>
          <w:szCs w:val="28"/>
        </w:rPr>
        <w:t>。严禁破坏事故现场、毁灭证据或阻碍事故调查。违者对直接责任人给予记过处分；涉嫌犯罪的，依法移送司法机关处理。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6.4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严禁整改失效</w:t>
      </w:r>
      <w:r>
        <w:rPr>
          <w:rFonts w:hint="eastAsia" w:ascii="仿宋" w:hAnsi="仿宋" w:eastAsia="仿宋" w:cs="仿宋"/>
          <w:sz w:val="28"/>
          <w:szCs w:val="28"/>
        </w:rPr>
        <w:t>。严禁事故整改措施未落实或落实不到位导致同类事故重复发生。违者对责任部门负责人给予警告处分，造成严重后果的给予降职或解除劳动合同处理。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6.5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严禁阻碍调查</w:t>
      </w:r>
      <w:r>
        <w:rPr>
          <w:rFonts w:hint="eastAsia" w:ascii="仿宋" w:hAnsi="仿宋" w:eastAsia="仿宋" w:cs="仿宋"/>
          <w:sz w:val="28"/>
          <w:szCs w:val="28"/>
        </w:rPr>
        <w:t>。严禁阻碍、干扰事故调查组开展工作或提供虚假证言。违者对相关责任人给予通报批评处分，情节严重的给予记过处分。</w:t>
      </w:r>
    </w:p>
    <w:p w14:paraId="5ACDEECC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七、 附件</w:t>
      </w:r>
    </w:p>
    <w:p w14:paraId="16620158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7.1 《生产安全事故快报表》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7.2 《事故调查报告模板》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7.3 《未遂事故（Near Miss）记录单》</w:t>
      </w:r>
    </w:p>
    <w:p w14:paraId="14F2E802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八、 本文件自发布之日起生效</w:t>
      </w:r>
    </w:p>
    <w:p w14:paraId="26158EAD">
      <w:pPr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bookmarkStart w:id="0" w:name="_GoBack"/>
      <w:bookmarkEnd w:id="0"/>
    </w:p>
    <w:p w14:paraId="61996F3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52D278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480" w:beforeAutospacing="0" w:after="480" w:afterAutospacing="0"/>
      <w:ind w:left="0" w:right="0"/>
      <w:jc w:val="center"/>
    </w:pPr>
    <w:rPr>
      <w:rFonts w:hint="eastAsia" w:ascii="黑体" w:hAnsi="宋体" w:eastAsia="黑体" w:cs="黑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360" w:afterAutospacing="0"/>
      <w:ind w:left="0" w:right="0"/>
      <w:jc w:val="left"/>
    </w:pPr>
    <w:rPr>
      <w:rFonts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1824</Words>
  <Characters>1927</Characters>
  <TotalTime>0</TotalTime>
  <ScaleCrop>false</ScaleCrop>
  <LinksUpToDate>false</LinksUpToDate>
  <CharactersWithSpaces>2001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2026-01-21T12:31:49Z</dcterms:created>
  <dc:creator>Guangyang</dc:creator>
  <cp:lastModifiedBy>噗⁼³₌₃</cp:lastModifiedBy>
  <dcterms:modified xsi:type="dcterms:W3CDTF">2026-01-21T12:32:06Z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D369D38CC8CF4E378AA7D70A59C93FBC_12</vt:lpwstr>
  </property>
</Properties>
</file>