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165DD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44"/>
          <w:szCs w:val="44"/>
        </w:rPr>
      </w:pPr>
      <w:r>
        <w:rPr>
          <w:rStyle w:val="7"/>
          <w:rFonts w:hint="eastAsia" w:ascii="仿宋" w:hAnsi="仿宋" w:eastAsia="仿宋" w:cs="仿宋"/>
          <w:b/>
          <w:sz w:val="44"/>
          <w:szCs w:val="44"/>
        </w:rPr>
        <w:t>环境保护管理程序</w:t>
      </w:r>
    </w:p>
    <w:p w14:paraId="48C8AD71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b/>
          <w:sz w:val="28"/>
          <w:szCs w:val="28"/>
          <w:lang w:val="en-US" w:eastAsia="zh-CN"/>
        </w:rPr>
        <w:t>一、</w:t>
      </w:r>
      <w:r>
        <w:rPr>
          <w:rStyle w:val="7"/>
          <w:rFonts w:hint="eastAsia" w:ascii="仿宋" w:hAnsi="仿宋" w:eastAsia="仿宋" w:cs="仿宋"/>
          <w:b/>
          <w:sz w:val="28"/>
          <w:szCs w:val="28"/>
        </w:rPr>
        <w:t>目的</w:t>
      </w:r>
    </w:p>
    <w:p w14:paraId="3233748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为贯彻国家环保法律法规，规范公司“三废”排放管理，确保环保设施稳定运行，预防突发环境事件。</w:t>
      </w:r>
    </w:p>
    <w:p w14:paraId="589FB60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b/>
          <w:sz w:val="28"/>
          <w:szCs w:val="28"/>
          <w:lang w:val="en-US" w:eastAsia="zh-CN"/>
        </w:rPr>
        <w:t>二、</w:t>
      </w:r>
      <w:r>
        <w:rPr>
          <w:rStyle w:val="7"/>
          <w:rFonts w:hint="eastAsia" w:ascii="仿宋" w:hAnsi="仿宋" w:eastAsia="仿宋" w:cs="仿宋"/>
          <w:b/>
          <w:sz w:val="28"/>
          <w:szCs w:val="28"/>
        </w:rPr>
        <w:t xml:space="preserve"> 适用范围</w:t>
      </w:r>
    </w:p>
    <w:p w14:paraId="6D0799A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适用于公司废气、废水、固体废物、噪声的管理及环境监测活动。</w:t>
      </w:r>
    </w:p>
    <w:p w14:paraId="25D6A66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b/>
          <w:sz w:val="28"/>
          <w:szCs w:val="28"/>
          <w:lang w:val="en-US" w:eastAsia="zh-CN"/>
        </w:rPr>
        <w:t>三、</w:t>
      </w:r>
      <w:r>
        <w:rPr>
          <w:rStyle w:val="7"/>
          <w:rFonts w:hint="eastAsia" w:ascii="仿宋" w:hAnsi="仿宋" w:eastAsia="仿宋" w:cs="仿宋"/>
          <w:b/>
          <w:sz w:val="28"/>
          <w:szCs w:val="28"/>
        </w:rPr>
        <w:t>职责分工</w:t>
      </w:r>
    </w:p>
    <w:p w14:paraId="76A9E0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>：负责环境因素识别，办理排污许可，监管环保设施运行，组织环境监测。</w:t>
      </w:r>
    </w:p>
    <w:p w14:paraId="17A669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厂务部</w:t>
      </w:r>
      <w:r>
        <w:rPr>
          <w:rFonts w:hint="eastAsia" w:ascii="仿宋" w:hAnsi="仿宋" w:eastAsia="仿宋" w:cs="仿宋"/>
          <w:sz w:val="28"/>
          <w:szCs w:val="28"/>
        </w:rPr>
        <w:t>：负责环保设施（RTO、污水站）及管网的日常运维与故障维修。</w:t>
      </w:r>
    </w:p>
    <w:p w14:paraId="3461FE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生产运营部</w:t>
      </w:r>
      <w:r>
        <w:rPr>
          <w:rFonts w:hint="eastAsia" w:ascii="仿宋" w:hAnsi="仿宋" w:eastAsia="仿宋" w:cs="仿宋"/>
          <w:sz w:val="28"/>
          <w:szCs w:val="28"/>
        </w:rPr>
        <w:t>：负责车间内产污源头控制，确保生产设备与环保设施“同步运行”。</w:t>
      </w:r>
    </w:p>
    <w:p w14:paraId="51EB16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供应链管理部</w:t>
      </w:r>
      <w:r>
        <w:rPr>
          <w:rFonts w:hint="eastAsia" w:ascii="仿宋" w:hAnsi="仿宋" w:eastAsia="仿宋" w:cs="仿宋"/>
          <w:sz w:val="28"/>
          <w:szCs w:val="28"/>
        </w:rPr>
        <w:t>：负责危废处置单位的资质审核及环保耗材（如活性炭）的合规采购。</w:t>
      </w:r>
    </w:p>
    <w:p w14:paraId="2A68FA7A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b/>
          <w:sz w:val="28"/>
          <w:szCs w:val="28"/>
          <w:lang w:val="en-US" w:eastAsia="zh-CN"/>
        </w:rPr>
        <w:t>四、</w:t>
      </w:r>
      <w:r>
        <w:rPr>
          <w:rStyle w:val="7"/>
          <w:rFonts w:hint="eastAsia" w:ascii="仿宋" w:hAnsi="仿宋" w:eastAsia="仿宋" w:cs="仿宋"/>
          <w:b/>
          <w:sz w:val="28"/>
          <w:szCs w:val="28"/>
        </w:rPr>
        <w:t xml:space="preserve"> 管理程序</w:t>
      </w:r>
    </w:p>
    <w:p w14:paraId="5AA5A87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4.1 环境因素识别与评价</w:t>
      </w:r>
    </w:p>
    <w:p w14:paraId="378E02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识别评价</w:t>
      </w:r>
      <w:r>
        <w:rPr>
          <w:rFonts w:hint="eastAsia" w:ascii="仿宋" w:hAnsi="仿宋" w:eastAsia="仿宋" w:cs="仿宋"/>
          <w:sz w:val="28"/>
          <w:szCs w:val="28"/>
        </w:rPr>
        <w:t>：每年组织一次全厂环境因素识别，对评价出的“重要环境因素”（如废气排放、危废处置）制定管理方案。</w:t>
      </w:r>
    </w:p>
    <w:p w14:paraId="528734C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4.2 污染物排放控制</w:t>
      </w:r>
    </w:p>
    <w:p w14:paraId="573922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废气管理</w:t>
      </w:r>
      <w:r>
        <w:rPr>
          <w:rFonts w:hint="eastAsia" w:ascii="仿宋" w:hAnsi="仿宋" w:eastAsia="仿宋" w:cs="仿宋"/>
          <w:sz w:val="28"/>
          <w:szCs w:val="28"/>
        </w:rPr>
        <w:t>：重点管控NMP回收系统（回收效率≥98%）及RTO焚烧炉（温度&gt;760℃）。活性炭至少每3个月更换一次。</w:t>
      </w:r>
    </w:p>
    <w:p w14:paraId="15871D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废水管理</w:t>
      </w:r>
      <w:r>
        <w:rPr>
          <w:rFonts w:hint="eastAsia" w:ascii="仿宋" w:hAnsi="仿宋" w:eastAsia="仿宋" w:cs="仿宋"/>
          <w:sz w:val="28"/>
          <w:szCs w:val="28"/>
        </w:rPr>
        <w:t>：严格实行“雨污分流”，生产废水（如清洗废液）严禁直排，必须作为危废收集。雨水排口设置切断阀，事故状态下切换至应急池。</w:t>
      </w:r>
    </w:p>
    <w:p w14:paraId="761CB7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噪声管理</w:t>
      </w:r>
      <w:r>
        <w:rPr>
          <w:rFonts w:hint="eastAsia" w:ascii="仿宋" w:hAnsi="仿宋" w:eastAsia="仿宋" w:cs="仿宋"/>
          <w:sz w:val="28"/>
          <w:szCs w:val="28"/>
        </w:rPr>
        <w:t>：优先选用低噪设备，对空压机、冷却塔等高噪设备采取隔声降噪措施，确保厂界噪声达标。</w:t>
      </w:r>
    </w:p>
    <w:p w14:paraId="6693E92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4.3 废弃物管理</w:t>
      </w:r>
    </w:p>
    <w:p w14:paraId="01C19F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分类收集</w:t>
      </w:r>
      <w:r>
        <w:rPr>
          <w:rFonts w:hint="eastAsia" w:ascii="仿宋" w:hAnsi="仿宋" w:eastAsia="仿宋" w:cs="仿宋"/>
          <w:sz w:val="28"/>
          <w:szCs w:val="28"/>
        </w:rPr>
        <w:t>：危险废物（废电解液、废NMP、废活性炭等）必须分类收集，粘贴标准标签，存入符合“三防”要求的危废库。</w:t>
      </w:r>
    </w:p>
    <w:p w14:paraId="0522A9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合规处置</w:t>
      </w:r>
      <w:r>
        <w:rPr>
          <w:rFonts w:hint="eastAsia" w:ascii="仿宋" w:hAnsi="仿宋" w:eastAsia="仿宋" w:cs="仿宋"/>
          <w:sz w:val="28"/>
          <w:szCs w:val="28"/>
        </w:rPr>
        <w:t>：危废必须委托有资质单位处置，严格执行“五联单”制度，严禁非法倾倒或私自售卖。</w:t>
      </w:r>
    </w:p>
    <w:p w14:paraId="42B493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电芯处置</w:t>
      </w:r>
      <w:r>
        <w:rPr>
          <w:rFonts w:hint="eastAsia" w:ascii="仿宋" w:hAnsi="仿宋" w:eastAsia="仿宋" w:cs="仿宋"/>
          <w:sz w:val="28"/>
          <w:szCs w:val="28"/>
        </w:rPr>
        <w:t>：废旧电芯需进行深度放电或盐水浸泡预处理后，按危废进行合规转移。</w:t>
      </w:r>
    </w:p>
    <w:p w14:paraId="354D4AC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4.4 环境监测与设施运维</w:t>
      </w:r>
    </w:p>
    <w:p w14:paraId="261905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监测管理</w:t>
      </w:r>
      <w:r>
        <w:rPr>
          <w:rFonts w:hint="eastAsia" w:ascii="仿宋" w:hAnsi="仿宋" w:eastAsia="仿宋" w:cs="仿宋"/>
          <w:sz w:val="28"/>
          <w:szCs w:val="28"/>
        </w:rPr>
        <w:t>：按照排污许可证要求，委托CMA资质机构定期开展手工监测（废气、废水、噪声），并维护在线监控系统正常运行。</w:t>
      </w:r>
    </w:p>
    <w:p w14:paraId="3B2512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设施运维</w:t>
      </w:r>
      <w:r>
        <w:rPr>
          <w:rFonts w:hint="eastAsia" w:ascii="仿宋" w:hAnsi="仿宋" w:eastAsia="仿宋" w:cs="仿宋"/>
          <w:sz w:val="28"/>
          <w:szCs w:val="28"/>
        </w:rPr>
        <w:t>：环保设施必须与生产设施同步开启、同步运行。计划停运检修需提前5个工作日向EHS部申请并报备环保部门。</w:t>
      </w:r>
    </w:p>
    <w:p w14:paraId="12E4A95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4.5 突发环境事件应急</w:t>
      </w:r>
    </w:p>
    <w:p w14:paraId="235258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物资储备</w:t>
      </w:r>
      <w:r>
        <w:rPr>
          <w:rFonts w:hint="eastAsia" w:ascii="仿宋" w:hAnsi="仿宋" w:eastAsia="仿宋" w:cs="仿宋"/>
          <w:sz w:val="28"/>
          <w:szCs w:val="28"/>
        </w:rPr>
        <w:t>：在雨水排口、危废库等区域配备吸附棉、沙袋、封堵插件等应急物资。</w:t>
      </w:r>
    </w:p>
    <w:p w14:paraId="539E67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三级防控</w:t>
      </w:r>
      <w:r>
        <w:rPr>
          <w:rFonts w:hint="eastAsia" w:ascii="仿宋" w:hAnsi="仿宋" w:eastAsia="仿宋" w:cs="仿宋"/>
          <w:sz w:val="28"/>
          <w:szCs w:val="28"/>
        </w:rPr>
        <w:t>：建立“源头围堰-雨水切断阀-事故应急池”三级防控体系，确保泄漏物料和消防废水不排入外环境。</w:t>
      </w:r>
    </w:p>
    <w:p w14:paraId="7473BBC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7"/>
          <w:rFonts w:hint="eastAsia" w:ascii="仿宋" w:hAnsi="仿宋" w:eastAsia="仿宋" w:cs="仿宋"/>
          <w:b/>
          <w:sz w:val="28"/>
          <w:szCs w:val="28"/>
          <w:lang w:val="en-US" w:eastAsia="zh-CN"/>
        </w:rPr>
        <w:t>五、</w:t>
      </w:r>
      <w:bookmarkStart w:id="0" w:name="_GoBack"/>
      <w:bookmarkEnd w:id="0"/>
      <w:r>
        <w:rPr>
          <w:rStyle w:val="7"/>
          <w:rFonts w:hint="eastAsia" w:ascii="仿宋" w:hAnsi="仿宋" w:eastAsia="仿宋" w:cs="仿宋"/>
          <w:b/>
          <w:sz w:val="28"/>
          <w:szCs w:val="28"/>
        </w:rPr>
        <w:t xml:space="preserve"> 支持性文件（三级文件）</w:t>
      </w:r>
    </w:p>
    <w:p w14:paraId="6A3004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《环境保护责任制》</w:t>
      </w:r>
    </w:p>
    <w:p w14:paraId="659BDA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《环境因素识别与评价管理制度》</w:t>
      </w:r>
    </w:p>
    <w:p w14:paraId="460B8D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《废气/废水/噪声污染防治管理制度》</w:t>
      </w:r>
    </w:p>
    <w:p w14:paraId="39549F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《危险废物管理制度》</w:t>
      </w:r>
    </w:p>
    <w:p w14:paraId="764925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《雨污分流及管网管理制度》</w:t>
      </w:r>
    </w:p>
    <w:p w14:paraId="2882BC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《环保设施运行维护管理制度》</w:t>
      </w:r>
    </w:p>
    <w:p w14:paraId="70C5E2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《突发环境事件应急管理制度》</w:t>
      </w:r>
    </w:p>
    <w:p w14:paraId="28C8DB88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091D30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924</Words>
  <Characters>958</Characters>
  <TotalTime>0</TotalTime>
  <ScaleCrop>false</ScaleCrop>
  <LinksUpToDate>false</LinksUpToDate>
  <CharactersWithSpaces>968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2026-01-21T12:34:39Z</dcterms:created>
  <dc:creator>Guangyang</dc:creator>
  <cp:lastModifiedBy>噗⁼³₌₃</cp:lastModifiedBy>
  <dcterms:modified xsi:type="dcterms:W3CDTF">2026-01-21T12:35:22Z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EEE5FCEBB2C849CAA3EE555050C31B34_12</vt:lpwstr>
  </property>
</Properties>
</file>