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989B2D">
      <w:pPr>
        <w:pStyle w:val="2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废水污染防治管理制度</w:t>
      </w:r>
    </w:p>
    <w:p w14:paraId="78434268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一、 目的</w:t>
      </w:r>
    </w:p>
    <w:p w14:paraId="5DE41F12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为规范公司废水排放管理，确保废水处理设施正常运行，实现废水达标排放，防止水环境污染，特制定本制度。</w:t>
      </w:r>
    </w:p>
    <w:p w14:paraId="037EE1BD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二、 适用范围</w:t>
      </w:r>
    </w:p>
    <w:p w14:paraId="73FDA11D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本制度适用于公司生产经营活动中产生的各类废水（包括生产废水、生活污水、初期雨水等）的收集、处理与排放管理。</w:t>
      </w:r>
    </w:p>
    <w:p w14:paraId="7B013FA1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三、 定义</w:t>
      </w:r>
    </w:p>
    <w:p w14:paraId="32B4A288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3.1 生产废水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指在生产过程中产生的废水，如设备清洗水、地面冲洗水、纯水制备浓水、冷却塔排水等。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3.2 雨污分流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指雨水和污水分别通过独立的管网系统进行收集和排放。</w:t>
      </w:r>
    </w:p>
    <w:p w14:paraId="45B5C11C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四、 职责划分</w:t>
      </w:r>
    </w:p>
    <w:p w14:paraId="39C0394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4.1 EHS与消防部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a）负责废水排放的监督管理，组织水质监测。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b）负责排污许可证中废水相关事项的申报。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c）负责检查雨污分流执行情况。</w:t>
      </w:r>
    </w:p>
    <w:p w14:paraId="26DC2D1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4.2 厂务部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a）负责污水管网的运行维护。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b）负责确保废水达标排放（纳管标准）。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c）负责建立废水收集设施运行台账。</w:t>
      </w:r>
    </w:p>
    <w:p w14:paraId="0B8CD62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4.3 生产运营部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a）负责减少生产过程中的废水产生量（源头减量）。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b）严禁将废溶剂、废油等危险废物倒入下水道。</w:t>
      </w:r>
    </w:p>
    <w:p w14:paraId="240271E1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4.4 供应链管理部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a）负责废水收集设施备品备件的应急采购。</w:t>
      </w:r>
    </w:p>
    <w:p w14:paraId="7BC3456C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4.5 财务与审计部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a）负责保障废水收集与转运处置的费用。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b）负责按时缴纳排污费（税），避免因欠费导致法律风险。</w:t>
      </w:r>
    </w:p>
    <w:p w14:paraId="36C95138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五、 内容</w:t>
      </w:r>
    </w:p>
    <w:p w14:paraId="0AF8B178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textAlignment w:val="auto"/>
        <w:rPr>
          <w:rFonts w:hint="eastAsia" w:ascii="仿宋" w:hAnsi="仿宋" w:eastAsia="仿宋" w:cs="仿宋"/>
          <w:sz w:val="28"/>
          <w:szCs w:val="28"/>
        </w:rPr>
      </w:pPr>
      <w:r>
        <w:rPr>
          <w:rFonts w:hint="eastAsia" w:ascii="仿宋" w:hAnsi="仿宋" w:eastAsia="仿宋" w:cs="仿宋"/>
          <w:sz w:val="28"/>
          <w:szCs w:val="28"/>
        </w:rPr>
        <w:t>5.1 废水分类收集与处理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生活污水</w:t>
      </w:r>
      <w:r>
        <w:rPr>
          <w:rFonts w:hint="eastAsia" w:ascii="仿宋" w:hAnsi="仿宋" w:eastAsia="仿宋" w:cs="仿宋"/>
          <w:sz w:val="28"/>
          <w:szCs w:val="28"/>
        </w:rPr>
        <w:t>：经化粪池预处理后，排入市政污水管网。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生产废水</w:t>
      </w:r>
      <w:r>
        <w:rPr>
          <w:rFonts w:hint="eastAsia" w:ascii="仿宋" w:hAnsi="仿宋" w:eastAsia="仿宋" w:cs="仿宋"/>
          <w:sz w:val="28"/>
          <w:szCs w:val="28"/>
        </w:rPr>
        <w:t>：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</w:rPr>
        <w:t>纯水制备浓水</w:t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/冷却塔排污</w:t>
      </w:r>
      <w:r>
        <w:rPr>
          <w:rFonts w:hint="eastAsia" w:ascii="仿宋" w:hAnsi="仿宋" w:eastAsia="仿宋" w:cs="仿宋"/>
          <w:sz w:val="28"/>
          <w:szCs w:val="28"/>
        </w:rPr>
        <w:t>：可直接排入污水管网。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ab/>
      </w:r>
      <w:r>
        <w:rPr>
          <w:rFonts w:hint="eastAsia" w:ascii="仿宋" w:hAnsi="仿宋" w:eastAsia="仿宋" w:cs="仿宋"/>
          <w:sz w:val="28"/>
          <w:szCs w:val="28"/>
        </w:rPr>
        <w:t>清洗废水（含少量NMP/电解液）：公司目前无自建污水处理站，此类废水必须排入专门的收集池或收集桶，作为危险废物委托有资质的第三方单位进行处置，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直接纳管排放。</w:t>
      </w:r>
    </w:p>
    <w:p w14:paraId="10B5FDC4">
      <w:pPr>
        <w:pStyle w:val="4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after="0" w:line="23" w:lineRule="atLeast"/>
        <w:ind w:firstLine="500" w:firstLineChars="0"/>
        <w:textAlignment w:val="auto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蒸汽冷凝水：温度达到可外售的冷凝水，由公司统一外售；温度较低的冷凝水，由蒸汽冷凝回收系统冷却后回收利用。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  <w:lang w:val="en-US" w:eastAsia="zh-CN"/>
        </w:rPr>
        <w:t>c</w:t>
      </w:r>
      <w:r>
        <w:rPr>
          <w:rFonts w:hint="eastAsia" w:ascii="仿宋" w:hAnsi="仿宋" w:eastAsia="仿宋" w:cs="仿宋"/>
          <w:sz w:val="28"/>
          <w:szCs w:val="28"/>
        </w:rPr>
        <w:t>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</w:t>
      </w:r>
      <w:r>
        <w:rPr>
          <w:rFonts w:hint="eastAsia" w:ascii="仿宋" w:hAnsi="仿宋" w:eastAsia="仿宋" w:cs="仿宋"/>
          <w:sz w:val="28"/>
          <w:szCs w:val="28"/>
        </w:rPr>
        <w:t>将生产废水直接排入雨水管网。</w:t>
      </w:r>
    </w:p>
    <w:p w14:paraId="69723267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5.2 废水设施运行管理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a）废水收集设施应有专人定期巡检。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b）运行人员应每日记录废水收集量及转运记录。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c）关键设备（如提升泵）应定期维护。</w:t>
      </w:r>
    </w:p>
    <w:p w14:paraId="2E895F1F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5.3 排放口管理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a）公司总排污口必须设置规范化的标志牌。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b）排放口应安装在线监测设备（如要求），并与环保部门联网。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c）严禁私设暗管或利用渗井、渗坑排放废水。</w:t>
      </w:r>
    </w:p>
    <w:p w14:paraId="105938EB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>5.4 水质监测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a）</w:t>
      </w: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 xml:space="preserve"> 每季度委托第三方机构对排放口废水进行全面检测，确保符合《电池工业污染物排放标准》或纳管标准。</w:t>
      </w:r>
    </w:p>
    <w:p w14:paraId="6FF5FDAA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六、 禁止行为与责任追究</w:t>
      </w:r>
    </w:p>
    <w:p w14:paraId="362C5959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6.1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严禁雨污混排</w:t>
      </w:r>
      <w:r>
        <w:rPr>
          <w:rFonts w:hint="eastAsia" w:ascii="仿宋" w:hAnsi="仿宋" w:eastAsia="仿宋" w:cs="仿宋"/>
          <w:sz w:val="28"/>
          <w:szCs w:val="28"/>
        </w:rPr>
        <w:t>。严禁将生产废水排入雨水管网。违者视为严重环保违章，对责任部门负责人进行通报批评，并责令限期整改。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6.2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严禁非法倾倒</w:t>
      </w:r>
      <w:r>
        <w:rPr>
          <w:rFonts w:hint="eastAsia" w:ascii="仿宋" w:hAnsi="仿宋" w:eastAsia="仿宋" w:cs="仿宋"/>
          <w:sz w:val="28"/>
          <w:szCs w:val="28"/>
        </w:rPr>
        <w:t>。严禁故意倾倒废液、废油至下水道。违者一律给予解除劳动合同处理。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6.3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严禁超标纳管</w:t>
      </w:r>
      <w:r>
        <w:rPr>
          <w:rFonts w:hint="eastAsia" w:ascii="仿宋" w:hAnsi="仿宋" w:eastAsia="仿宋" w:cs="仿宋"/>
          <w:sz w:val="28"/>
          <w:szCs w:val="28"/>
        </w:rPr>
        <w:t>。严禁废水超过纳管标准排放。违者对相关责任人进行绩效考核，并由责任部门承担相应的行政处罚后果。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 xml:space="preserve">6.4 </w:t>
      </w:r>
      <w:r>
        <w:rPr>
          <w:rStyle w:val="7"/>
          <w:rFonts w:hint="eastAsia" w:ascii="仿宋" w:hAnsi="仿宋" w:eastAsia="仿宋" w:cs="仿宋"/>
          <w:sz w:val="28"/>
          <w:szCs w:val="28"/>
        </w:rPr>
        <w:t>严禁台账造假</w:t>
      </w:r>
      <w:r>
        <w:rPr>
          <w:rFonts w:hint="eastAsia" w:ascii="仿宋" w:hAnsi="仿宋" w:eastAsia="仿宋" w:cs="仿宋"/>
          <w:sz w:val="28"/>
          <w:szCs w:val="28"/>
        </w:rPr>
        <w:t>。严禁污水处理设施运行台账造假或记录缺失。违者对责任人进行绩效扣分，情节严重的给予行政处分。</w:t>
      </w:r>
    </w:p>
    <w:p w14:paraId="4739A51E">
      <w:pPr>
        <w:pStyle w:val="3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</w:rPr>
        <w:t>七、 附则</w:t>
      </w:r>
    </w:p>
    <w:p w14:paraId="7A59903E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r>
        <w:rPr>
          <w:rFonts w:hint="eastAsia" w:ascii="仿宋" w:hAnsi="仿宋" w:eastAsia="仿宋" w:cs="仿宋"/>
          <w:sz w:val="28"/>
          <w:szCs w:val="28"/>
        </w:rPr>
        <w:t xml:space="preserve">7.1 本制度由 </w:t>
      </w:r>
      <w:r>
        <w:rPr>
          <w:rStyle w:val="7"/>
          <w:rFonts w:hint="eastAsia" w:ascii="仿宋" w:hAnsi="仿宋" w:eastAsia="仿宋" w:cs="仿宋"/>
          <w:sz w:val="28"/>
          <w:szCs w:val="28"/>
        </w:rPr>
        <w:t>EHS与消防部</w:t>
      </w:r>
      <w:r>
        <w:rPr>
          <w:rFonts w:hint="eastAsia" w:ascii="仿宋" w:hAnsi="仿宋" w:eastAsia="仿宋" w:cs="仿宋"/>
          <w:sz w:val="28"/>
          <w:szCs w:val="28"/>
        </w:rPr>
        <w:t xml:space="preserve"> 负责解释。</w:t>
      </w:r>
      <w:r>
        <w:rPr>
          <w:rFonts w:hint="eastAsia" w:ascii="仿宋" w:hAnsi="仿宋" w:eastAsia="仿宋" w:cs="仿宋"/>
          <w:sz w:val="28"/>
          <w:szCs w:val="28"/>
        </w:rPr>
        <w:br w:type="textWrapping"/>
      </w:r>
      <w:r>
        <w:rPr>
          <w:rFonts w:hint="eastAsia" w:ascii="仿宋" w:hAnsi="仿宋" w:eastAsia="仿宋" w:cs="仿宋"/>
          <w:sz w:val="28"/>
          <w:szCs w:val="28"/>
        </w:rPr>
        <w:t>7.2 本制度自发布之日起执行。</w:t>
      </w:r>
    </w:p>
    <w:p w14:paraId="3A053AC9">
      <w:pPr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  <w:bookmarkStart w:id="0" w:name="_GoBack"/>
      <w:bookmarkEnd w:id="0"/>
    </w:p>
    <w:p w14:paraId="10D553EA">
      <w:pPr>
        <w:pStyle w:val="4"/>
        <w:keepNext w:val="0"/>
        <w:keepLines w:val="0"/>
        <w:widowControl/>
        <w:suppressLineNumbers w:val="0"/>
        <w:spacing w:line="23" w:lineRule="atLeast"/>
        <w:rPr>
          <w:rFonts w:hint="eastAsia" w:ascii="仿宋" w:hAnsi="仿宋" w:eastAsia="仿宋" w:cs="仿宋"/>
        </w:rPr>
      </w:pPr>
    </w:p>
    <w:sectPr>
      <w:pgSz w:w="12240" w:h="15840"/>
      <w:pgMar w:top="1440" w:right="1440" w:bottom="1440" w:left="1440" w:header="720" w:footer="720" w:gutter="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仿宋_GB2312">
    <w:altName w:val="仿宋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KSOFE44F9426">
    <w:panose1 w:val="02010609060101010101"/>
    <w:charset w:val="86"/>
    <w:family w:val="auto"/>
    <w:pitch w:val="default"/>
    <w:sig w:usb0="00000001" w:usb1="00000000" w:usb2="00000000" w:usb3="00000000" w:csb0="00040001" w:csb1="00000000"/>
  </w:font>
  <w:font w:name="KSOFE4500885">
    <w:panose1 w:val="02010609060101010101"/>
    <w:charset w:val="86"/>
    <w:family w:val="auto"/>
    <w:pitch w:val="default"/>
    <w:sig w:usb0="00000001" w:usb1="00000000" w:usb2="00000000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compat>
    <w:doNotExpandShiftReturn/>
    <w:useFELayout/>
    <w:splitPgBreakAndParaMark/>
    <w:compatSetting w:name="compatibilityMode" w:uri="http://schemas.microsoft.com/office/word" w:val="12"/>
  </w:compat>
  <w:rsids>
    <w:rsidRoot w:val="00000000"/>
    <w:rsid w:val="2090577B"/>
    <w:rsid w:val="54E63D3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paragraph" w:styleId="2">
    <w:name w:val="heading 1"/>
    <w:basedOn w:val="1"/>
    <w:next w:val="1"/>
    <w:qFormat/>
    <w:uiPriority w:val="0"/>
    <w:pPr>
      <w:spacing w:before="480" w:beforeAutospacing="0" w:after="480" w:afterAutospacing="0"/>
      <w:ind w:left="0" w:right="0"/>
      <w:jc w:val="center"/>
    </w:pPr>
    <w:rPr>
      <w:rFonts w:ascii="黑体" w:hAnsi="宋体" w:eastAsia="黑体" w:cs="黑体"/>
      <w:b/>
      <w:bCs/>
      <w:kern w:val="44"/>
      <w:sz w:val="44"/>
      <w:szCs w:val="44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360" w:beforeAutospacing="0" w:after="360" w:afterAutospacing="0"/>
      <w:ind w:left="0" w:right="0"/>
      <w:jc w:val="left"/>
    </w:pPr>
    <w:rPr>
      <w:rFonts w:hint="eastAsia" w:ascii="黑体" w:hAnsi="宋体" w:eastAsia="黑体" w:cs="黑体"/>
      <w:b/>
      <w:bCs/>
      <w:kern w:val="0"/>
      <w:sz w:val="32"/>
      <w:szCs w:val="32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0" w:after="200" w:afterAutospacing="0" w:line="23" w:lineRule="atLeast"/>
      <w:ind w:left="0" w:right="0"/>
      <w:jc w:val="both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nsolas" w:hAnsi="Consolas" w:eastAsia="Consolas" w:cs="Consolas"/>
      <w:sz w:val="20"/>
      <w:bdr w:val="none" w:color="auto" w:sz="0" w:space="0"/>
      <w:shd w:val="clear" w:fill="F5F5F5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</Pages>
  <Words>1106</Words>
  <Characters>1152</Characters>
  <TotalTime>4</TotalTime>
  <ScaleCrop>false</ScaleCrop>
  <LinksUpToDate>false</LinksUpToDate>
  <CharactersWithSpaces>1182</CharactersWithSpaces>
  <Application>WPS Office_12.1.0.24657_F1E327BC-269C-435d-A152-05C5408002CA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2026-01-21T14:28:12Z</dcterms:created>
  <dc:creator>Guangyang</dc:creator>
  <cp:lastModifiedBy>噗⁼³₌₃</cp:lastModifiedBy>
  <dcterms:modified xsi:type="dcterms:W3CDTF">2026-01-21T14:32:28Z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eyJoZGlkIjoiNDVlM2M0ODBlZWJiMDk1MzY5NGExM2U5YjAwNjdiZTQiLCJ1c2VySWQiOiI0Mjk3NTYwODAifQ==</vt:lpwstr>
  </property>
  <property fmtid="{D5CDD505-2E9C-101B-9397-08002B2CF9AE}" pid="3" name="KSOProductBuildVer">
    <vt:lpwstr>2052-12.1.0.24657</vt:lpwstr>
  </property>
  <property fmtid="{D5CDD505-2E9C-101B-9397-08002B2CF9AE}" pid="4" name="ICV">
    <vt:lpwstr>CD580E0B757B441DAC1F3B575B8CF098_12</vt:lpwstr>
  </property>
</Properties>
</file>