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FFDFE">
      <w:pPr>
        <w:pStyle w:val="2"/>
        <w:keepNext w:val="0"/>
        <w:keepLines w:val="0"/>
        <w:widowControl/>
        <w:suppressLineNumbers w:val="0"/>
        <w:spacing w:line="23" w:lineRule="atLeast"/>
      </w:pPr>
      <w:bookmarkStart w:id="0" w:name="_GoBack"/>
      <w:bookmarkEnd w:id="0"/>
      <w:r>
        <w:rPr>
          <w:rStyle w:val="7"/>
          <w:b/>
        </w:rPr>
        <w:t>安全生产管理程序</w:t>
      </w:r>
    </w:p>
    <w:p w14:paraId="06E07357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b/>
        </w:rPr>
        <w:t>1. 目的</w:t>
      </w:r>
    </w:p>
    <w:p w14:paraId="07D9BDF4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rFonts w:hint="eastAsia" w:ascii="仿宋_GB2312" w:hAnsi="仿宋_GB2312" w:eastAsia="仿宋_GB2312" w:cs="仿宋_GB2312"/>
          <w:sz w:val="28"/>
          <w:szCs w:val="28"/>
        </w:rPr>
        <w:t>为规范公司安全生产管理工作，落实全员安全生产责任制，构建“双重预防机制”，确保从风险辨识、作业控制到应急响应的全过程受控，预防生产安全事故发生。</w:t>
      </w:r>
    </w:p>
    <w:p w14:paraId="75CB8B43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b/>
        </w:rPr>
        <w:t>2. 适用范围</w:t>
      </w:r>
    </w:p>
    <w:p w14:paraId="32DB657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rFonts w:hint="eastAsia" w:ascii="仿宋_GB2312" w:hAnsi="仿宋_GB2312" w:eastAsia="仿宋_GB2312" w:cs="仿宋_GB2312"/>
          <w:sz w:val="28"/>
          <w:szCs w:val="28"/>
        </w:rPr>
        <w:t>适用于公司所有职能部门、生产车间及相关方（承包商、供应商）的安全管理活动。</w:t>
      </w:r>
    </w:p>
    <w:p w14:paraId="27A9BE63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b/>
        </w:rPr>
        <w:t>3. 职责分工</w:t>
      </w:r>
    </w:p>
    <w:p w14:paraId="109D07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总经理</w:t>
      </w:r>
      <w:r>
        <w:rPr>
          <w:rFonts w:hint="eastAsia" w:ascii="仿宋_GB2312" w:hAnsi="仿宋_GB2312" w:eastAsia="仿宋_GB2312" w:cs="仿宋_GB2312"/>
          <w:sz w:val="28"/>
          <w:szCs w:val="28"/>
        </w:rPr>
        <w:t>：安全生产第一责任人，负责签署年度安全目标，批准安全投入预算，主持安委会会议。</w:t>
      </w:r>
    </w:p>
    <w:p w14:paraId="01B8BA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EHS与消防部（归口管理）</w:t>
      </w:r>
      <w:r>
        <w:rPr>
          <w:rFonts w:hint="eastAsia" w:ascii="仿宋_GB2312" w:hAnsi="仿宋_GB2312" w:eastAsia="仿宋_GB2312" w:cs="仿宋_GB2312"/>
          <w:sz w:val="28"/>
          <w:szCs w:val="28"/>
        </w:rPr>
        <w:t>：负责策划双重预防机制，组织合规性评价，监管特殊作业与相关方，组织事故调查。</w:t>
      </w:r>
    </w:p>
    <w:p w14:paraId="0D7C46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生产运营部</w:t>
      </w:r>
      <w:r>
        <w:rPr>
          <w:rFonts w:hint="eastAsia" w:ascii="仿宋_GB2312" w:hAnsi="仿宋_GB2312" w:eastAsia="仿宋_GB2312" w:cs="仿宋_GB2312"/>
          <w:sz w:val="28"/>
          <w:szCs w:val="28"/>
        </w:rPr>
        <w:t>：负责生产设备设施的安全运行，落实车间级隐患排查，管控注液、化成等高风险工序。</w:t>
      </w:r>
    </w:p>
    <w:p w14:paraId="7A7D7B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供应链管理部</w:t>
      </w:r>
      <w:r>
        <w:rPr>
          <w:rFonts w:hint="eastAsia" w:ascii="仿宋_GB2312" w:hAnsi="仿宋_GB2312" w:eastAsia="仿宋_GB2312" w:cs="仿宋_GB2312"/>
          <w:sz w:val="28"/>
          <w:szCs w:val="28"/>
        </w:rPr>
        <w:t>：负责供应商EHS准入审核，采购合规的设备与物资（如防爆器材）。</w:t>
      </w:r>
    </w:p>
    <w:p w14:paraId="7814F9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财务与审计部</w:t>
      </w:r>
      <w:r>
        <w:rPr>
          <w:rFonts w:hint="eastAsia" w:ascii="仿宋_GB2312" w:hAnsi="仿宋_GB2312" w:eastAsia="仿宋_GB2312" w:cs="仿宋_GB2312"/>
          <w:sz w:val="28"/>
          <w:szCs w:val="28"/>
        </w:rPr>
        <w:t>：设立安全专项资金账户，保障隐患整改“绿色通道”支付。</w:t>
      </w:r>
    </w:p>
    <w:p w14:paraId="30E78C68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b/>
        </w:rPr>
        <w:t>4. 管理程序</w:t>
      </w:r>
    </w:p>
    <w:p w14:paraId="3AF6B75C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4.1 目标与责任管理</w:t>
      </w:r>
    </w:p>
    <w:p w14:paraId="55AABD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责任制落实</w:t>
      </w:r>
      <w:r>
        <w:rPr>
          <w:rFonts w:hint="eastAsia" w:ascii="仿宋_GB2312" w:hAnsi="仿宋_GB2312" w:eastAsia="仿宋_GB2312" w:cs="仿宋_GB2312"/>
          <w:sz w:val="28"/>
          <w:szCs w:val="28"/>
        </w:rPr>
        <w:t>：每年1月31日前，公司实行逐级签订《安全生产责任书》。总经理签署年度EHS目标，并分解至各部门。</w:t>
      </w:r>
    </w:p>
    <w:p w14:paraId="293D30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履职考核</w:t>
      </w:r>
      <w:r>
        <w:rPr>
          <w:rFonts w:hint="eastAsia" w:ascii="仿宋_GB2312" w:hAnsi="仿宋_GB2312" w:eastAsia="仿宋_GB2312" w:cs="仿宋_GB2312"/>
          <w:sz w:val="28"/>
          <w:szCs w:val="28"/>
        </w:rPr>
        <w:t>：建立《安全履职考核表》，过程指标（隐患排查、培训等）占70%，结果指标（事故率）占30%，对重大事故实行“一票否决”。</w:t>
      </w:r>
    </w:p>
    <w:p w14:paraId="151BDCCE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4.2 风险分级管控与隐患治理（双重预防机制）</w:t>
      </w:r>
    </w:p>
    <w:p w14:paraId="5E6AF2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风险辨识</w:t>
      </w:r>
      <w:r>
        <w:rPr>
          <w:rFonts w:hint="eastAsia" w:ascii="仿宋_GB2312" w:hAnsi="仿宋_GB2312" w:eastAsia="仿宋_GB2312" w:cs="仿宋_GB2312"/>
          <w:sz w:val="28"/>
          <w:szCs w:val="28"/>
        </w:rPr>
        <w:t>：每年12月或工艺变更时，组织全员开展危险源辨识（LEC法），建立《安全风险分级管控清单》，将风险分为红、橙、黄、蓝四级。</w:t>
      </w:r>
    </w:p>
    <w:p w14:paraId="196964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隐患排查</w:t>
      </w:r>
      <w:r>
        <w:rPr>
          <w:rFonts w:hint="eastAsia" w:ascii="仿宋_GB2312" w:hAnsi="仿宋_GB2312" w:eastAsia="仿宋_GB2312" w:cs="仿宋_GB2312"/>
          <w:sz w:val="28"/>
          <w:szCs w:val="28"/>
        </w:rPr>
        <w:t>：执行“日周月”排查机制。对发现的隐患严格执行“五定”原则（定人、定措施、定资金、定时限、定预案）进行闭环整改。</w:t>
      </w:r>
    </w:p>
    <w:p w14:paraId="1574965D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4.3 作业许可与现场管控</w:t>
      </w:r>
    </w:p>
    <w:p w14:paraId="18793C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特殊作业</w:t>
      </w:r>
      <w:r>
        <w:rPr>
          <w:rFonts w:hint="eastAsia" w:ascii="仿宋_GB2312" w:hAnsi="仿宋_GB2312" w:eastAsia="仿宋_GB2312" w:cs="仿宋_GB2312"/>
          <w:sz w:val="28"/>
          <w:szCs w:val="28"/>
        </w:rPr>
        <w:t>：动火、受限空间、临时用电等八大作业必须办理《安全作业许可证》。一级/特级动火需由总经理最终签发，受限空间作业必须执行“先通风、再检测、后作业”。</w:t>
      </w:r>
    </w:p>
    <w:p w14:paraId="6BE1CD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能源隔离（LOTO）</w:t>
      </w:r>
      <w:r>
        <w:rPr>
          <w:rFonts w:hint="eastAsia" w:ascii="仿宋_GB2312" w:hAnsi="仿宋_GB2312" w:eastAsia="仿宋_GB2312" w:cs="仿宋_GB2312"/>
          <w:sz w:val="28"/>
          <w:szCs w:val="28"/>
        </w:rPr>
        <w:t>：设备检修维修时，必须执行“上锁挂牌”及“零能确认”程序，严禁仅依靠急停按钮或联锁装置进行隔离。</w:t>
      </w:r>
    </w:p>
    <w:p w14:paraId="7C94A9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相关方管理</w:t>
      </w:r>
      <w:r>
        <w:rPr>
          <w:rFonts w:hint="eastAsia" w:ascii="仿宋_GB2312" w:hAnsi="仿宋_GB2312" w:eastAsia="仿宋_GB2312" w:cs="仿宋_GB2312"/>
          <w:sz w:val="28"/>
          <w:szCs w:val="28"/>
        </w:rPr>
        <w:t>：入厂承包商必须签订《安全管理协议》，人员经培训合格后持证作业。对红线违规行为执行“熔断机制”和黑名单管理。</w:t>
      </w:r>
    </w:p>
    <w:p w14:paraId="2B29216D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4.4 设备设施全生命周期管理</w:t>
      </w:r>
    </w:p>
    <w:p w14:paraId="193E14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三同时</w:t>
      </w:r>
      <w:r>
        <w:rPr>
          <w:rFonts w:hint="eastAsia" w:ascii="仿宋_GB2312" w:hAnsi="仿宋_GB2312" w:eastAsia="仿宋_GB2312" w:cs="仿宋_GB2312"/>
          <w:sz w:val="28"/>
          <w:szCs w:val="28"/>
        </w:rPr>
        <w:t>：新建、改建、扩建项目，必须执行安全设施“三同时”审查，未经验收不得投产。</w:t>
      </w:r>
    </w:p>
    <w:p w14:paraId="7B14B4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变更管理（MOC）</w:t>
      </w:r>
      <w:r>
        <w:rPr>
          <w:rFonts w:hint="eastAsia" w:ascii="仿宋_GB2312" w:hAnsi="仿宋_GB2312" w:eastAsia="仿宋_GB2312" w:cs="仿宋_GB2312"/>
          <w:sz w:val="28"/>
          <w:szCs w:val="28"/>
        </w:rPr>
        <w:t>：工艺、设备、材料、人员发生重大变更时，必须履行变更申请与风险评估手续，特别是以“降本增效”为目的的变更需重点审核。</w:t>
      </w:r>
    </w:p>
    <w:p w14:paraId="402068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特种设备</w:t>
      </w:r>
      <w:r>
        <w:rPr>
          <w:rFonts w:hint="eastAsia" w:ascii="仿宋_GB2312" w:hAnsi="仿宋_GB2312" w:eastAsia="仿宋_GB2312" w:cs="仿宋_GB2312"/>
          <w:sz w:val="28"/>
          <w:szCs w:val="28"/>
        </w:rPr>
        <w:t>：叉车、压力容器等必须办理使用登记，作业人员持证上岗，定期进行法定检验。</w:t>
      </w:r>
    </w:p>
    <w:p w14:paraId="20191972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4.5 应急与事故管理</w:t>
      </w:r>
    </w:p>
    <w:p w14:paraId="7A0CA2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应急准备</w:t>
      </w:r>
      <w:r>
        <w:rPr>
          <w:rFonts w:hint="eastAsia" w:ascii="仿宋_GB2312" w:hAnsi="仿宋_GB2312" w:eastAsia="仿宋_GB2312" w:cs="仿宋_GB2312"/>
          <w:sz w:val="28"/>
          <w:szCs w:val="28"/>
        </w:rPr>
        <w:t>：综合预案每年演练1次，现场处置方案每半年演练1次（如化成分容区域热失控演练）。</w:t>
      </w:r>
    </w:p>
    <w:p w14:paraId="5DD4ED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Style w:val="7"/>
          <w:rFonts w:hint="eastAsia" w:ascii="仿宋_GB2312" w:hAnsi="仿宋_GB2312" w:eastAsia="仿宋_GB2312" w:cs="仿宋_GB2312"/>
          <w:sz w:val="28"/>
          <w:szCs w:val="28"/>
        </w:rPr>
        <w:t>事故处置</w:t>
      </w:r>
      <w:r>
        <w:rPr>
          <w:rFonts w:hint="eastAsia" w:ascii="仿宋_GB2312" w:hAnsi="仿宋_GB2312" w:eastAsia="仿宋_GB2312" w:cs="仿宋_GB2312"/>
          <w:sz w:val="28"/>
          <w:szCs w:val="28"/>
        </w:rPr>
        <w:t>：事故发生后1小时内上报政府部门。调查处理坚持“四不放过”原则，整改措施必须纳入台账闭环。</w:t>
      </w:r>
    </w:p>
    <w:p w14:paraId="4B52BBBB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rStyle w:val="7"/>
          <w:b/>
        </w:rPr>
        <w:t>5. 支持性文件（三级文件）</w:t>
      </w:r>
    </w:p>
    <w:p w14:paraId="26E2C4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Fonts w:hint="eastAsia" w:ascii="仿宋_GB2312" w:hAnsi="仿宋_GB2312" w:eastAsia="仿宋_GB2312" w:cs="仿宋_GB2312"/>
          <w:sz w:val="28"/>
          <w:szCs w:val="28"/>
        </w:rPr>
        <w:t>《EHS安全生产责任制》</w:t>
      </w:r>
    </w:p>
    <w:p w14:paraId="46DA81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Fonts w:hint="eastAsia" w:ascii="仿宋_GB2312" w:hAnsi="仿宋_GB2312" w:eastAsia="仿宋_GB2312" w:cs="仿宋_GB2312"/>
          <w:sz w:val="28"/>
          <w:szCs w:val="28"/>
        </w:rPr>
        <w:t>《危险源辨识与风险评价管理制度》</w:t>
      </w:r>
    </w:p>
    <w:p w14:paraId="322188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Fonts w:hint="eastAsia" w:ascii="仿宋_GB2312" w:hAnsi="仿宋_GB2312" w:eastAsia="仿宋_GB2312" w:cs="仿宋_GB2312"/>
          <w:sz w:val="28"/>
          <w:szCs w:val="28"/>
        </w:rPr>
        <w:t>《安全生产检查与隐患整改制度》</w:t>
      </w:r>
    </w:p>
    <w:p w14:paraId="2E4530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Fonts w:hint="eastAsia" w:ascii="仿宋_GB2312" w:hAnsi="仿宋_GB2312" w:eastAsia="仿宋_GB2312" w:cs="仿宋_GB2312"/>
          <w:sz w:val="28"/>
          <w:szCs w:val="28"/>
        </w:rPr>
        <w:t>《特殊作业安全管理制度》</w:t>
      </w:r>
    </w:p>
    <w:p w14:paraId="72B63F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Fonts w:hint="eastAsia" w:ascii="仿宋_GB2312" w:hAnsi="仿宋_GB2312" w:eastAsia="仿宋_GB2312" w:cs="仿宋_GB2312"/>
          <w:sz w:val="28"/>
          <w:szCs w:val="28"/>
        </w:rPr>
        <w:t>《能源隔离（上锁挂牌）管理制度》</w:t>
      </w:r>
    </w:p>
    <w:p w14:paraId="6E1F5C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Fonts w:hint="eastAsia" w:ascii="仿宋_GB2312" w:hAnsi="仿宋_GB2312" w:eastAsia="仿宋_GB2312" w:cs="仿宋_GB2312"/>
          <w:sz w:val="28"/>
          <w:szCs w:val="28"/>
        </w:rPr>
        <w:t>《供应商与相关方EHS管理制度》</w:t>
      </w:r>
    </w:p>
    <w:p w14:paraId="6F2B54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Fonts w:hint="eastAsia" w:ascii="仿宋_GB2312" w:hAnsi="仿宋_GB2312" w:eastAsia="仿宋_GB2312" w:cs="仿宋_GB2312"/>
          <w:sz w:val="28"/>
          <w:szCs w:val="28"/>
        </w:rPr>
        <w:t>《变更管理制度》</w:t>
      </w:r>
    </w:p>
    <w:p w14:paraId="04044C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3" w:lineRule="atLeast"/>
        <w:ind w:left="720" w:hanging="360"/>
      </w:pPr>
      <w:r>
        <w:rPr>
          <w:rFonts w:hint="eastAsia" w:ascii="仿宋_GB2312" w:hAnsi="仿宋_GB2312" w:eastAsia="仿宋_GB2312" w:cs="仿宋_GB2312"/>
          <w:sz w:val="28"/>
          <w:szCs w:val="28"/>
        </w:rPr>
        <w:t>《生产安全事故应急预案管理制度》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3C7F15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1288</Words>
  <Characters>1326</Characters>
  <TotalTime>0</TotalTime>
  <ScaleCrop>false</ScaleCrop>
  <LinksUpToDate>false</LinksUpToDate>
  <CharactersWithSpaces>1336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2026-01-20T15:59:06Z</dcterms:created>
  <dc:creator>Guangyang</dc:creator>
  <cp:lastModifiedBy>噗⁼³₌₃</cp:lastModifiedBy>
  <dcterms:modified xsi:type="dcterms:W3CDTF">2026-01-20T15:59:18Z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633092EEABF549E980519E0C76A39AFB_12</vt:lpwstr>
  </property>
</Properties>
</file>