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0FE2A">
      <w:pPr>
        <w:pStyle w:val="2"/>
        <w:bidi w:val="0"/>
      </w:pPr>
      <w:r>
        <w:rPr>
          <w:rFonts w:hint="eastAsia"/>
          <w:lang w:val="en-US" w:eastAsia="zh-CN"/>
        </w:rPr>
        <w:t>消防安全例会制度</w:t>
      </w:r>
    </w:p>
    <w:p w14:paraId="4F19F7A3">
      <w:pPr>
        <w:pStyle w:val="3"/>
        <w:bidi w:val="0"/>
      </w:pPr>
      <w:r>
        <w:t>一、目的</w:t>
      </w:r>
    </w:p>
    <w:p w14:paraId="6543BE77">
      <w:pPr>
        <w:bidi w:val="0"/>
      </w:pPr>
      <w:r>
        <w:t>为认真贯彻</w:t>
      </w:r>
      <w:r>
        <w:rPr>
          <w:rFonts w:hint="eastAsia"/>
          <w:lang w:val="en-US" w:eastAsia="zh-CN"/>
        </w:rPr>
        <w:t>消防</w:t>
      </w:r>
      <w:r>
        <w:t>法律法规，全面落实企业消防安全主体责任，强化锂电池生产过程中的火灾风险防控，及时研究、部署、协调和落实各项消防安全工作，特制定本制度。</w:t>
      </w:r>
    </w:p>
    <w:p w14:paraId="2EDF6E40">
      <w:pPr>
        <w:pStyle w:val="3"/>
        <w:keepNext w:val="0"/>
        <w:keepLines w:val="0"/>
        <w:widowControl/>
        <w:suppressLineNumbers w:val="0"/>
      </w:pPr>
      <w:r>
        <w:t>二、适用范围</w:t>
      </w:r>
    </w:p>
    <w:p w14:paraId="54A597A7">
      <w:pPr>
        <w:bidi w:val="0"/>
      </w:pPr>
      <w:r>
        <w:t>本制度适用于公司所有部门及涉及消防安全管理的相关人员，重点覆盖锂电池电芯生产车间、化成分容区、注液区、高温静置区、仓储区等消防重点部位。</w:t>
      </w:r>
    </w:p>
    <w:p w14:paraId="4785129C">
      <w:pPr>
        <w:pStyle w:val="3"/>
        <w:keepNext w:val="0"/>
        <w:keepLines w:val="0"/>
        <w:widowControl/>
        <w:suppressLineNumbers w:val="0"/>
      </w:pPr>
      <w:r>
        <w:t>三、会议组织与频次</w:t>
      </w:r>
    </w:p>
    <w:p w14:paraId="37681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t>3.1 公司每月至少召开一次消防安全例会，由消防安全责任人或其委托的消防安全管理人负责召集并主持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各部门消防安全管理人员参加，ESH及消防部门负责记录会议纪要</w:t>
      </w:r>
      <w:r>
        <w:t>。</w:t>
      </w:r>
    </w:p>
    <w:p w14:paraId="2824C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t>3.2 每季度召开一次消防安全专题工作会议，全面总结季度消防工作成效，分析重大风险，部署下一阶段重点工作，并形成季度消防工作报告。</w:t>
      </w:r>
    </w:p>
    <w:p w14:paraId="233B0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t>3.3 遇有重大火灾隐患、消防设施故障、火灾事故或政府监管部门专项检查等特殊情况，可临时召开紧急消防安全会议。</w:t>
      </w:r>
    </w:p>
    <w:p w14:paraId="2B9DF9D4">
      <w:pPr>
        <w:pStyle w:val="3"/>
        <w:keepNext w:val="0"/>
        <w:keepLines w:val="0"/>
        <w:widowControl/>
        <w:suppressLineNumbers w:val="0"/>
      </w:pPr>
      <w:r>
        <w:t>四、参会人员</w:t>
      </w:r>
    </w:p>
    <w:p w14:paraId="5EB3C329">
      <w:pPr>
        <w:bidi w:val="0"/>
      </w:pPr>
      <w:r>
        <w:t>以下人员</w:t>
      </w:r>
      <w:r>
        <w:rPr>
          <w:rFonts w:hint="eastAsia"/>
          <w:lang w:val="en-US" w:eastAsia="zh-CN"/>
        </w:rPr>
        <w:t>应</w:t>
      </w:r>
      <w:r>
        <w:t xml:space="preserve">参加月度消防安全例会： </w:t>
      </w:r>
    </w:p>
    <w:p w14:paraId="18D38E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消防安全责任人 </w:t>
      </w:r>
    </w:p>
    <w:p w14:paraId="61061E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消防安全管理人 </w:t>
      </w:r>
    </w:p>
    <w:p w14:paraId="6EF620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ESH及消防部门负责人及专兼职消防管理人员 </w:t>
      </w:r>
    </w:p>
    <w:p w14:paraId="3FB3A0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各部门负责人</w:t>
      </w:r>
    </w:p>
    <w:p w14:paraId="70CFC7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必要时邀请相关岗位员工代表、承包商或第三方技术服务单位代表列席</w:t>
      </w:r>
    </w:p>
    <w:p w14:paraId="6D014203">
      <w:pPr>
        <w:pStyle w:val="3"/>
        <w:keepNext w:val="0"/>
        <w:keepLines w:val="0"/>
        <w:widowControl/>
        <w:suppressLineNumbers w:val="0"/>
      </w:pPr>
      <w:r>
        <w:t>五、会议主要内容</w:t>
      </w:r>
    </w:p>
    <w:p w14:paraId="4622A20B">
      <w:pPr>
        <w:bidi w:val="0"/>
      </w:pPr>
      <w:r>
        <w:t>5.1 通报上月消防安全工作执行情况，包括：</w:t>
      </w:r>
      <w:r>
        <w:br w:type="textWrapping"/>
      </w:r>
      <w:r>
        <w:t>　　- 防火巡查、检查及隐患整改闭环情况；</w:t>
      </w:r>
      <w:r>
        <w:br w:type="textWrapping"/>
      </w:r>
      <w:r>
        <w:t>　　- 消防设施维保与运行状态；</w:t>
      </w:r>
      <w:r>
        <w:br w:type="textWrapping"/>
      </w:r>
      <w:r>
        <w:t>　　- 动火作业、临电作业审批及现场监管情况；</w:t>
      </w:r>
      <w:r>
        <w:br w:type="textWrapping"/>
      </w:r>
      <w:r>
        <w:t xml:space="preserve">　　- 员工消防培训与应急演练开展情况。 </w:t>
      </w:r>
    </w:p>
    <w:p w14:paraId="2106FF42">
      <w:pPr>
        <w:bidi w:val="0"/>
      </w:pPr>
      <w:r>
        <w:t>5.2 分析当前消防安全形势，重点聚焦：</w:t>
      </w:r>
      <w:r>
        <w:br w:type="textWrapping"/>
      </w:r>
      <w:r>
        <w:t>　　- 锂电池生产工艺（如注液、化成、分容、高温静置）的火灾风险动态；</w:t>
      </w:r>
      <w:r>
        <w:br w:type="textWrapping"/>
      </w:r>
      <w:r>
        <w:t>　　- 近期国内外锂电池行业典型火灾案例警示；</w:t>
      </w:r>
      <w:r>
        <w:br w:type="textWrapping"/>
      </w:r>
      <w:r>
        <w:t xml:space="preserve">　　- 季节性火灾风险（如夏季高温、冬季用电负荷增加等）。 </w:t>
      </w:r>
    </w:p>
    <w:p w14:paraId="46E81A03">
      <w:pPr>
        <w:bidi w:val="0"/>
      </w:pPr>
      <w:r>
        <w:t>5.3 通报火灾隐患及整改进展：</w:t>
      </w:r>
      <w:r>
        <w:br w:type="textWrapping"/>
      </w:r>
      <w:r>
        <w:t>　　- 对未完成整改的隐患进行原因剖析；</w:t>
      </w:r>
      <w:r>
        <w:br w:type="textWrapping"/>
      </w:r>
      <w:r>
        <w:t>　　- 明确整改责任部门、措施、时限及资源保障；</w:t>
      </w:r>
      <w:r>
        <w:br w:type="textWrapping"/>
      </w:r>
      <w:r>
        <w:t xml:space="preserve">　　- 对重复性、系统性隐患提出长效治理方案。 </w:t>
      </w:r>
    </w:p>
    <w:p w14:paraId="73AFBA76">
      <w:pPr>
        <w:bidi w:val="0"/>
      </w:pPr>
      <w:r>
        <w:t>5.4 审议并部署下阶段重点工作，包括：</w:t>
      </w:r>
      <w:r>
        <w:br w:type="textWrapping"/>
      </w:r>
      <w:r>
        <w:t>　　- 年度/季度消防工作计划调整；</w:t>
      </w:r>
      <w:r>
        <w:br w:type="textWrapping"/>
      </w:r>
      <w:r>
        <w:t>　　- 重点部位管控升级措施；</w:t>
      </w:r>
      <w:r>
        <w:br w:type="textWrapping"/>
      </w:r>
      <w:r>
        <w:t>　　- 消防应急预案修订与演练安排；</w:t>
      </w:r>
      <w:r>
        <w:br w:type="textWrapping"/>
      </w:r>
      <w:r>
        <w:t xml:space="preserve">　　- 消防投入预算执行与设备更新计划。 </w:t>
      </w:r>
    </w:p>
    <w:p w14:paraId="14A6932E">
      <w:pPr>
        <w:bidi w:val="0"/>
      </w:pPr>
      <w:r>
        <w:t>5.5 传达上级主管部门要求，落实消防救援机构、应急管理等部门的最新政策、标准或整改指令。</w:t>
      </w:r>
    </w:p>
    <w:p w14:paraId="29A250F8">
      <w:pPr>
        <w:pStyle w:val="3"/>
        <w:keepNext w:val="0"/>
        <w:keepLines w:val="0"/>
        <w:widowControl/>
        <w:suppressLineNumbers w:val="0"/>
      </w:pPr>
      <w:r>
        <w:t>六、会议记录与档案管理</w:t>
      </w:r>
    </w:p>
    <w:p w14:paraId="346E77FA">
      <w:pPr>
        <w:bidi w:val="0"/>
      </w:pPr>
      <w:r>
        <w:t>6.1 每次例会须由ESH及消防部门指定专人负责记录，形成《消防安全例会会议纪要》。</w:t>
      </w:r>
    </w:p>
    <w:p w14:paraId="0FE64EED">
      <w:pPr>
        <w:bidi w:val="0"/>
      </w:pPr>
      <w:r>
        <w:t>6.2 会议纪要应包含：会议时间、地点、主持人、参会人员、议题、讨论要点、决议事项、责任分工、完成时限等，重点内容需加粗或高亮标注。</w:t>
      </w:r>
    </w:p>
    <w:p w14:paraId="73D5FC11">
      <w:pPr>
        <w:bidi w:val="0"/>
      </w:pPr>
      <w:r>
        <w:t>6.3 会议纪要经消防安全管理人审核、消防安全责任人签发后，3日内下发至相关部门，并纳入公司消防档案统一管理，保存期限不少于5年。</w:t>
      </w:r>
    </w:p>
    <w:p w14:paraId="7778748A">
      <w:pPr>
        <w:bidi w:val="0"/>
      </w:pPr>
      <w:r>
        <w:t>6.4 ESH及消防部门负责跟踪决议事项落实情况，并在下次例会上通报进度，确保闭环管理。</w:t>
      </w:r>
    </w:p>
    <w:p w14:paraId="74A20ECE">
      <w:pPr>
        <w:pStyle w:val="3"/>
        <w:keepNext w:val="0"/>
        <w:keepLines w:val="0"/>
        <w:widowControl/>
        <w:suppressLineNumbers w:val="0"/>
      </w:pPr>
      <w:r>
        <w:t>七、考核与责任</w:t>
      </w:r>
    </w:p>
    <w:p w14:paraId="661A573A">
      <w:pPr>
        <w:bidi w:val="0"/>
      </w:pPr>
      <w:r>
        <w:t>7.1 各部门负责人无故缺席例会或未按要求落实会议决议的，纳入部门消防安全责任制考核。</w:t>
      </w:r>
    </w:p>
    <w:p w14:paraId="321FA73B">
      <w:pPr>
        <w:bidi w:val="0"/>
      </w:pPr>
      <w:r>
        <w:t>7.2 因会议决议执行不力导致火灾隐患长期存在或发生火灾事故的，依《消防安全责任制》追究相关人员责任。</w:t>
      </w:r>
    </w:p>
    <w:p w14:paraId="2A46609D">
      <w:pPr>
        <w:pStyle w:val="3"/>
        <w:keepNext w:val="0"/>
        <w:keepLines w:val="0"/>
        <w:widowControl/>
        <w:suppressLineNumbers w:val="0"/>
      </w:pPr>
      <w:r>
        <w:t>八、附则</w:t>
      </w:r>
    </w:p>
    <w:p w14:paraId="61653241">
      <w:pPr>
        <w:bidi w:val="0"/>
      </w:pPr>
      <w:r>
        <w:t>8.1 本制度由ESH及消防部门负责解释与修订。</w:t>
      </w:r>
    </w:p>
    <w:p w14:paraId="1A1FE2B9">
      <w:pPr>
        <w:bidi w:val="0"/>
      </w:pPr>
      <w:bookmarkStart w:id="0" w:name="_GoBack"/>
      <w:bookmarkEnd w:id="0"/>
      <w:r>
        <w:t>8.2 本制度自发布之日起施行。</w:t>
      </w:r>
    </w:p>
    <w:p w14:paraId="76E914AD">
      <w:pPr>
        <w:keepNext w:val="0"/>
        <w:keepLines w:val="0"/>
        <w:widowControl/>
        <w:suppressLineNumbers w:val="0"/>
        <w:jc w:val="left"/>
      </w:pPr>
    </w:p>
    <w:p w14:paraId="4FCD4315">
      <w:pPr>
        <w:rPr>
          <w:rFonts w:hint="eastAsia" w:ascii="仿宋" w:hAnsi="仿宋" w:eastAsia="仿宋" w:cs="Times New Roman"/>
          <w:b/>
          <w:bCs/>
          <w:kern w:val="2"/>
          <w:sz w:val="44"/>
          <w:szCs w:val="44"/>
          <w:lang w:val="en-US" w:eastAsia="zh-CN" w:bidi="ar-SA"/>
        </w:rPr>
      </w:pPr>
    </w:p>
    <w:p w14:paraId="2DED8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560"/>
      </w:pPr>
      <w:r>
        <w:separator/>
      </w:r>
    </w:p>
  </w:endnote>
  <w:endnote w:type="continuationSeparator" w:id="1">
    <w:p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560"/>
      </w:pPr>
      <w:r>
        <w:separator/>
      </w:r>
    </w:p>
  </w:footnote>
  <w:footnote w:type="continuationSeparator" w:id="1">
    <w:p>
      <w:pPr>
        <w:ind w:firstLine="5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A53D88"/>
    <w:multiLevelType w:val="multilevel"/>
    <w:tmpl w:val="BEA53D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7D3"/>
    <w:rsid w:val="00175DBD"/>
    <w:rsid w:val="00270F54"/>
    <w:rsid w:val="002C3C10"/>
    <w:rsid w:val="00453A02"/>
    <w:rsid w:val="00481162"/>
    <w:rsid w:val="005D5C2B"/>
    <w:rsid w:val="005F70AF"/>
    <w:rsid w:val="00671FDC"/>
    <w:rsid w:val="00681359"/>
    <w:rsid w:val="006A1D89"/>
    <w:rsid w:val="00775681"/>
    <w:rsid w:val="0078471F"/>
    <w:rsid w:val="007B6AE3"/>
    <w:rsid w:val="0081536B"/>
    <w:rsid w:val="008927D3"/>
    <w:rsid w:val="008B6930"/>
    <w:rsid w:val="00941497"/>
    <w:rsid w:val="009B5CEA"/>
    <w:rsid w:val="009C5674"/>
    <w:rsid w:val="00A4387D"/>
    <w:rsid w:val="00A737FD"/>
    <w:rsid w:val="00BD62B6"/>
    <w:rsid w:val="00C07FA5"/>
    <w:rsid w:val="00CA3574"/>
    <w:rsid w:val="00DB4BE0"/>
    <w:rsid w:val="00E54711"/>
    <w:rsid w:val="00EC57F3"/>
    <w:rsid w:val="00EE63C5"/>
    <w:rsid w:val="00F75EDE"/>
    <w:rsid w:val="00FE3ED9"/>
    <w:rsid w:val="2B5F6645"/>
    <w:rsid w:val="3FA87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883" w:firstLineChars="200"/>
      <w:jc w:val="both"/>
    </w:pPr>
    <w:rPr>
      <w:rFonts w:ascii="Calibri" w:hAnsi="Calibri" w:eastAsia="华文仿宋" w:cs="Times New Roman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jc w:val="center"/>
      <w:outlineLvl w:val="0"/>
    </w:pPr>
    <w:rPr>
      <w:rFonts w:ascii="仿宋" w:hAnsi="仿宋" w:eastAsia="仿宋"/>
      <w:b/>
      <w:bCs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ind w:firstLine="0" w:firstLineChars="0"/>
      <w:jc w:val="left"/>
      <w:outlineLvl w:val="1"/>
    </w:pPr>
    <w:rPr>
      <w:rFonts w:ascii="仿宋" w:hAnsi="仿宋" w:eastAsia="仿宋"/>
      <w:b/>
      <w:bCs/>
      <w:sz w:val="30"/>
      <w:szCs w:val="30"/>
    </w:rPr>
  </w:style>
  <w:style w:type="paragraph" w:styleId="4">
    <w:name w:val="heading 3"/>
    <w:basedOn w:val="3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Emphasis"/>
    <w:basedOn w:val="16"/>
    <w:qFormat/>
    <w:uiPriority w:val="20"/>
    <w:rPr>
      <w:i/>
    </w:rPr>
  </w:style>
  <w:style w:type="character" w:customStyle="1" w:styleId="19">
    <w:name w:val="标题 1 字符"/>
    <w:basedOn w:val="16"/>
    <w:link w:val="2"/>
    <w:qFormat/>
    <w:uiPriority w:val="9"/>
    <w:rPr>
      <w:rFonts w:ascii="仿宋" w:hAnsi="仿宋" w:eastAsia="仿宋" w:cs="Times New Roman"/>
      <w:b/>
      <w:bCs/>
      <w:sz w:val="44"/>
      <w:szCs w:val="44"/>
    </w:rPr>
  </w:style>
  <w:style w:type="character" w:customStyle="1" w:styleId="20">
    <w:name w:val="标题 2 字符"/>
    <w:basedOn w:val="16"/>
    <w:link w:val="3"/>
    <w:qFormat/>
    <w:uiPriority w:val="9"/>
    <w:rPr>
      <w:rFonts w:ascii="仿宋" w:hAnsi="仿宋" w:eastAsia="仿宋" w:cs="Times New Roman"/>
      <w:b/>
      <w:bCs/>
      <w:sz w:val="30"/>
      <w:szCs w:val="30"/>
    </w:rPr>
  </w:style>
  <w:style w:type="character" w:customStyle="1" w:styleId="21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6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6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6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3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5">
    <w:name w:val="明显引用 字符"/>
    <w:basedOn w:val="16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1569</Words>
  <Characters>1689</Characters>
  <Lines>4</Lines>
  <Paragraphs>1</Paragraphs>
  <TotalTime>8</TotalTime>
  <ScaleCrop>false</ScaleCrop>
  <LinksUpToDate>false</LinksUpToDate>
  <CharactersWithSpaces>1737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2025-09-17T05:58:00Z</dcterms:created>
  <dc:creator>Yang Guang</dc:creator>
  <cp:lastModifiedBy>Prātimokṣa</cp:lastModifiedBy>
  <dcterms:modified xsi:type="dcterms:W3CDTF">2025-11-18T03:00:31Z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eyJoZGlkIjoiNDVlM2M0ODBlZWJiMDk1MzY5NGExM2U5YjAwNjdiZTQiLCJ1c2VySWQiOiI3OTM0NTAxMjQifQ==</vt:lpwstr>
  </property>
  <property fmtid="{D5CDD505-2E9C-101B-9397-08002B2CF9AE}" pid="3" name="KSOProductBuildVer">
    <vt:lpwstr>2052-12.1.0.23542</vt:lpwstr>
  </property>
  <property fmtid="{D5CDD505-2E9C-101B-9397-08002B2CF9AE}" pid="4" name="ICV">
    <vt:lpwstr>35B9DA48EA4E40879A447803096FEBB3_12</vt:lpwstr>
  </property>
</Properties>
</file>