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AAE09">
      <w:pPr>
        <w:pStyle w:val="2"/>
        <w:bidi w:val="0"/>
        <w:rPr>
          <w:rFonts w:hint="default"/>
        </w:rPr>
      </w:pPr>
      <w:r>
        <w:rPr>
          <w:rFonts w:hint="default"/>
        </w:rPr>
        <w:t>火灾隐患整改制度</w:t>
      </w:r>
    </w:p>
    <w:p w14:paraId="3D41FAD4">
      <w:pPr>
        <w:pStyle w:val="3"/>
        <w:bidi w:val="0"/>
        <w:rPr>
          <w:rFonts w:hint="default"/>
        </w:rPr>
      </w:pPr>
      <w:r>
        <w:rPr>
          <w:rFonts w:hint="default"/>
        </w:rPr>
        <w:t>一、 目的</w:t>
      </w:r>
    </w:p>
    <w:p w14:paraId="3CDAF54E">
      <w:pPr>
        <w:bidi w:val="0"/>
        <w:rPr>
          <w:rFonts w:hint="default"/>
        </w:rPr>
      </w:pPr>
      <w:r>
        <w:rPr>
          <w:rFonts w:hint="default"/>
        </w:rPr>
        <w:t>为贯彻执行《中华人民共和国消防法》、《江苏省消防条例》及《机关、团体、企业、事业单位消防安全管理规定》，落实“预防为主，防消结合”的方针，建立健全火灾隐患排查治理的长效机制，确保火灾隐患得到及时、有效的整改，实现隐患闭环管理，保障公司锂电池研发与生产安全，特制定本制度。</w:t>
      </w:r>
    </w:p>
    <w:p w14:paraId="5A89D50B">
      <w:pPr>
        <w:pStyle w:val="3"/>
        <w:bidi w:val="0"/>
        <w:rPr>
          <w:rFonts w:hint="default"/>
        </w:rPr>
      </w:pPr>
      <w:r>
        <w:rPr>
          <w:rFonts w:hint="default"/>
        </w:rPr>
        <w:t>二、 适用范围</w:t>
      </w:r>
    </w:p>
    <w:p w14:paraId="30BEF677">
      <w:pPr>
        <w:bidi w:val="0"/>
        <w:rPr>
          <w:rFonts w:hint="default"/>
        </w:rPr>
      </w:pPr>
      <w:r>
        <w:rPr>
          <w:rFonts w:hint="default"/>
        </w:rPr>
        <w:t>本制度适用于公司所有部门、生产车间、仓储区域及驻厂承包商。重点管控注液、化成分容、高温静置、电解液仓储等消防重点部位的隐患整改工作。</w:t>
      </w:r>
    </w:p>
    <w:p w14:paraId="5F1F0F45">
      <w:pPr>
        <w:pStyle w:val="3"/>
        <w:bidi w:val="0"/>
        <w:rPr>
          <w:rFonts w:hint="default"/>
        </w:rPr>
      </w:pPr>
      <w:r>
        <w:rPr>
          <w:rFonts w:hint="default"/>
        </w:rPr>
        <w:t>三、 定义</w:t>
      </w:r>
    </w:p>
    <w:p w14:paraId="372B6351">
      <w:pPr>
        <w:bidi w:val="0"/>
        <w:rPr>
          <w:rFonts w:hint="default"/>
        </w:rPr>
      </w:pPr>
      <w:r>
        <w:rPr>
          <w:rFonts w:hint="default"/>
        </w:rPr>
        <w:t>3.1 火灾隐患： 违反消防法律法规、不符合消防技术标准，可能导致火灾发生或火灾危害增大的各类潜在不安全因素。</w:t>
      </w:r>
    </w:p>
    <w:p w14:paraId="2E6BC05E">
      <w:pPr>
        <w:bidi w:val="0"/>
        <w:rPr>
          <w:rFonts w:hint="default"/>
        </w:rPr>
      </w:pPr>
      <w:r>
        <w:rPr>
          <w:rFonts w:hint="default"/>
        </w:rPr>
        <w:t>3.2 一般火灾隐患： 存在火灾风险但危害较小，整改难度较低，能够立即整改或在短时间内整改，且在整改期间能保证安全的隐患。</w:t>
      </w:r>
    </w:p>
    <w:p w14:paraId="5C6E4623">
      <w:pPr>
        <w:bidi w:val="0"/>
        <w:rPr>
          <w:rFonts w:hint="default"/>
        </w:rPr>
      </w:pPr>
      <w:r>
        <w:rPr>
          <w:rFonts w:hint="default"/>
        </w:rPr>
        <w:t>3.3 重大火灾隐患： 违反消防法律法规，可能导致火灾发生或火灾危害增大，并由此可能造成重大、特别重大火灾事故或严重社会影响，无法立即整改且需要协调多部门、投入较大资金或需停产停业进行整改的隐患。重大火灾隐患的判定参照《重大火灾隐患判定方法》（GB 35181）。</w:t>
      </w:r>
    </w:p>
    <w:p w14:paraId="2EC5D5DE">
      <w:pPr>
        <w:bidi w:val="0"/>
        <w:rPr>
          <w:rFonts w:hint="default"/>
        </w:rPr>
      </w:pPr>
      <w:r>
        <w:rPr>
          <w:rFonts w:hint="default"/>
        </w:rPr>
        <w:t>3.4 “五落实”原则： 指在隐患整改过程中，必须落实整改责任、整改措施、整改资金、整改时限和应急预案。</w:t>
      </w:r>
    </w:p>
    <w:p w14:paraId="5C722AA0">
      <w:pPr>
        <w:pStyle w:val="3"/>
        <w:bidi w:val="0"/>
        <w:rPr>
          <w:rFonts w:hint="default"/>
        </w:rPr>
      </w:pPr>
      <w:r>
        <w:rPr>
          <w:rFonts w:hint="default"/>
        </w:rPr>
        <w:t>四、 职责划分</w:t>
      </w:r>
    </w:p>
    <w:p w14:paraId="211C2E1A">
      <w:pPr>
        <w:bidi w:val="0"/>
        <w:ind w:left="0" w:leftChars="0" w:firstLine="0" w:firstLineChars="0"/>
        <w:rPr>
          <w:rFonts w:hint="default"/>
        </w:rPr>
      </w:pPr>
      <w:r>
        <w:rPr>
          <w:rFonts w:hint="default"/>
        </w:rPr>
        <w:t>4.1 ESH及消防部</w:t>
      </w:r>
    </w:p>
    <w:p w14:paraId="17FDE063">
      <w:pPr>
        <w:bidi w:val="0"/>
        <w:rPr>
          <w:rFonts w:hint="default"/>
        </w:rPr>
      </w:pPr>
      <w:r>
        <w:rPr>
          <w:rFonts w:hint="default"/>
        </w:rPr>
        <w:t>4.1.1 负责建立火灾隐患台账，对巡查、检查中发现的火灾隐患进行登记、分类和分级管理；</w:t>
      </w:r>
    </w:p>
    <w:p w14:paraId="75E25DA2">
      <w:pPr>
        <w:bidi w:val="0"/>
        <w:rPr>
          <w:rFonts w:hint="default"/>
        </w:rPr>
      </w:pPr>
      <w:r>
        <w:rPr>
          <w:rFonts w:hint="default"/>
        </w:rPr>
        <w:t>4.1.2 负责向责任部门下发《火灾隐患整改通知书》，督促、指导责任部门制定整改方案；</w:t>
      </w:r>
    </w:p>
    <w:p w14:paraId="4552DEE6">
      <w:pPr>
        <w:bidi w:val="0"/>
        <w:rPr>
          <w:rFonts w:hint="default"/>
        </w:rPr>
      </w:pPr>
      <w:r>
        <w:rPr>
          <w:rFonts w:hint="default"/>
        </w:rPr>
        <w:t>4.1.3 负责对隐患整改情况进行复查验收，实现闭环管理；</w:t>
      </w:r>
    </w:p>
    <w:p w14:paraId="16905DC0">
      <w:pPr>
        <w:bidi w:val="0"/>
        <w:rPr>
          <w:rFonts w:hint="default"/>
        </w:rPr>
      </w:pPr>
      <w:r>
        <w:rPr>
          <w:rFonts w:hint="default"/>
        </w:rPr>
        <w:t>4.1.4 对于重大火灾隐患，负责组织专家或技术人员进行评估，并向消防安全管理人及责任人报告，提出处理建议。</w:t>
      </w:r>
    </w:p>
    <w:p w14:paraId="75D7D954">
      <w:pPr>
        <w:bidi w:val="0"/>
        <w:ind w:left="0" w:leftChars="0" w:firstLine="0" w:firstLineChars="0"/>
        <w:rPr>
          <w:rFonts w:hint="default"/>
        </w:rPr>
      </w:pPr>
      <w:r>
        <w:rPr>
          <w:rFonts w:hint="default"/>
        </w:rPr>
        <w:t>4.2 各部门负责人</w:t>
      </w:r>
    </w:p>
    <w:p w14:paraId="0C257B36">
      <w:pPr>
        <w:bidi w:val="0"/>
        <w:rPr>
          <w:rFonts w:hint="default"/>
        </w:rPr>
      </w:pPr>
      <w:r>
        <w:rPr>
          <w:rFonts w:hint="default"/>
        </w:rPr>
        <w:t>4.2.1 是本部门火灾隐患整改的第一责任人，负责落实本部门管辖区域内隐患的整改工作；</w:t>
      </w:r>
    </w:p>
    <w:p w14:paraId="566B4A98">
      <w:pPr>
        <w:bidi w:val="0"/>
        <w:rPr>
          <w:rFonts w:hint="default"/>
        </w:rPr>
      </w:pPr>
      <w:r>
        <w:rPr>
          <w:rFonts w:hint="default"/>
        </w:rPr>
        <w:t>4.2.2 负责制定本部门隐患整改的具体措施，落实整改期间的安全防范手段；</w:t>
      </w:r>
    </w:p>
    <w:p w14:paraId="4C502D78">
      <w:pPr>
        <w:bidi w:val="0"/>
        <w:rPr>
          <w:rFonts w:hint="default"/>
        </w:rPr>
      </w:pPr>
      <w:r>
        <w:rPr>
          <w:rFonts w:hint="default"/>
        </w:rPr>
        <w:t>4.2.3 涉及设备设施的硬件故障，应及时报修或协调厂务运维部进行处理。</w:t>
      </w:r>
    </w:p>
    <w:p w14:paraId="19635E7C">
      <w:pPr>
        <w:bidi w:val="0"/>
        <w:ind w:left="0" w:leftChars="0" w:firstLine="0" w:firstLineChars="0"/>
        <w:rPr>
          <w:rFonts w:hint="default"/>
        </w:rPr>
      </w:pPr>
      <w:r>
        <w:rPr>
          <w:rFonts w:hint="default"/>
        </w:rPr>
        <w:t>4.3 财务审计部</w:t>
      </w:r>
    </w:p>
    <w:p w14:paraId="026CF637">
      <w:pPr>
        <w:bidi w:val="0"/>
        <w:rPr>
          <w:rFonts w:hint="default"/>
        </w:rPr>
      </w:pPr>
      <w:r>
        <w:rPr>
          <w:rFonts w:hint="default"/>
        </w:rPr>
        <w:t>4.3.1 负责保障火灾隐患整改所需的资金投入，确保整改工作不因资金问题而延误。</w:t>
      </w:r>
    </w:p>
    <w:p w14:paraId="09BF2916">
      <w:pPr>
        <w:bidi w:val="0"/>
        <w:ind w:left="0" w:leftChars="0" w:firstLine="0" w:firstLineChars="0"/>
        <w:rPr>
          <w:rFonts w:hint="default"/>
        </w:rPr>
      </w:pPr>
      <w:r>
        <w:rPr>
          <w:rFonts w:hint="default"/>
        </w:rPr>
        <w:t>4.4 消防安全管理人</w:t>
      </w:r>
    </w:p>
    <w:p w14:paraId="35C7BC55">
      <w:pPr>
        <w:bidi w:val="0"/>
        <w:rPr>
          <w:rFonts w:hint="default"/>
        </w:rPr>
      </w:pPr>
      <w:r>
        <w:rPr>
          <w:rFonts w:hint="default"/>
        </w:rPr>
        <w:t>4.4.1 负责审批重大火灾隐患的整改方案，协调跨部门的整改资源；</w:t>
      </w:r>
    </w:p>
    <w:p w14:paraId="2276EE7A">
      <w:pPr>
        <w:bidi w:val="0"/>
        <w:rPr>
          <w:rFonts w:hint="default"/>
        </w:rPr>
      </w:pPr>
      <w:r>
        <w:rPr>
          <w:rFonts w:hint="default"/>
        </w:rPr>
        <w:t>4.4.2 督促落实整改资金，监督整改进度。</w:t>
      </w:r>
    </w:p>
    <w:p w14:paraId="26AC39FD">
      <w:pPr>
        <w:pStyle w:val="3"/>
        <w:bidi w:val="0"/>
        <w:rPr>
          <w:rFonts w:hint="default"/>
        </w:rPr>
      </w:pPr>
      <w:r>
        <w:rPr>
          <w:rFonts w:hint="default"/>
        </w:rPr>
        <w:t>五、 内容</w:t>
      </w:r>
    </w:p>
    <w:p w14:paraId="7781ABA4">
      <w:pPr>
        <w:bidi w:val="0"/>
        <w:ind w:left="0" w:leftChars="0" w:firstLine="0" w:firstLineChars="0"/>
        <w:rPr>
          <w:rFonts w:hint="default"/>
        </w:rPr>
      </w:pPr>
      <w:r>
        <w:rPr>
          <w:rFonts w:hint="default"/>
        </w:rPr>
        <w:t>5.1 隐患报告与登记</w:t>
      </w:r>
    </w:p>
    <w:p w14:paraId="294F5F95">
      <w:pPr>
        <w:bidi w:val="0"/>
        <w:rPr>
          <w:rFonts w:hint="default"/>
        </w:rPr>
      </w:pPr>
      <w:r>
        <w:rPr>
          <w:rFonts w:hint="default"/>
        </w:rPr>
        <w:t>5.1.1 任何员工在发现火灾隐患时，应立即向现场管理人员或ESH及消防部报告。</w:t>
      </w:r>
    </w:p>
    <w:p w14:paraId="350BB4FF">
      <w:pPr>
        <w:bidi w:val="0"/>
        <w:rPr>
          <w:rFonts w:hint="default"/>
        </w:rPr>
      </w:pPr>
      <w:r>
        <w:rPr>
          <w:rFonts w:hint="default"/>
        </w:rPr>
        <w:t>5.1.2 ESH及消防部应将《防火巡查、检查记录表》中发现的问题、上级消防救援机构指出的问题、以及员工报告的问题，统一录入《火灾隐患整改台账》。</w:t>
      </w:r>
    </w:p>
    <w:p w14:paraId="4796D177">
      <w:pPr>
        <w:bidi w:val="0"/>
        <w:ind w:left="0" w:leftChars="0" w:firstLine="0" w:firstLineChars="0"/>
        <w:rPr>
          <w:rFonts w:hint="default"/>
        </w:rPr>
      </w:pPr>
      <w:r>
        <w:rPr>
          <w:rFonts w:hint="default"/>
        </w:rPr>
        <w:t>5.2 一般火灾隐患的整改</w:t>
      </w:r>
    </w:p>
    <w:p w14:paraId="208F2B33">
      <w:pPr>
        <w:bidi w:val="0"/>
        <w:rPr>
          <w:rFonts w:hint="default"/>
        </w:rPr>
      </w:pPr>
      <w:r>
        <w:rPr>
          <w:rFonts w:hint="default"/>
        </w:rPr>
        <w:t>5.2.1 立即整改： 对于能够当场改正的火灾隐患（如违规吸烟、安全出口上锁、疏散通道堆放杂物、灭火器遮挡、常闭防火门处于开启状态等），检查人员应责令责任部门或人员立即改正。</w:t>
      </w:r>
    </w:p>
    <w:p w14:paraId="61DE2D0B">
      <w:pPr>
        <w:bidi w:val="0"/>
        <w:rPr>
          <w:rFonts w:hint="default"/>
        </w:rPr>
      </w:pPr>
      <w:r>
        <w:rPr>
          <w:rFonts w:hint="default"/>
        </w:rPr>
        <w:t>5.2.2 限期整改： 对于不能当场改正的，ESH及消防部应下发《火灾隐患整改通知书》，明确整改责任人、整改措施和完成时限。</w:t>
      </w:r>
    </w:p>
    <w:p w14:paraId="512767E1">
      <w:pPr>
        <w:bidi w:val="0"/>
        <w:rPr>
          <w:rFonts w:hint="default"/>
        </w:rPr>
      </w:pPr>
      <w:r>
        <w:rPr>
          <w:rFonts w:hint="default"/>
        </w:rPr>
        <w:t>5.2.3 责任部门在收到通知后，应在规定期限内完成整改，并将整改结果（含整改前后对比照片）反馈至ESH及消防部申请复查。</w:t>
      </w:r>
    </w:p>
    <w:p w14:paraId="492E951B">
      <w:pPr>
        <w:bidi w:val="0"/>
        <w:ind w:left="0" w:leftChars="0" w:firstLine="0" w:firstLineChars="0"/>
        <w:rPr>
          <w:rFonts w:hint="default"/>
        </w:rPr>
      </w:pPr>
      <w:r>
        <w:rPr>
          <w:rFonts w:hint="default"/>
        </w:rPr>
        <w:t>5.3 重大火灾隐患的整改</w:t>
      </w:r>
    </w:p>
    <w:p w14:paraId="2C70CFF4">
      <w:pPr>
        <w:bidi w:val="0"/>
        <w:rPr>
          <w:rFonts w:hint="default"/>
        </w:rPr>
      </w:pPr>
      <w:r>
        <w:rPr>
          <w:rFonts w:hint="default"/>
        </w:rPr>
        <w:t>5.3.1 对于被判定为重大火灾隐患的（如消防设施严重瘫痪、锂电池生产关键工序存在系统性风险、防火分区破坏等），ESH及消防部应立即书面报告消防安全管理人和消防安全责任人。</w:t>
      </w:r>
    </w:p>
    <w:p w14:paraId="68908F78">
      <w:pPr>
        <w:bidi w:val="0"/>
        <w:rPr>
          <w:rFonts w:hint="default"/>
        </w:rPr>
      </w:pPr>
      <w:r>
        <w:rPr>
          <w:rFonts w:hint="default"/>
        </w:rPr>
        <w:t>5.3.2 责任部门应制定专项整改方案，整改方案应包括：</w:t>
      </w:r>
    </w:p>
    <w:p w14:paraId="1D05B1D8">
      <w:pPr>
        <w:bidi w:val="0"/>
        <w:rPr>
          <w:rFonts w:hint="default"/>
        </w:rPr>
      </w:pPr>
      <w:r>
        <w:rPr>
          <w:rFonts w:hint="default"/>
        </w:rPr>
        <w:t>a) 整改的目标和任务；</w:t>
      </w:r>
    </w:p>
    <w:p w14:paraId="559A68C9">
      <w:pPr>
        <w:bidi w:val="0"/>
        <w:rPr>
          <w:rFonts w:hint="default"/>
        </w:rPr>
      </w:pPr>
      <w:r>
        <w:rPr>
          <w:rFonts w:hint="default"/>
        </w:rPr>
        <w:t>b) 采取的整改措施（技术措施、管理措施）；</w:t>
      </w:r>
    </w:p>
    <w:p w14:paraId="30AC2B3C">
      <w:pPr>
        <w:bidi w:val="0"/>
        <w:rPr>
          <w:rFonts w:hint="default"/>
        </w:rPr>
      </w:pPr>
      <w:r>
        <w:rPr>
          <w:rFonts w:hint="default"/>
        </w:rPr>
        <w:t>c) 经费预算和来源；</w:t>
      </w:r>
    </w:p>
    <w:p w14:paraId="01CB13C1">
      <w:pPr>
        <w:bidi w:val="0"/>
        <w:rPr>
          <w:rFonts w:hint="default"/>
        </w:rPr>
      </w:pPr>
      <w:r>
        <w:rPr>
          <w:rFonts w:hint="default"/>
        </w:rPr>
        <w:t>d) 负责整改的机构和人员；</w:t>
      </w:r>
    </w:p>
    <w:p w14:paraId="48A4B8D6">
      <w:pPr>
        <w:bidi w:val="0"/>
        <w:rPr>
          <w:rFonts w:hint="default"/>
        </w:rPr>
      </w:pPr>
      <w:r>
        <w:rPr>
          <w:rFonts w:hint="default"/>
        </w:rPr>
        <w:t>e) 整改的时限和节点；</w:t>
      </w:r>
    </w:p>
    <w:p w14:paraId="5A949531">
      <w:pPr>
        <w:bidi w:val="0"/>
        <w:rPr>
          <w:rFonts w:hint="default"/>
        </w:rPr>
      </w:pPr>
      <w:r>
        <w:rPr>
          <w:rFonts w:hint="default"/>
        </w:rPr>
        <w:t>f) 整改期间的应急防范措施（如增设临时灭火器材、增加巡查频次、暂停相关危险作业等）。</w:t>
      </w:r>
    </w:p>
    <w:p w14:paraId="2E5D8F3E">
      <w:pPr>
        <w:bidi w:val="0"/>
        <w:rPr>
          <w:rFonts w:hint="default"/>
        </w:rPr>
      </w:pPr>
      <w:r>
        <w:rPr>
          <w:rFonts w:hint="default"/>
        </w:rPr>
        <w:t>5.3.3 整改方案经消防安全管理人审核、消防安全责任人批准后实施。</w:t>
      </w:r>
    </w:p>
    <w:p w14:paraId="54117B12">
      <w:pPr>
        <w:bidi w:val="0"/>
        <w:ind w:left="0" w:leftChars="0" w:firstLine="0" w:firstLineChars="0"/>
        <w:rPr>
          <w:rFonts w:hint="default"/>
        </w:rPr>
      </w:pPr>
      <w:r>
        <w:rPr>
          <w:rFonts w:hint="default"/>
        </w:rPr>
        <w:t>5.4 涉及锂电池生产工艺的特殊整改要求</w:t>
      </w:r>
    </w:p>
    <w:p w14:paraId="284F2D92">
      <w:pPr>
        <w:bidi w:val="0"/>
        <w:rPr>
          <w:rFonts w:hint="default"/>
        </w:rPr>
      </w:pPr>
      <w:r>
        <w:rPr>
          <w:rFonts w:hint="default"/>
        </w:rPr>
        <w:t>5.4.1 注液工序： 若注液间环境监测报警装置故障或通风排气系统失效，应视为重大隐患，现场当班班长或操作人员有权且必须立即停止相关作业，切断非必要电源，并同时上报</w:t>
      </w:r>
      <w:r>
        <w:rPr>
          <w:rFonts w:hint="eastAsia"/>
          <w:lang w:val="en-US" w:eastAsia="zh-CN"/>
        </w:rPr>
        <w:t>生产运营经理</w:t>
      </w:r>
      <w:bookmarkStart w:id="0" w:name="_GoBack"/>
      <w:bookmarkEnd w:id="0"/>
      <w:r>
        <w:rPr>
          <w:rFonts w:hint="eastAsia"/>
          <w:lang w:val="en-US" w:eastAsia="zh-CN"/>
        </w:rPr>
        <w:t>及ESH与消防部门</w:t>
      </w:r>
      <w:r>
        <w:rPr>
          <w:rFonts w:hint="default"/>
        </w:rPr>
        <w:t>，直至系统恢复正常。</w:t>
      </w:r>
    </w:p>
    <w:p w14:paraId="52717B95">
      <w:pPr>
        <w:bidi w:val="0"/>
        <w:rPr>
          <w:rFonts w:hint="default"/>
        </w:rPr>
      </w:pPr>
      <w:r>
        <w:rPr>
          <w:rFonts w:hint="default"/>
        </w:rPr>
        <w:t>5.4.2 化成分容/高温静置： 若发现电池过热、温感探头失灵或消防喷淋系统故障，应立即隔离故障电池或停止设备运行，由专业工程师进行检修，严禁设备带病运行。</w:t>
      </w:r>
    </w:p>
    <w:p w14:paraId="3B67DF58">
      <w:pPr>
        <w:bidi w:val="0"/>
        <w:rPr>
          <w:rFonts w:hint="default"/>
        </w:rPr>
      </w:pPr>
      <w:r>
        <w:rPr>
          <w:rFonts w:hint="default"/>
        </w:rPr>
        <w:t>5.4.3 电解液/成品仓库： 若发现化学品泄漏或堆垛不符合防火间距要求，供应链管理部应立即组织清理和重新码放。</w:t>
      </w:r>
    </w:p>
    <w:p w14:paraId="7D3A172E">
      <w:pPr>
        <w:bidi w:val="0"/>
        <w:ind w:left="0" w:leftChars="0" w:firstLine="0" w:firstLineChars="0"/>
        <w:rPr>
          <w:rFonts w:hint="default"/>
        </w:rPr>
      </w:pPr>
      <w:r>
        <w:rPr>
          <w:rFonts w:hint="default"/>
        </w:rPr>
        <w:t>5.5 整改期间的防范措施</w:t>
      </w:r>
    </w:p>
    <w:p w14:paraId="5F40904E">
      <w:pPr>
        <w:bidi w:val="0"/>
        <w:rPr>
          <w:rFonts w:hint="default"/>
        </w:rPr>
      </w:pPr>
      <w:r>
        <w:rPr>
          <w:rFonts w:hint="default"/>
        </w:rPr>
        <w:t>5.5.1 在火灾隐患未消除之前，责任部门必须落实防范措施，确保安全。</w:t>
      </w:r>
    </w:p>
    <w:p w14:paraId="25999A63">
      <w:pPr>
        <w:bidi w:val="0"/>
        <w:rPr>
          <w:rFonts w:hint="default"/>
        </w:rPr>
      </w:pPr>
      <w:r>
        <w:rPr>
          <w:rFonts w:hint="default"/>
        </w:rPr>
        <w:t>5.5.2 对于随时可能引发火灾或一旦发生火灾将严重危及人身安全的隐患部位，应当将危险部位停产、停业整改。</w:t>
      </w:r>
    </w:p>
    <w:p w14:paraId="069995BC">
      <w:pPr>
        <w:bidi w:val="0"/>
        <w:rPr>
          <w:rFonts w:hint="default"/>
        </w:rPr>
      </w:pPr>
      <w:r>
        <w:rPr>
          <w:rFonts w:hint="default"/>
        </w:rPr>
        <w:t>5.5.3 厂务运维部在进行涉及动火、电气线路改造的隐患整改作业时，必须严格履行审批手续，遵守《消防安全管理程序》中的作业规范。</w:t>
      </w:r>
    </w:p>
    <w:p w14:paraId="11FB9F6B">
      <w:pPr>
        <w:bidi w:val="0"/>
        <w:ind w:left="0" w:leftChars="0" w:firstLine="0" w:firstLineChars="0"/>
        <w:rPr>
          <w:rFonts w:hint="default"/>
        </w:rPr>
      </w:pPr>
      <w:r>
        <w:rPr>
          <w:rFonts w:hint="default"/>
        </w:rPr>
        <w:t>5.6 复查与销案</w:t>
      </w:r>
    </w:p>
    <w:p w14:paraId="26D203FF">
      <w:pPr>
        <w:bidi w:val="0"/>
        <w:rPr>
          <w:rFonts w:hint="default"/>
        </w:rPr>
      </w:pPr>
      <w:r>
        <w:rPr>
          <w:rFonts w:hint="default"/>
        </w:rPr>
        <w:t>5.6.1 隐患整改完毕后，责任部门应向ESH及消防部提出复查申请。</w:t>
      </w:r>
    </w:p>
    <w:p w14:paraId="7A483922">
      <w:pPr>
        <w:bidi w:val="0"/>
        <w:rPr>
          <w:rFonts w:hint="default"/>
        </w:rPr>
      </w:pPr>
      <w:r>
        <w:rPr>
          <w:rFonts w:hint="default"/>
        </w:rPr>
        <w:t>5.6.2 ESH及消防部应在收到申请后3个工作日内进行现场复查。</w:t>
      </w:r>
    </w:p>
    <w:p w14:paraId="7D435A21">
      <w:pPr>
        <w:bidi w:val="0"/>
        <w:rPr>
          <w:rFonts w:hint="default"/>
        </w:rPr>
      </w:pPr>
      <w:r>
        <w:rPr>
          <w:rFonts w:hint="default"/>
        </w:rPr>
        <w:t>5.6.3 复查合格的，由复查人员签字确认，予以销案；复查不合格的，责令限期重新整改，并依据公司奖惩规定对责任人进行考核。</w:t>
      </w:r>
    </w:p>
    <w:p w14:paraId="4344DD87">
      <w:pPr>
        <w:bidi w:val="0"/>
        <w:rPr>
          <w:rFonts w:hint="default"/>
        </w:rPr>
      </w:pPr>
      <w:r>
        <w:rPr>
          <w:rFonts w:hint="default"/>
        </w:rPr>
        <w:t>5.6.4 上级消防救援机构责令限期改正的火灾隐患，整改后由ESH及消防部向消防救援机构申报复查。</w:t>
      </w:r>
    </w:p>
    <w:p w14:paraId="74820A83">
      <w:pPr>
        <w:bidi w:val="0"/>
        <w:ind w:left="0" w:leftChars="0" w:firstLine="0" w:firstLineChars="0"/>
        <w:rPr>
          <w:rFonts w:hint="default"/>
        </w:rPr>
      </w:pPr>
      <w:r>
        <w:rPr>
          <w:rFonts w:hint="default"/>
        </w:rPr>
        <w:t>5.7 档案管理</w:t>
      </w:r>
    </w:p>
    <w:p w14:paraId="5290D4F4">
      <w:pPr>
        <w:bidi w:val="0"/>
        <w:rPr>
          <w:rFonts w:hint="default"/>
        </w:rPr>
      </w:pPr>
      <w:r>
        <w:rPr>
          <w:rFonts w:hint="default"/>
        </w:rPr>
        <w:t>ESH及消防部应将火灾隐患整改过程中的《火灾隐患整改通知书》、整改方案、复查记录、整改前后照片等资料整理归档，保存期限不少于3年。</w:t>
      </w:r>
    </w:p>
    <w:p w14:paraId="5A54B8A0">
      <w:pPr>
        <w:pStyle w:val="3"/>
        <w:bidi w:val="0"/>
        <w:rPr>
          <w:rFonts w:hint="default"/>
        </w:rPr>
      </w:pPr>
      <w:r>
        <w:rPr>
          <w:rFonts w:hint="default"/>
        </w:rPr>
        <w:t>六、 附件</w:t>
      </w:r>
    </w:p>
    <w:p w14:paraId="1542E080">
      <w:pPr>
        <w:bidi w:val="0"/>
        <w:rPr>
          <w:rFonts w:hint="default"/>
        </w:rPr>
      </w:pPr>
      <w:r>
        <w:rPr>
          <w:rFonts w:hint="default"/>
        </w:rPr>
        <w:t>附件一：《火灾隐患整改通知书》</w:t>
      </w:r>
    </w:p>
    <w:p w14:paraId="2DA50CB4">
      <w:pPr>
        <w:bidi w:val="0"/>
        <w:rPr>
          <w:rFonts w:hint="default"/>
        </w:rPr>
      </w:pPr>
      <w:r>
        <w:rPr>
          <w:rFonts w:hint="default"/>
        </w:rPr>
        <w:t>附件二：《火灾隐患整改台账》</w:t>
      </w:r>
    </w:p>
    <w:p w14:paraId="5AEDA6C5">
      <w:pPr>
        <w:pStyle w:val="3"/>
        <w:bidi w:val="0"/>
        <w:rPr>
          <w:rFonts w:hint="default"/>
        </w:rPr>
      </w:pPr>
      <w:r>
        <w:rPr>
          <w:rFonts w:hint="default"/>
        </w:rPr>
        <w:t>七、 本文件自发布起生效</w:t>
      </w:r>
    </w:p>
    <w:p w14:paraId="28C00BBB">
      <w:pPr>
        <w:widowControl w:val="0"/>
        <w:numPr>
          <w:ilvl w:val="0"/>
          <w:numId w:val="0"/>
        </w:numPr>
        <w:jc w:val="both"/>
      </w:pPr>
    </w:p>
    <w:p w14:paraId="2DED8161">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仿宋" w:hAnsi="仿宋" w:eastAsia="仿宋"/>
        </w:rPr>
      </w:pP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7D3"/>
    <w:rsid w:val="00175DBD"/>
    <w:rsid w:val="00270F54"/>
    <w:rsid w:val="002C3C10"/>
    <w:rsid w:val="00453A02"/>
    <w:rsid w:val="00481162"/>
    <w:rsid w:val="005D5C2B"/>
    <w:rsid w:val="005F70AF"/>
    <w:rsid w:val="00671FDC"/>
    <w:rsid w:val="00681359"/>
    <w:rsid w:val="006A1D89"/>
    <w:rsid w:val="00775681"/>
    <w:rsid w:val="0078471F"/>
    <w:rsid w:val="007B6AE3"/>
    <w:rsid w:val="0081536B"/>
    <w:rsid w:val="008927D3"/>
    <w:rsid w:val="008B6930"/>
    <w:rsid w:val="00941497"/>
    <w:rsid w:val="009B5CEA"/>
    <w:rsid w:val="009C5674"/>
    <w:rsid w:val="00A4387D"/>
    <w:rsid w:val="00A737FD"/>
    <w:rsid w:val="00BD62B6"/>
    <w:rsid w:val="00C07FA5"/>
    <w:rsid w:val="00CA3574"/>
    <w:rsid w:val="00DB4BE0"/>
    <w:rsid w:val="00E54711"/>
    <w:rsid w:val="00EC57F3"/>
    <w:rsid w:val="00EE63C5"/>
    <w:rsid w:val="00F75EDE"/>
    <w:rsid w:val="00FE3ED9"/>
    <w:rsid w:val="0240303E"/>
    <w:rsid w:val="13B74EE3"/>
    <w:rsid w:val="2B5F6645"/>
    <w:rsid w:val="3F4234BF"/>
    <w:rsid w:val="3FA87CDA"/>
    <w:rsid w:val="4B7F0D4E"/>
    <w:rsid w:val="6DD33A16"/>
    <w:rsid w:val="7B755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3" w:firstLineChars="200"/>
      <w:jc w:val="both"/>
    </w:pPr>
    <w:rPr>
      <w:rFonts w:ascii="Calibri" w:hAnsi="Calibri" w:eastAsia="华文仿宋" w:cs="Times New Roman"/>
      <w:kern w:val="2"/>
      <w:sz w:val="28"/>
      <w:szCs w:val="24"/>
      <w:lang w:val="en-US" w:eastAsia="zh-CN" w:bidi="ar-SA"/>
    </w:rPr>
  </w:style>
  <w:style w:type="paragraph" w:styleId="2">
    <w:name w:val="heading 1"/>
    <w:basedOn w:val="1"/>
    <w:next w:val="1"/>
    <w:link w:val="19"/>
    <w:qFormat/>
    <w:uiPriority w:val="9"/>
    <w:pPr>
      <w:jc w:val="center"/>
      <w:outlineLvl w:val="0"/>
    </w:pPr>
    <w:rPr>
      <w:rFonts w:ascii="仿宋" w:hAnsi="仿宋" w:eastAsia="仿宋"/>
      <w:b/>
      <w:bCs/>
      <w:sz w:val="44"/>
      <w:szCs w:val="44"/>
    </w:rPr>
  </w:style>
  <w:style w:type="paragraph" w:styleId="3">
    <w:name w:val="heading 2"/>
    <w:basedOn w:val="1"/>
    <w:next w:val="1"/>
    <w:link w:val="20"/>
    <w:unhideWhenUsed/>
    <w:qFormat/>
    <w:uiPriority w:val="9"/>
    <w:pPr>
      <w:ind w:firstLine="0" w:firstLineChars="0"/>
      <w:jc w:val="left"/>
      <w:outlineLvl w:val="1"/>
    </w:pPr>
    <w:rPr>
      <w:rFonts w:ascii="仿宋" w:hAnsi="仿宋" w:eastAsia="仿宋"/>
      <w:b/>
      <w:bCs/>
      <w:sz w:val="30"/>
      <w:szCs w:val="30"/>
    </w:rPr>
  </w:style>
  <w:style w:type="paragraph" w:styleId="4">
    <w:name w:val="heading 3"/>
    <w:basedOn w:val="3"/>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Cs w:val="22"/>
    </w:rPr>
  </w:style>
  <w:style w:type="paragraph" w:styleId="8">
    <w:name w:val="heading 7"/>
    <w:basedOn w:val="1"/>
    <w:next w:val="1"/>
    <w:link w:val="25"/>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Emphasis"/>
    <w:basedOn w:val="16"/>
    <w:qFormat/>
    <w:uiPriority w:val="20"/>
    <w:rPr>
      <w:i/>
    </w:rPr>
  </w:style>
  <w:style w:type="character" w:customStyle="1" w:styleId="19">
    <w:name w:val="标题 1 字符"/>
    <w:basedOn w:val="16"/>
    <w:link w:val="2"/>
    <w:qFormat/>
    <w:uiPriority w:val="9"/>
    <w:rPr>
      <w:rFonts w:ascii="仿宋" w:hAnsi="仿宋" w:eastAsia="仿宋" w:cs="Times New Roman"/>
      <w:b/>
      <w:bCs/>
      <w:sz w:val="44"/>
      <w:szCs w:val="44"/>
    </w:rPr>
  </w:style>
  <w:style w:type="character" w:customStyle="1" w:styleId="20">
    <w:name w:val="标题 2 字符"/>
    <w:basedOn w:val="16"/>
    <w:link w:val="3"/>
    <w:qFormat/>
    <w:uiPriority w:val="9"/>
    <w:rPr>
      <w:rFonts w:ascii="仿宋" w:hAnsi="仿宋" w:eastAsia="仿宋" w:cs="Times New Roman"/>
      <w:b/>
      <w:bCs/>
      <w:sz w:val="30"/>
      <w:szCs w:val="30"/>
    </w:rPr>
  </w:style>
  <w:style w:type="character" w:customStyle="1" w:styleId="21">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semiHidden/>
    <w:qFormat/>
    <w:uiPriority w:val="9"/>
    <w:rPr>
      <w:rFonts w:cstheme="majorBidi"/>
      <w:color w:val="104862" w:themeColor="accent1" w:themeShade="BF"/>
      <w:sz w:val="28"/>
      <w:szCs w:val="28"/>
    </w:rPr>
  </w:style>
  <w:style w:type="character" w:customStyle="1" w:styleId="23">
    <w:name w:val="标题 5 字符"/>
    <w:basedOn w:val="16"/>
    <w:link w:val="6"/>
    <w:semiHidden/>
    <w:qFormat/>
    <w:uiPriority w:val="9"/>
    <w:rPr>
      <w:rFonts w:cstheme="majorBidi"/>
      <w:color w:val="104862" w:themeColor="accent1" w:themeShade="BF"/>
      <w:sz w:val="24"/>
      <w:szCs w:val="24"/>
    </w:rPr>
  </w:style>
  <w:style w:type="character" w:customStyle="1" w:styleId="24">
    <w:name w:val="标题 6 字符"/>
    <w:basedOn w:val="16"/>
    <w:link w:val="7"/>
    <w:semiHidden/>
    <w:qFormat/>
    <w:uiPriority w:val="9"/>
    <w:rPr>
      <w:rFonts w:cstheme="majorBidi"/>
      <w:b/>
      <w:bCs/>
      <w:color w:val="104862"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rPr>
      <w:rFonts w:asciiTheme="minorHAnsi" w:hAnsiTheme="minorHAnsi" w:eastAsiaTheme="minorEastAsia" w:cstheme="minorBidi"/>
      <w:szCs w:val="22"/>
    </w:rPr>
  </w:style>
  <w:style w:type="character" w:customStyle="1" w:styleId="33">
    <w:name w:val="Intense Emphasis"/>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Cs w:val="22"/>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2031</Words>
  <Characters>2204</Characters>
  <Lines>4</Lines>
  <Paragraphs>1</Paragraphs>
  <TotalTime>43</TotalTime>
  <ScaleCrop>false</ScaleCrop>
  <LinksUpToDate>false</LinksUpToDate>
  <CharactersWithSpaces>2270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2025-09-17T05:58:00Z</dcterms:created>
  <dc:creator>Yang Guang</dc:creator>
  <cp:lastModifiedBy>噗⁼³₌₃</cp:lastModifiedBy>
  <dcterms:modified xsi:type="dcterms:W3CDTF">2025-12-11T03:22:54Z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2052-12.1.0.24034</vt:lpwstr>
  </property>
  <property fmtid="{D5CDD505-2E9C-101B-9397-08002B2CF9AE}" pid="4" name="ICV">
    <vt:lpwstr>35B9DA48EA4E40879A447803096FEBB3_12</vt:lpwstr>
  </property>
</Properties>
</file>