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2B593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安全投入（费用）管理制度</w:t>
      </w:r>
    </w:p>
    <w:p w14:paraId="20C79E99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一、 目的</w:t>
      </w:r>
    </w:p>
    <w:p w14:paraId="3F283D53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为建立健全公司安全生产投入长效机制，确保安全生产资金的有效提取和规范使用，改善安全生产条件，提升本质安全水平，根据《中华人民共和国安全生产法》、《企业安全生产费用提取和使用管理办法》等法律法规，结合公司锂电池生产经营实际，制定本制度。</w:t>
      </w:r>
    </w:p>
    <w:p w14:paraId="37C33B95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二、 适用范围</w:t>
      </w:r>
    </w:p>
    <w:p w14:paraId="0C65E0A3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本制度适用于公司安全生产费用的预算编制、提取、使用、报销及监督管理全过程。</w:t>
      </w:r>
    </w:p>
    <w:p w14:paraId="640EC82A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三、 定义</w:t>
      </w:r>
    </w:p>
    <w:p w14:paraId="57D7A6A0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3.1 </w:t>
      </w:r>
      <w:r>
        <w:rPr>
          <w:rStyle w:val="7"/>
          <w:rFonts w:hint="eastAsia" w:ascii="仿宋" w:hAnsi="仿宋" w:eastAsia="仿宋" w:cs="仿宋"/>
          <w:sz w:val="28"/>
          <w:szCs w:val="28"/>
        </w:rPr>
        <w:t>安全生产费用</w:t>
      </w:r>
      <w:r>
        <w:rPr>
          <w:rFonts w:hint="eastAsia" w:ascii="仿宋" w:hAnsi="仿宋" w:eastAsia="仿宋" w:cs="仿宋"/>
          <w:sz w:val="28"/>
          <w:szCs w:val="28"/>
        </w:rPr>
        <w:t>：指企业按照规定标准提取，在成本中列支，专门用于完善和改进企业或者项目安全生产条件的资金。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3.2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专款专用</w:t>
      </w:r>
      <w:r>
        <w:rPr>
          <w:rFonts w:hint="eastAsia" w:ascii="仿宋" w:hAnsi="仿宋" w:eastAsia="仿宋" w:cs="仿宋"/>
          <w:sz w:val="28"/>
          <w:szCs w:val="28"/>
        </w:rPr>
        <w:t>：指安全生产费用必须用于规定的安全生产项目，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</w:t>
      </w:r>
      <w:r>
        <w:rPr>
          <w:rFonts w:hint="eastAsia" w:ascii="仿宋" w:hAnsi="仿宋" w:eastAsia="仿宋" w:cs="仿宋"/>
          <w:sz w:val="28"/>
          <w:szCs w:val="28"/>
        </w:rPr>
        <w:t>挪作他用（如发放员工奖金、支付非安全类罚款等）。</w:t>
      </w:r>
    </w:p>
    <w:p w14:paraId="66662384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四、 职责划分</w:t>
      </w:r>
    </w:p>
    <w:p w14:paraId="68A2B31A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4.1 EHS与消防部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a）负责制定年度安全生产费用使用计划，确定安全投入重点方向（如锂电池热失控防控、NMP回收系统防爆改造）；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b）负责审核各部门提交的安全费用使用申请，确认其符合使用范围；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c）建立安全费用使用台账，定期分析投入效果。</w:t>
      </w:r>
    </w:p>
    <w:p w14:paraId="07EDB09C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4.2 财务与审计部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a）负责按照国家规定标准提取安全生产费用，纳入年度财务预算；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b）负责安全费用的会计核算，设立“安全生产费用”专项科目，确保资金及时到位，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</w:t>
      </w:r>
      <w:r>
        <w:rPr>
          <w:rFonts w:hint="eastAsia" w:ascii="仿宋" w:hAnsi="仿宋" w:eastAsia="仿宋" w:cs="仿宋"/>
          <w:sz w:val="28"/>
          <w:szCs w:val="28"/>
        </w:rPr>
        <w:t>因资金拨付流程繁琐延误隐患整改。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c）监督安全费用的使用情况，拒绝不符合规定的报销申请。</w:t>
      </w:r>
    </w:p>
    <w:p w14:paraId="3461F872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4.3 供应链管理部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a）负责安全物资（如消防器材、PPE）的采购执行。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b）负责在采购合同中约定安全质量条款，通过正规渠道采购，杜绝假冒伪劣产品进入公司。</w:t>
      </w:r>
    </w:p>
    <w:p w14:paraId="0148BCCB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4.4 各部门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a）根据本部门安全生产实际需求（如隐患整改、设备维护），提出费用使用申请；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b）严格按照批准的用途使用资金，提供真实、合规的报销凭证。</w:t>
      </w:r>
    </w:p>
    <w:p w14:paraId="0EF8E46A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4.4 总经理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a）批准年度安全生产费用预算及重大安全项目资金投入；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b）保证安全生产投入的有效实施。</w:t>
      </w:r>
    </w:p>
    <w:p w14:paraId="58339728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五、 内容</w:t>
      </w:r>
    </w:p>
    <w:p w14:paraId="3AFD022F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5.1 提取标准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a）公司按照上一年度营业收入为依据，采取超额累退方式提取安全生产费用。具体标准如下：</w:t>
      </w:r>
    </w:p>
    <w:p w14:paraId="20087EF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a) 营业收入不超过 1000万元 的，按照 2.5% 提取；</w:t>
      </w:r>
    </w:p>
    <w:p w14:paraId="2ABB654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b) 营业收入超过 1000万元 至 1亿元 的部分，按照 1.25% 提取；</w:t>
      </w:r>
    </w:p>
    <w:p w14:paraId="7F24A67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c) 营业收入超过 1亿元 至 10亿元 的部分，按照 0.75% 提取；</w:t>
      </w:r>
    </w:p>
    <w:p w14:paraId="5CEE33B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d) 营业收入超过 10亿元 至 100亿元 的部分，按照 0.35% 提取。</w:t>
      </w:r>
    </w:p>
    <w:p w14:paraId="381BED44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 xml:space="preserve">b）当年度安全生产费用结余的，结转下年度使用；当年计提不足的，超出部分按正常成本费用渠道列支。 </w:t>
      </w:r>
    </w:p>
    <w:p w14:paraId="4047E21A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5.2 使用范围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安全生产费用应当用于以下支出：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完善、改造和维护安全防护设施设备</w:t>
      </w:r>
      <w:r>
        <w:rPr>
          <w:rFonts w:hint="eastAsia" w:ascii="仿宋" w:hAnsi="仿宋" w:eastAsia="仿宋" w:cs="仿宋"/>
          <w:sz w:val="28"/>
          <w:szCs w:val="28"/>
        </w:rPr>
        <w:t>：包括车间防爆电气、通风除尘、防静电设施、监控报警系统（如VESDA）、防雷设施等支出。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配备、维护、保养应急救援器材、设备和物资</w:t>
      </w:r>
      <w:r>
        <w:rPr>
          <w:rFonts w:hint="eastAsia" w:ascii="仿宋" w:hAnsi="仿宋" w:eastAsia="仿宋" w:cs="仿宋"/>
          <w:sz w:val="28"/>
          <w:szCs w:val="28"/>
        </w:rPr>
        <w:t>：包括微型消防站装备、空气呼吸器、D类灭火剂（石墨粉/干沙）、应急照明、泄漏应急处理物资等支出。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开展重大危险源和事故隐患评估、监控和整改</w:t>
      </w:r>
      <w:r>
        <w:rPr>
          <w:rFonts w:hint="eastAsia" w:ascii="仿宋" w:hAnsi="仿宋" w:eastAsia="仿宋" w:cs="仿宋"/>
          <w:sz w:val="28"/>
          <w:szCs w:val="28"/>
        </w:rPr>
        <w:t>：包括锂电池火灾风险评估、职业病危害因素检测、隐患治理工程等支出。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安全生产检查、评价、咨询和标准化建设</w:t>
      </w:r>
      <w:r>
        <w:rPr>
          <w:rFonts w:hint="eastAsia" w:ascii="仿宋" w:hAnsi="仿宋" w:eastAsia="仿宋" w:cs="仿宋"/>
          <w:sz w:val="28"/>
          <w:szCs w:val="28"/>
        </w:rPr>
        <w:t>：包括聘请第三方机构进行安全评价、体系认证咨询等支出。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e）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配备和更新现场作业人员安全防护用品</w:t>
      </w:r>
      <w:r>
        <w:rPr>
          <w:rFonts w:hint="eastAsia" w:ascii="仿宋" w:hAnsi="仿宋" w:eastAsia="仿宋" w:cs="仿宋"/>
          <w:sz w:val="28"/>
          <w:szCs w:val="28"/>
        </w:rPr>
        <w:t>：包括防静电服、防毒面具、绝缘鞋、护目镜等支出。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f）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安全生产宣传、教育、培训</w:t>
      </w:r>
      <w:r>
        <w:rPr>
          <w:rFonts w:hint="eastAsia" w:ascii="仿宋" w:hAnsi="仿宋" w:eastAsia="仿宋" w:cs="仿宋"/>
          <w:sz w:val="28"/>
          <w:szCs w:val="28"/>
        </w:rPr>
        <w:t>：包括新员工三级教育、特种作业人员取证复审、应急演练、安全月活动等支出。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g）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安全生产适用的新技术、新标准、新工艺、新装备的推广应用</w:t>
      </w:r>
      <w:r>
        <w:rPr>
          <w:rFonts w:hint="eastAsia" w:ascii="仿宋" w:hAnsi="仿宋" w:eastAsia="仿宋" w:cs="仿宋"/>
          <w:sz w:val="28"/>
          <w:szCs w:val="28"/>
        </w:rPr>
        <w:t>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h）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安全设施及特种设备检测检验</w:t>
      </w:r>
      <w:r>
        <w:rPr>
          <w:rFonts w:hint="eastAsia" w:ascii="仿宋" w:hAnsi="仿宋" w:eastAsia="仿宋" w:cs="仿宋"/>
          <w:sz w:val="28"/>
          <w:szCs w:val="28"/>
        </w:rPr>
        <w:t>：包括消防设施检测、特种设备（叉车、压力容器）年检等支出。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i）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安全奖励经费</w:t>
      </w:r>
      <w:r>
        <w:rPr>
          <w:rFonts w:hint="eastAsia" w:ascii="仿宋" w:hAnsi="仿宋" w:eastAsia="仿宋" w:cs="仿宋"/>
          <w:sz w:val="28"/>
          <w:szCs w:val="28"/>
        </w:rPr>
        <w:t>：用于奖励发现重大隐患、有效制止违章、成功处置突发险情的个人或团队，与绩效/奖励制度衔接。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j）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其他与安全生产直接相关的支出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263C9EE6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5.3 管理流程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5.3.1</w:t>
      </w:r>
      <w:r>
        <w:rPr>
          <w:rStyle w:val="7"/>
          <w:rFonts w:hint="eastAsia" w:ascii="仿宋" w:hAnsi="仿宋" w:eastAsia="仿宋" w:cs="仿宋"/>
          <w:b w:val="0"/>
          <w:bCs/>
          <w:sz w:val="28"/>
          <w:szCs w:val="28"/>
        </w:rPr>
        <w:t>预算编制</w:t>
      </w:r>
      <w:r>
        <w:rPr>
          <w:rFonts w:hint="eastAsia" w:ascii="仿宋" w:hAnsi="仿宋" w:eastAsia="仿宋" w:cs="仿宋"/>
          <w:b w:val="0"/>
          <w:bCs/>
          <w:sz w:val="28"/>
          <w:szCs w:val="28"/>
        </w:rPr>
        <w:t>：</w:t>
      </w:r>
    </w:p>
    <w:p w14:paraId="07DB611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a) 每年 11月30日 前，各部门提交下一年度安全费用需求计划；</w:t>
      </w:r>
    </w:p>
    <w:p w14:paraId="67B80D8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b) EHS与消防部 汇总编制年度安全投入计划，经 财务与审计部 审核后报总经理批准。</w:t>
      </w:r>
    </w:p>
    <w:p w14:paraId="7A129A59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5.3.2申请与审批：</w:t>
      </w:r>
    </w:p>
    <w:p w14:paraId="444AEE1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a) 预算内费用：由使用部门填写《费用申请单》，经EHS与消防部审核、财务复核、分管领导批准后执行；</w:t>
      </w:r>
    </w:p>
    <w:p w14:paraId="751F30F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b) 预算外费用（如突发隐患整改）：必须由总经理特批后方可执行。</w:t>
      </w:r>
    </w:p>
    <w:p w14:paraId="08955C6D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5.3.3采购与验收：</w:t>
      </w:r>
    </w:p>
    <w:p w14:paraId="7636DC5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a) 涉及实物资产（如消防器材、PPE）的采购，供应链管理部必须严格执行公司采购流程，在询价环节必须确认供应商具备相关安全资质。</w:t>
      </w:r>
    </w:p>
    <w:p w14:paraId="62F5A10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b) 物品到货后，必须由 EHS与消防部 参与验收，确保符合安全标准（如防爆等级、认证标识）。</w:t>
      </w:r>
    </w:p>
    <w:p w14:paraId="24CE82CD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5.3.4报销入账：</w:t>
      </w:r>
    </w:p>
    <w:p w14:paraId="2ADE5C1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a) 报销凭证必须附带《安全费用使用审批单》及验收单据；</w:t>
      </w:r>
    </w:p>
    <w:p w14:paraId="54A9F2A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b) 财务审计部在“专项储备-安全生产费”科目下列支，并定期向EHS部门反馈余额情况。</w:t>
      </w:r>
    </w:p>
    <w:p w14:paraId="220EE64D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六、 禁止行为与责任追究</w:t>
      </w:r>
    </w:p>
    <w:p w14:paraId="6613EFBF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6.1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严禁挪用资金</w:t>
      </w:r>
      <w:r>
        <w:rPr>
          <w:rFonts w:hint="eastAsia" w:ascii="仿宋" w:hAnsi="仿宋" w:eastAsia="仿宋" w:cs="仿宋"/>
          <w:sz w:val="28"/>
          <w:szCs w:val="28"/>
        </w:rPr>
        <w:t>。严禁挪用安全生产费用（如购买办公用品、支付招待费等）。违者对直接责任人给予记过处分，并责令全额退回挪用资金。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6.2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严禁弄虚作假</w:t>
      </w:r>
      <w:r>
        <w:rPr>
          <w:rFonts w:hint="eastAsia" w:ascii="仿宋" w:hAnsi="仿宋" w:eastAsia="仿宋" w:cs="仿宋"/>
          <w:sz w:val="28"/>
          <w:szCs w:val="28"/>
        </w:rPr>
        <w:t>。严禁虚报安全费用需求或伪造报销凭证。此行为触碰诚信红线，违者对责任人给予解除劳动合同处理；涉嫌犯罪的，依法移送司法机关。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6.3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严禁阻碍投入</w:t>
      </w:r>
      <w:r>
        <w:rPr>
          <w:rFonts w:hint="eastAsia" w:ascii="仿宋" w:hAnsi="仿宋" w:eastAsia="仿宋" w:cs="仿宋"/>
          <w:sz w:val="28"/>
          <w:szCs w:val="28"/>
        </w:rPr>
        <w:t>。严禁无正当理由阻碍安全投入，导致事故隐患未得到及时整改。违者对部门负责人给予警告处分，造成后果的给予降职或解除劳动合同处理。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6.4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严禁违规采购</w:t>
      </w:r>
      <w:r>
        <w:rPr>
          <w:rFonts w:hint="eastAsia" w:ascii="仿宋" w:hAnsi="仿宋" w:eastAsia="仿宋" w:cs="仿宋"/>
          <w:sz w:val="28"/>
          <w:szCs w:val="28"/>
        </w:rPr>
        <w:t>。严禁采购不符合国家或行业安全标准的物资（如非标劳保用品、非防爆器材）。违者对采购责任人给予警告处分，并由其负责联系供应商退货及承担相关损失补偿责任。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6.5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严禁计划落空</w:t>
      </w:r>
      <w:r>
        <w:rPr>
          <w:rFonts w:hint="eastAsia" w:ascii="仿宋" w:hAnsi="仿宋" w:eastAsia="仿宋" w:cs="仿宋"/>
          <w:sz w:val="28"/>
          <w:szCs w:val="28"/>
        </w:rPr>
        <w:t>。严禁未按批准的计划实施安全培训、演练或安全设施维护。违者对责任部门负责人给予通报批评处分，并限期完成整改。</w:t>
      </w:r>
    </w:p>
    <w:p w14:paraId="1C4A8C86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七、 附件</w:t>
      </w:r>
    </w:p>
    <w:p w14:paraId="51631A72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附件一：《年度安全生产费用预算表》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附件二：《安全费用使用申请单》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附件三：《安全生产费用台账》</w:t>
      </w:r>
    </w:p>
    <w:p w14:paraId="48625192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八、 附则</w:t>
      </w:r>
    </w:p>
    <w:p w14:paraId="16055B71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8.1 本制度由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</w:rPr>
        <w:t xml:space="preserve"> </w:t>
      </w:r>
      <w:r>
        <w:rPr>
          <w:rStyle w:val="7"/>
          <w:rFonts w:hint="eastAsia" w:ascii="仿宋" w:hAnsi="仿宋" w:eastAsia="仿宋" w:cs="仿宋"/>
          <w:sz w:val="28"/>
          <w:szCs w:val="28"/>
        </w:rPr>
        <w:t>EHS与消防部</w:t>
      </w:r>
      <w:r>
        <w:rPr>
          <w:rFonts w:hint="eastAsia" w:ascii="仿宋" w:hAnsi="仿宋" w:eastAsia="仿宋" w:cs="仿宋"/>
          <w:sz w:val="28"/>
          <w:szCs w:val="28"/>
        </w:rPr>
        <w:t xml:space="preserve"> 负责解释与修订。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8.2 本制度自发布之日起施行。</w:t>
      </w:r>
    </w:p>
    <w:p w14:paraId="35B0B9FF">
      <w:pPr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</w:p>
    <w:p w14:paraId="05300ACB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2A3844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480" w:beforeAutospacing="0" w:after="480" w:afterAutospacing="0"/>
      <w:ind w:left="0" w:right="0"/>
      <w:jc w:val="center"/>
    </w:pPr>
    <w:rPr>
      <w:rFonts w:hint="eastAsia" w:ascii="黑体" w:hAnsi="宋体" w:eastAsia="黑体" w:cs="黑体"/>
      <w:b/>
      <w:bCs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0" w:after="360" w:afterAutospacing="0"/>
      <w:ind w:left="0" w:right="0"/>
      <w:jc w:val="left"/>
    </w:pPr>
    <w:rPr>
      <w:rFonts w:ascii="黑体" w:hAnsi="宋体" w:eastAsia="黑体" w:cs="黑体"/>
      <w:b/>
      <w:bCs/>
      <w:kern w:val="0"/>
      <w:sz w:val="32"/>
      <w:szCs w:val="32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0" w:after="200" w:afterAutospacing="0" w:line="23" w:lineRule="atLeast"/>
      <w:ind w:left="0" w:right="0"/>
      <w:jc w:val="both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nsolas" w:hAnsi="Consolas" w:eastAsia="Consolas" w:cs="Consolas"/>
      <w:sz w:val="20"/>
      <w:bdr w:val="none" w:color="auto" w:sz="0" w:space="0"/>
      <w:shd w:val="clear" w:fill="F5F5F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2219</Words>
  <Characters>2384</Characters>
  <TotalTime>2</TotalTime>
  <ScaleCrop>false</ScaleCrop>
  <LinksUpToDate>false</LinksUpToDate>
  <CharactersWithSpaces>2457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2026-01-21T10:06:17Z</dcterms:created>
  <dc:creator>Guangyang</dc:creator>
  <cp:lastModifiedBy>噗⁼³₌₃</cp:lastModifiedBy>
  <dcterms:modified xsi:type="dcterms:W3CDTF">2026-01-21T10:08:21Z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eyJoZGlkIjoiNDVlM2M0ODBlZWJiMDk1MzY5NGExM2U5YjAwNjdiZTQiLCJ1c2VySWQiOiI0Mjk3NTYwODAifQ==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20BC8AF3BF524CD1B871CBED38C7556A_12</vt:lpwstr>
  </property>
</Properties>
</file>