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Servlet生命周期：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construction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 doGet/doPost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 destroy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另一种说法：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Cs w:val="24"/>
        </w:rPr>
      </w:pPr>
      <w:r>
        <w:rPr>
          <w:rFonts w:hint="eastAsia"/>
        </w:rPr>
        <w:t>Servlet生命周期分为三个阶段:</w:t>
      </w:r>
      <w:r>
        <w:rPr>
          <w:rFonts w:hint="eastAsia"/>
        </w:rPr>
        <w:br w:type="textWrapping"/>
      </w:r>
      <w:bookmarkStart w:id="0" w:name="_GoBack"/>
      <w:bookmarkEnd w:id="0"/>
      <w:r>
        <w:rPr>
          <w:rFonts w:hint="eastAsia"/>
        </w:rPr>
        <w:br w:type="textWrapping"/>
      </w:r>
      <w:r>
        <w:rPr>
          <w:rFonts w:hint="eastAsia"/>
        </w:rPr>
        <w:t xml:space="preserve">  1、初始化阶段 ， 调用init()方法；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2、响应客户请求阶段， 调用service()方法；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3、终止阶段， 调用destroy()方法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041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2016-08-24T07:39:39Z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