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8FBF" w14:textId="049DEB3A" w:rsidR="00F27595" w:rsidRPr="00877C45" w:rsidRDefault="001A4E3F" w:rsidP="00471312">
      <w:pPr>
        <w:pBdr>
          <w:top w:val="nil"/>
          <w:left w:val="nil"/>
          <w:bottom w:val="nil"/>
          <w:right w:val="nil"/>
          <w:between w:val="nil"/>
        </w:pBdr>
        <w:adjustRightInd w:val="0"/>
        <w:snapToGrid w:val="0"/>
        <w:spacing w:line="480" w:lineRule="auto"/>
        <w:rPr>
          <w:rFonts w:ascii="Arial" w:hAnsi="Arial" w:cs="Arial"/>
          <w:b/>
          <w:bCs/>
          <w:sz w:val="28"/>
          <w:szCs w:val="28"/>
        </w:rPr>
      </w:pPr>
      <w:r w:rsidRPr="001A4E3F">
        <w:rPr>
          <w:rFonts w:ascii="Arial" w:hAnsi="Arial" w:cs="Arial" w:hint="eastAsia"/>
          <w:b/>
          <w:bCs/>
          <w:sz w:val="28"/>
          <w:szCs w:val="28"/>
        </w:rPr>
        <w:t>Assessing Post-disaster Recovery to Inform Prediction of Economic Loss in Future Floods</w:t>
      </w:r>
    </w:p>
    <w:p w14:paraId="3BE4DABC" w14:textId="77777777" w:rsidR="00F27595" w:rsidRPr="00877C45" w:rsidRDefault="00F27595" w:rsidP="00471312">
      <w:pPr>
        <w:pBdr>
          <w:top w:val="nil"/>
          <w:left w:val="nil"/>
          <w:bottom w:val="nil"/>
          <w:right w:val="nil"/>
          <w:between w:val="nil"/>
        </w:pBdr>
        <w:adjustRightInd w:val="0"/>
        <w:snapToGrid w:val="0"/>
        <w:spacing w:line="480" w:lineRule="auto"/>
        <w:rPr>
          <w:rFonts w:ascii="Arial" w:eastAsia="微软雅黑" w:hAnsi="Arial" w:cs="Arial"/>
          <w:b/>
          <w:bCs/>
          <w:color w:val="000000" w:themeColor="text1"/>
          <w:sz w:val="24"/>
          <w:szCs w:val="24"/>
          <w:shd w:val="clear" w:color="auto" w:fill="FFFFFF"/>
        </w:rPr>
      </w:pPr>
    </w:p>
    <w:p w14:paraId="3A43F69C" w14:textId="37895A4A" w:rsidR="00A91997" w:rsidRDefault="009C4788" w:rsidP="00471312">
      <w:pPr>
        <w:pBdr>
          <w:top w:val="nil"/>
          <w:left w:val="nil"/>
          <w:bottom w:val="nil"/>
          <w:right w:val="nil"/>
          <w:between w:val="nil"/>
        </w:pBdr>
        <w:adjustRightInd w:val="0"/>
        <w:snapToGrid w:val="0"/>
        <w:spacing w:line="480" w:lineRule="auto"/>
        <w:rPr>
          <w:rFonts w:ascii="Arial" w:eastAsia="微软雅黑" w:hAnsi="Arial" w:cs="Arial"/>
          <w:b/>
          <w:bCs/>
          <w:color w:val="000000" w:themeColor="text1"/>
          <w:sz w:val="24"/>
          <w:szCs w:val="24"/>
          <w:shd w:val="clear" w:color="auto" w:fill="FFFFFF"/>
          <w:lang w:val="en-GB"/>
        </w:rPr>
      </w:pPr>
      <w:bookmarkStart w:id="0" w:name="_Hlk216205911"/>
      <w:r w:rsidRPr="00877C45">
        <w:rPr>
          <w:rFonts w:ascii="Arial" w:eastAsia="微软雅黑" w:hAnsi="Arial" w:cs="Arial"/>
          <w:b/>
          <w:bCs/>
          <w:color w:val="000000" w:themeColor="text1"/>
          <w:sz w:val="24"/>
          <w:szCs w:val="24"/>
          <w:shd w:val="clear" w:color="auto" w:fill="FFFFFF"/>
          <w:lang w:val="en-GB"/>
        </w:rPr>
        <w:t>Supplementary</w:t>
      </w:r>
      <w:bookmarkEnd w:id="0"/>
      <w:r w:rsidR="008927A4" w:rsidRPr="00877C45">
        <w:rPr>
          <w:rFonts w:ascii="Arial" w:eastAsia="微软雅黑" w:hAnsi="Arial" w:cs="Arial"/>
          <w:b/>
          <w:bCs/>
          <w:color w:val="000000" w:themeColor="text1"/>
          <w:sz w:val="24"/>
          <w:szCs w:val="24"/>
          <w:shd w:val="clear" w:color="auto" w:fill="FFFFFF"/>
          <w:lang w:val="en-GB"/>
        </w:rPr>
        <w:t xml:space="preserve"> Information</w:t>
      </w:r>
    </w:p>
    <w:p w14:paraId="3E5B6ADF" w14:textId="20E3A4EE" w:rsidR="00231C0D" w:rsidRPr="004F4746" w:rsidRDefault="004F4746" w:rsidP="004F4746">
      <w:pPr>
        <w:pBdr>
          <w:top w:val="nil"/>
          <w:left w:val="nil"/>
          <w:bottom w:val="nil"/>
          <w:right w:val="nil"/>
          <w:between w:val="nil"/>
        </w:pBdr>
        <w:spacing w:line="480" w:lineRule="auto"/>
        <w:contextualSpacing/>
        <w:outlineLvl w:val="1"/>
        <w:rPr>
          <w:rFonts w:ascii="Arial" w:hAnsi="Arial" w:cs="Arial"/>
          <w:b/>
          <w:color w:val="000000"/>
          <w:szCs w:val="21"/>
        </w:rPr>
      </w:pPr>
      <w:r>
        <w:rPr>
          <w:rFonts w:ascii="Arial" w:hAnsi="Arial" w:cs="Arial" w:hint="eastAsia"/>
          <w:b/>
          <w:color w:val="000000"/>
          <w:szCs w:val="21"/>
          <w:lang w:val="en-GB"/>
        </w:rPr>
        <w:t>S</w:t>
      </w:r>
      <w:r>
        <w:rPr>
          <w:rFonts w:ascii="Arial" w:hAnsi="Arial" w:cs="Arial" w:hint="eastAsia"/>
          <w:b/>
          <w:color w:val="000000"/>
          <w:szCs w:val="21"/>
        </w:rPr>
        <w:t xml:space="preserve">1. </w:t>
      </w:r>
      <w:r w:rsidR="00231C0D" w:rsidRPr="004F4746">
        <w:rPr>
          <w:rFonts w:ascii="Arial" w:hAnsi="Arial" w:cs="Arial"/>
          <w:b/>
          <w:color w:val="000000"/>
          <w:szCs w:val="21"/>
        </w:rPr>
        <w:t xml:space="preserve">Implementation details of the pixel-level flood detection model </w:t>
      </w:r>
    </w:p>
    <w:p w14:paraId="541FC474" w14:textId="4F03421B"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1.1 Label generation and sample construction</w:t>
      </w:r>
    </w:p>
    <w:p w14:paraId="61C06F01"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The supervised learning task was formulated at the pixel-event level. Each sample represented the NTL temporal response of one candidate pixel around one flood event. Binary labels were assigned through interpretation of BEAST-smoothed recovery curves. A sample was labelled as affected when the curve showed a clear disruption pattern around the flood date, typically characterized by an abrupt decline in NTL intensity followed by gradual recovery. A sample was labelled as unaffected when the curve showed no evident event-related disruption or only normal temporal fluctuation. Ambiguous curves were excluded from the labelled dataset to reduce label uncertainty.</w:t>
      </w:r>
    </w:p>
    <w:p w14:paraId="2E6F638A"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The labelled dataset contained 1,000 pixel-event samples, including 325 affected samples and 675 unaffected samples. These samples were selected from 18 flood events across 9 counties in 5 states. The sampling strategy was designed to include diverse disaster events, geographic contexts, and recovery patterns rather than relying on a single event or region.</w:t>
      </w:r>
    </w:p>
    <w:p w14:paraId="024A6760" w14:textId="194E0CB7"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1.2 Input features and preprocessing</w:t>
      </w:r>
    </w:p>
    <w:p w14:paraId="7B6C70DD"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 xml:space="preserve">Each pixel-event sample included a daily NTL time-series window and a set of statistical descriptors. The time-series window covered 100 days before and 150 days after the flood event. Statistical descriptors were extracted from the NTL sequence using </w:t>
      </w:r>
      <w:proofErr w:type="spellStart"/>
      <w:r w:rsidRPr="0066788D">
        <w:rPr>
          <w:rFonts w:ascii="Arial" w:hAnsi="Arial" w:cs="Arial"/>
          <w:sz w:val="20"/>
          <w:szCs w:val="20"/>
          <w:shd w:val="clear" w:color="auto" w:fill="FFFFFF"/>
        </w:rPr>
        <w:t>tsfresh</w:t>
      </w:r>
      <w:proofErr w:type="spellEnd"/>
      <w:r w:rsidRPr="0066788D">
        <w:rPr>
          <w:rFonts w:ascii="Arial" w:hAnsi="Arial" w:cs="Arial"/>
          <w:sz w:val="20"/>
          <w:szCs w:val="20"/>
          <w:shd w:val="clear" w:color="auto" w:fill="FFFFFF"/>
        </w:rPr>
        <w:t xml:space="preserve"> with the </w:t>
      </w:r>
      <w:proofErr w:type="spellStart"/>
      <w:r w:rsidRPr="0066788D">
        <w:rPr>
          <w:rFonts w:ascii="Arial" w:hAnsi="Arial" w:cs="Arial"/>
          <w:sz w:val="20"/>
          <w:szCs w:val="20"/>
          <w:shd w:val="clear" w:color="auto" w:fill="FFFFFF"/>
        </w:rPr>
        <w:t>EfficientFCParameters</w:t>
      </w:r>
      <w:proofErr w:type="spellEnd"/>
      <w:r w:rsidRPr="0066788D">
        <w:rPr>
          <w:rFonts w:ascii="Arial" w:hAnsi="Arial" w:cs="Arial"/>
          <w:sz w:val="20"/>
          <w:szCs w:val="20"/>
          <w:shd w:val="clear" w:color="auto" w:fill="FFFFFF"/>
        </w:rPr>
        <w:t xml:space="preserve"> setting. These descriptors captured distributional, trend-related, and fluctuation-related properties of each pixel-level NTL trajectory.</w:t>
      </w:r>
    </w:p>
    <w:p w14:paraId="0A32C7D3"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 xml:space="preserve">Before model training, the raw NTL time-series input was normalized using row-wise z-score normalization. This transformation allowed the model to focus on relative temporal changes within each pixel rather than absolute brightness differences across locations. The tabular features extracted from </w:t>
      </w:r>
      <w:proofErr w:type="spellStart"/>
      <w:r w:rsidRPr="0066788D">
        <w:rPr>
          <w:rFonts w:ascii="Arial" w:hAnsi="Arial" w:cs="Arial"/>
          <w:sz w:val="20"/>
          <w:szCs w:val="20"/>
          <w:shd w:val="clear" w:color="auto" w:fill="FFFFFF"/>
        </w:rPr>
        <w:t>tsfresh</w:t>
      </w:r>
      <w:proofErr w:type="spellEnd"/>
      <w:r w:rsidRPr="0066788D">
        <w:rPr>
          <w:rFonts w:ascii="Arial" w:hAnsi="Arial" w:cs="Arial"/>
          <w:sz w:val="20"/>
          <w:szCs w:val="20"/>
          <w:shd w:val="clear" w:color="auto" w:fill="FFFFFF"/>
        </w:rPr>
        <w:t xml:space="preserve"> were standardized using a scaler fitted only on the training data and then applied to the validation and test subsets. Missing or invalid feature </w:t>
      </w:r>
      <w:r w:rsidRPr="0066788D">
        <w:rPr>
          <w:rFonts w:ascii="Arial" w:hAnsi="Arial" w:cs="Arial"/>
          <w:sz w:val="20"/>
          <w:szCs w:val="20"/>
          <w:shd w:val="clear" w:color="auto" w:fill="FFFFFF"/>
        </w:rPr>
        <w:lastRenderedPageBreak/>
        <w:t>values generated during feature extraction were imputed before model fitting.</w:t>
      </w:r>
    </w:p>
    <w:p w14:paraId="5928A5AB" w14:textId="0FDB7C41"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1.3 Neural network architecture</w:t>
      </w:r>
    </w:p>
    <w:p w14:paraId="07687DEC"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 xml:space="preserve">The neural network component was designed to jointly learn sequential and tabular information. The temporal branch consisted of a one-dimensional convolutional layer, a max-pooling layer, a bidirectional LSTM layer, and dropout regularization. The tabular branch received standardized </w:t>
      </w:r>
      <w:proofErr w:type="spellStart"/>
      <w:r w:rsidRPr="0066788D">
        <w:rPr>
          <w:rFonts w:ascii="Arial" w:hAnsi="Arial" w:cs="Arial"/>
          <w:sz w:val="20"/>
          <w:szCs w:val="20"/>
          <w:shd w:val="clear" w:color="auto" w:fill="FFFFFF"/>
        </w:rPr>
        <w:t>tsfresh</w:t>
      </w:r>
      <w:proofErr w:type="spellEnd"/>
      <w:r w:rsidRPr="0066788D">
        <w:rPr>
          <w:rFonts w:ascii="Arial" w:hAnsi="Arial" w:cs="Arial"/>
          <w:sz w:val="20"/>
          <w:szCs w:val="20"/>
          <w:shd w:val="clear" w:color="auto" w:fill="FFFFFF"/>
        </w:rPr>
        <w:t xml:space="preserve"> descriptors and passed them through fully connected layers. The outputs of the temporal and tabular branches were concatenated and passed through additional dense layers, followed by a sigmoid output layer that estimated the probability of flood impact.</w:t>
      </w:r>
    </w:p>
    <w:p w14:paraId="4EB37052" w14:textId="77777777" w:rsidR="00231C0D" w:rsidRPr="0066788D" w:rsidRDefault="00231C0D" w:rsidP="00231C0D">
      <w:pPr>
        <w:pBdr>
          <w:top w:val="nil"/>
          <w:left w:val="nil"/>
          <w:bottom w:val="nil"/>
          <w:right w:val="nil"/>
          <w:between w:val="nil"/>
        </w:pBdr>
        <w:adjustRightInd w:val="0"/>
        <w:snapToGrid w:val="0"/>
        <w:spacing w:line="480" w:lineRule="auto"/>
        <w:rPr>
          <w:rFonts w:ascii="Arial" w:hAnsi="Arial" w:cs="Arial"/>
          <w:sz w:val="20"/>
          <w:szCs w:val="20"/>
          <w:shd w:val="clear" w:color="auto" w:fill="FFFFFF"/>
        </w:rPr>
      </w:pPr>
      <w:r w:rsidRPr="0066788D">
        <w:rPr>
          <w:rFonts w:ascii="Arial" w:hAnsi="Arial" w:cs="Arial"/>
          <w:sz w:val="20"/>
          <w:szCs w:val="20"/>
          <w:shd w:val="clear" w:color="auto" w:fill="FFFFFF"/>
        </w:rPr>
        <w:t>The neural network was trained using the Adam optimizer with a learning rate of 0.001, binary cross-entropy loss, a batch size of 32, and a maximum of 100 epochs. Early stopping was applied based on validation PR-AUC, and the best weights were restored after training. A learning-rate reduction strategy was also applied when validation PR-AUC stopped improving.</w:t>
      </w:r>
    </w:p>
    <w:p w14:paraId="54E8CC5C" w14:textId="4DC385DE"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1.4 Calibrated GBDT component</w:t>
      </w:r>
    </w:p>
    <w:p w14:paraId="01F4C5B5"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 xml:space="preserve">A calibrated gradient boosting classifier was trained as a complementary model to capture stable statistical patterns in the tabular features. The GBDT input combined the standardized </w:t>
      </w:r>
      <w:proofErr w:type="spellStart"/>
      <w:r w:rsidRPr="0066788D">
        <w:rPr>
          <w:rFonts w:ascii="Arial" w:hAnsi="Arial" w:cs="Arial"/>
          <w:sz w:val="20"/>
          <w:szCs w:val="20"/>
          <w:shd w:val="clear" w:color="auto" w:fill="FFFFFF"/>
        </w:rPr>
        <w:t>tsfresh</w:t>
      </w:r>
      <w:proofErr w:type="spellEnd"/>
      <w:r w:rsidRPr="0066788D">
        <w:rPr>
          <w:rFonts w:ascii="Arial" w:hAnsi="Arial" w:cs="Arial"/>
          <w:sz w:val="20"/>
          <w:szCs w:val="20"/>
          <w:shd w:val="clear" w:color="auto" w:fill="FFFFFF"/>
        </w:rPr>
        <w:t xml:space="preserve"> descriptors with six additional summary statistics calculated from the NTL sequence: mean, standard deviation, minimum, maximum, last observed value, and linear trend slope. The classifier was implemented using a histogram-based gradient boosting model and calibrated using isotonic probability calibration. This produced an independent calibrated probability estimate for each pixel-event sample.</w:t>
      </w:r>
    </w:p>
    <w:p w14:paraId="265173E4" w14:textId="739C35D3"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1.5 Class imbalance handling</w:t>
      </w:r>
    </w:p>
    <w:p w14:paraId="1DD7C215"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Class imbalance was addressed using both resampling and weighting. In the neural-network training data, positive samples were oversampled to three times their original size through random sampling with replacement. Balanced class weights were then computed from the training labels and used during model fitting. For the GBDT component, sample weights were computed inversely proportional to class frequency, and the positive-class weight was further multiplied by 1.15. This combination was used to reduce the dominance of the majority unaffected class while maintaining sensitivity to flood-affected pixels.</w:t>
      </w:r>
    </w:p>
    <w:p w14:paraId="793D5859" w14:textId="2D40B963" w:rsidR="00231C0D" w:rsidRPr="00231C0D" w:rsidRDefault="004F4746"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1.6 Probability fusion and cascade decision rule</w:t>
      </w:r>
    </w:p>
    <w:p w14:paraId="41733B6E" w14:textId="77777777" w:rsidR="00231C0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 xml:space="preserve">The neural network and calibrated GBDT produced two probability </w:t>
      </w:r>
      <w:proofErr w:type="gramStart"/>
      <w:r w:rsidRPr="0066788D">
        <w:rPr>
          <w:rFonts w:ascii="Arial" w:hAnsi="Arial" w:cs="Arial"/>
          <w:sz w:val="20"/>
          <w:szCs w:val="20"/>
          <w:shd w:val="clear" w:color="auto" w:fill="FFFFFF"/>
        </w:rPr>
        <w:t>estimates</w:t>
      </w:r>
      <w:proofErr w:type="gramEnd"/>
      <w:r w:rsidRPr="0066788D">
        <w:rPr>
          <w:rFonts w:ascii="Arial" w:hAnsi="Arial" w:cs="Arial"/>
          <w:sz w:val="20"/>
          <w:szCs w:val="20"/>
          <w:shd w:val="clear" w:color="auto" w:fill="FFFFFF"/>
        </w:rPr>
        <w:t xml:space="preserve"> for each </w:t>
      </w:r>
      <w:r w:rsidRPr="0066788D">
        <w:rPr>
          <w:rFonts w:ascii="Arial" w:hAnsi="Arial" w:cs="Arial"/>
          <w:sz w:val="20"/>
          <w:szCs w:val="20"/>
          <w:shd w:val="clear" w:color="auto" w:fill="FFFFFF"/>
        </w:rPr>
        <w:lastRenderedPageBreak/>
        <w:t>pixel-event sample. These were fused using weighted probability integration:</w:t>
      </w:r>
    </w:p>
    <w:tbl>
      <w:tblPr>
        <w:tblStyle w:val="ae"/>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88"/>
        <w:gridCol w:w="1208"/>
      </w:tblGrid>
      <w:tr w:rsidR="00231C0D" w14:paraId="10A8B806" w14:textId="77777777" w:rsidTr="00231C0D">
        <w:tc>
          <w:tcPr>
            <w:tcW w:w="7088" w:type="dxa"/>
          </w:tcPr>
          <w:p w14:paraId="69CF2A53" w14:textId="6085C648" w:rsidR="00231C0D" w:rsidRDefault="00000000" w:rsidP="00231C0D">
            <w:pPr>
              <w:adjustRightInd w:val="0"/>
              <w:snapToGrid w:val="0"/>
              <w:spacing w:line="480" w:lineRule="auto"/>
              <w:rPr>
                <w:rFonts w:ascii="Arial" w:hAnsi="Arial" w:cs="Arial"/>
                <w:sz w:val="20"/>
                <w:szCs w:val="20"/>
                <w:shd w:val="clear" w:color="auto" w:fill="FFFFFF"/>
              </w:rPr>
            </w:pPr>
            <m:oMathPara>
              <m:oMath>
                <m:sSub>
                  <m:sSubPr>
                    <m:ctrlPr>
                      <w:rPr>
                        <w:rFonts w:ascii="Cambria Math" w:eastAsia="宋体" w:hAnsi="Cambria Math" w:cs="Arial"/>
                        <w:i/>
                      </w:rPr>
                    </m:ctrlPr>
                  </m:sSubPr>
                  <m:e>
                    <m:r>
                      <w:rPr>
                        <w:rFonts w:ascii="Cambria Math" w:hAnsi="Cambria Math" w:cs="Arial"/>
                      </w:rPr>
                      <m:t>p</m:t>
                    </m:r>
                  </m:e>
                  <m:sub>
                    <m:r>
                      <w:rPr>
                        <w:rFonts w:ascii="Cambria Math" w:hAnsi="Cambria Math" w:cs="Arial"/>
                      </w:rPr>
                      <m:t>blend</m:t>
                    </m:r>
                  </m:sub>
                </m:sSub>
                <m:r>
                  <w:rPr>
                    <w:rFonts w:ascii="Cambria Math" w:hAnsi="Cambria Math" w:cs="Arial"/>
                  </w:rPr>
                  <m:t>=</m:t>
                </m:r>
                <m:d>
                  <m:dPr>
                    <m:ctrlPr>
                      <w:rPr>
                        <w:rFonts w:ascii="Cambria Math" w:hAnsi="Cambria Math" w:cs="Arial"/>
                        <w:i/>
                      </w:rPr>
                    </m:ctrlPr>
                  </m:dPr>
                  <m:e>
                    <m:r>
                      <w:rPr>
                        <w:rFonts w:ascii="Cambria Math" w:hAnsi="Cambria Math" w:cs="Arial"/>
                      </w:rPr>
                      <m:t>1-w</m:t>
                    </m:r>
                  </m:e>
                </m:d>
                <m:sSub>
                  <m:sSubPr>
                    <m:ctrlPr>
                      <w:rPr>
                        <w:rFonts w:ascii="Cambria Math" w:eastAsia="宋体" w:hAnsi="Cambria Math" w:cs="Arial"/>
                        <w:i/>
                      </w:rPr>
                    </m:ctrlPr>
                  </m:sSubPr>
                  <m:e>
                    <m:r>
                      <w:rPr>
                        <w:rFonts w:ascii="Cambria Math" w:hAnsi="Cambria Math" w:cs="Arial"/>
                      </w:rPr>
                      <m:t>p</m:t>
                    </m:r>
                  </m:e>
                  <m:sub>
                    <m:r>
                      <w:rPr>
                        <w:rFonts w:ascii="Cambria Math" w:hAnsi="Cambria Math" w:cs="Arial"/>
                      </w:rPr>
                      <m:t>NN</m:t>
                    </m:r>
                  </m:sub>
                </m:sSub>
                <m:r>
                  <w:rPr>
                    <w:rFonts w:ascii="Cambria Math" w:hAnsi="Cambria Math" w:cs="Arial"/>
                  </w:rPr>
                  <m:t>+w</m:t>
                </m:r>
                <m:sSub>
                  <m:sSubPr>
                    <m:ctrlPr>
                      <w:rPr>
                        <w:rFonts w:ascii="Cambria Math" w:eastAsia="宋体" w:hAnsi="Cambria Math" w:cs="Arial"/>
                        <w:i/>
                      </w:rPr>
                    </m:ctrlPr>
                  </m:sSubPr>
                  <m:e>
                    <m:r>
                      <w:rPr>
                        <w:rFonts w:ascii="Cambria Math" w:hAnsi="Cambria Math" w:cs="Arial"/>
                      </w:rPr>
                      <m:t>p</m:t>
                    </m:r>
                  </m:e>
                  <m:sub>
                    <m:r>
                      <w:rPr>
                        <w:rFonts w:ascii="Cambria Math" w:hAnsi="Cambria Math" w:cs="Arial"/>
                      </w:rPr>
                      <m:t>GBDT</m:t>
                    </m:r>
                  </m:sub>
                </m:sSub>
              </m:oMath>
            </m:oMathPara>
          </w:p>
        </w:tc>
        <w:tc>
          <w:tcPr>
            <w:tcW w:w="1208" w:type="dxa"/>
          </w:tcPr>
          <w:p w14:paraId="4B979129" w14:textId="18B3BA1C" w:rsidR="00231C0D" w:rsidRDefault="00231C0D" w:rsidP="00231C0D">
            <w:pPr>
              <w:keepNext/>
              <w:adjustRightInd w:val="0"/>
              <w:snapToGrid w:val="0"/>
              <w:spacing w:line="480" w:lineRule="auto"/>
              <w:rPr>
                <w:rFonts w:ascii="Arial" w:hAnsi="Arial" w:cs="Arial"/>
                <w:sz w:val="20"/>
                <w:szCs w:val="20"/>
                <w:shd w:val="clear" w:color="auto" w:fill="FFFFFF"/>
              </w:rPr>
            </w:pPr>
            <w:r>
              <w:rPr>
                <w:rFonts w:ascii="Arial" w:hAnsi="Arial" w:cs="Arial" w:hint="eastAsia"/>
                <w:sz w:val="20"/>
                <w:szCs w:val="20"/>
                <w:shd w:val="clear" w:color="auto" w:fill="FFFFFF"/>
              </w:rPr>
              <w:t>(Eq. S1)</w:t>
            </w:r>
          </w:p>
        </w:tc>
      </w:tr>
    </w:tbl>
    <w:p w14:paraId="476BE152" w14:textId="77777777" w:rsidR="00231C0D" w:rsidRPr="0066788D" w:rsidRDefault="00231C0D" w:rsidP="00231C0D">
      <w:pPr>
        <w:pBdr>
          <w:top w:val="nil"/>
          <w:left w:val="nil"/>
          <w:bottom w:val="nil"/>
          <w:right w:val="nil"/>
          <w:between w:val="nil"/>
        </w:pBdr>
        <w:adjustRightInd w:val="0"/>
        <w:snapToGrid w:val="0"/>
        <w:spacing w:line="480" w:lineRule="auto"/>
        <w:rPr>
          <w:rFonts w:ascii="Arial" w:hAnsi="Arial" w:cs="Arial"/>
          <w:sz w:val="20"/>
          <w:szCs w:val="20"/>
          <w:shd w:val="clear" w:color="auto" w:fill="FFFFFF"/>
        </w:rPr>
      </w:pPr>
      <w:r w:rsidRPr="00045FD4">
        <w:rPr>
          <w:rFonts w:ascii="Arial" w:hAnsi="Arial" w:cs="Arial"/>
          <w:sz w:val="20"/>
          <w:szCs w:val="20"/>
        </w:rPr>
        <w:t xml:space="preserve">where </w:t>
      </w:r>
      <m:oMath>
        <m:sSub>
          <m:sSubPr>
            <m:ctrlPr>
              <w:rPr>
                <w:rFonts w:ascii="Cambria Math" w:eastAsia="宋体" w:hAnsi="Cambria Math" w:cs="Arial"/>
                <w:i/>
                <w:kern w:val="0"/>
                <w:sz w:val="22"/>
              </w:rPr>
            </m:ctrlPr>
          </m:sSubPr>
          <m:e>
            <m:r>
              <w:rPr>
                <w:rFonts w:ascii="Cambria Math" w:hAnsi="Cambria Math" w:cs="Arial"/>
                <w:sz w:val="22"/>
              </w:rPr>
              <m:t>p</m:t>
            </m:r>
          </m:e>
          <m:sub>
            <m:r>
              <w:rPr>
                <w:rFonts w:ascii="Cambria Math" w:hAnsi="Cambria Math" w:cs="Arial"/>
                <w:sz w:val="22"/>
              </w:rPr>
              <m:t>NN</m:t>
            </m:r>
          </m:sub>
        </m:sSub>
      </m:oMath>
      <w:r w:rsidRPr="00045FD4">
        <w:rPr>
          <w:rFonts w:ascii="Arial" w:hAnsi="Arial" w:cs="Arial"/>
          <w:sz w:val="20"/>
          <w:szCs w:val="20"/>
        </w:rPr>
        <w:t xml:space="preserve"> and </w:t>
      </w:r>
      <m:oMath>
        <m:sSub>
          <m:sSubPr>
            <m:ctrlPr>
              <w:rPr>
                <w:rFonts w:ascii="Cambria Math" w:eastAsia="宋体" w:hAnsi="Cambria Math" w:cs="Arial"/>
                <w:i/>
                <w:kern w:val="0"/>
                <w:sz w:val="22"/>
              </w:rPr>
            </m:ctrlPr>
          </m:sSubPr>
          <m:e>
            <m:r>
              <w:rPr>
                <w:rFonts w:ascii="Cambria Math" w:hAnsi="Cambria Math" w:cs="Arial"/>
                <w:sz w:val="22"/>
              </w:rPr>
              <m:t>p</m:t>
            </m:r>
          </m:e>
          <m:sub>
            <m:r>
              <w:rPr>
                <w:rFonts w:ascii="Cambria Math" w:hAnsi="Cambria Math" w:cs="Arial"/>
                <w:sz w:val="22"/>
              </w:rPr>
              <m:t>GBDT</m:t>
            </m:r>
          </m:sub>
        </m:sSub>
      </m:oMath>
      <w:r w:rsidRPr="00045FD4">
        <w:rPr>
          <w:rFonts w:ascii="Arial" w:hAnsi="Arial" w:cs="Arial"/>
          <w:sz w:val="20"/>
          <w:szCs w:val="20"/>
        </w:rPr>
        <w:t xml:space="preserve"> denote the probabilities estimated by the neural network and GBDT classifier, respectively. In the final model, </w:t>
      </w:r>
      <m:oMath>
        <m:r>
          <w:rPr>
            <w:rFonts w:ascii="Cambria Math" w:hAnsi="Cambria Math" w:cs="Arial"/>
            <w:sz w:val="22"/>
          </w:rPr>
          <m:t>w</m:t>
        </m:r>
        <m:r>
          <w:rPr>
            <w:rFonts w:ascii="Cambria Math" w:hAnsi="Cambria Math" w:cs="Arial"/>
            <w:sz w:val="20"/>
            <w:szCs w:val="20"/>
          </w:rPr>
          <m:t>=0.5</m:t>
        </m:r>
      </m:oMath>
      <w:r w:rsidRPr="00045FD4">
        <w:rPr>
          <w:rFonts w:ascii="Arial" w:hAnsi="Arial" w:cs="Arial"/>
          <w:sz w:val="20"/>
          <w:szCs w:val="20"/>
        </w:rPr>
        <w:t xml:space="preserve">. </w:t>
      </w:r>
      <w:r w:rsidRPr="0066788D">
        <w:rPr>
          <w:rFonts w:ascii="Arial" w:hAnsi="Arial" w:cs="Arial"/>
          <w:sz w:val="20"/>
          <w:szCs w:val="20"/>
          <w:shd w:val="clear" w:color="auto" w:fill="FFFFFF"/>
        </w:rPr>
        <w:t>A cascade rule was then applied. Samples with</w:t>
      </w:r>
      <w:r>
        <w:rPr>
          <w:rFonts w:ascii="Arial" w:hAnsi="Arial" w:cs="Arial" w:hint="eastAsia"/>
          <w:sz w:val="20"/>
          <w:szCs w:val="20"/>
          <w:shd w:val="clear" w:color="auto" w:fill="FFFFFF"/>
        </w:rPr>
        <w:t xml:space="preserve"> </w:t>
      </w:r>
      <m:oMath>
        <m:sSub>
          <m:sSubPr>
            <m:ctrlPr>
              <w:rPr>
                <w:rFonts w:ascii="Cambria Math" w:eastAsia="宋体" w:hAnsi="Cambria Math" w:cs="Arial"/>
                <w:i/>
                <w:kern w:val="0"/>
                <w:sz w:val="22"/>
              </w:rPr>
            </m:ctrlPr>
          </m:sSubPr>
          <m:e>
            <m:r>
              <w:rPr>
                <w:rFonts w:ascii="Cambria Math" w:hAnsi="Cambria Math" w:cs="Arial"/>
                <w:sz w:val="22"/>
              </w:rPr>
              <m:t>p</m:t>
            </m:r>
          </m:e>
          <m:sub>
            <m:r>
              <w:rPr>
                <w:rFonts w:ascii="Cambria Math" w:hAnsi="Cambria Math" w:cs="Arial"/>
                <w:sz w:val="22"/>
              </w:rPr>
              <m:t>GBDT</m:t>
            </m:r>
          </m:sub>
        </m:sSub>
      </m:oMath>
      <w:r>
        <w:rPr>
          <w:rFonts w:ascii="Arial" w:hAnsi="Arial" w:cs="Arial" w:hint="eastAsia"/>
          <w:sz w:val="20"/>
          <w:szCs w:val="20"/>
          <w:shd w:val="clear" w:color="auto" w:fill="FFFFFF"/>
        </w:rPr>
        <w:t xml:space="preserve"> </w:t>
      </w:r>
      <w:r w:rsidRPr="0066788D">
        <w:rPr>
          <w:rFonts w:ascii="Arial" w:hAnsi="Arial" w:cs="Arial"/>
          <w:sz w:val="20"/>
          <w:szCs w:val="20"/>
          <w:shd w:val="clear" w:color="auto" w:fill="FFFFFF"/>
        </w:rPr>
        <w:t xml:space="preserve">below a low screening threshold were classified as unaffected. For the remaining samples, the final prediction was determined by comparing </w:t>
      </w:r>
      <m:oMath>
        <m:sSub>
          <m:sSubPr>
            <m:ctrlPr>
              <w:rPr>
                <w:rFonts w:ascii="Cambria Math" w:eastAsia="宋体" w:hAnsi="Cambria Math" w:cs="Arial"/>
                <w:i/>
                <w:kern w:val="0"/>
                <w:sz w:val="22"/>
              </w:rPr>
            </m:ctrlPr>
          </m:sSubPr>
          <m:e>
            <m:r>
              <w:rPr>
                <w:rFonts w:ascii="Cambria Math" w:hAnsi="Cambria Math" w:cs="Arial"/>
                <w:sz w:val="22"/>
              </w:rPr>
              <m:t>p</m:t>
            </m:r>
          </m:e>
          <m:sub>
            <m:r>
              <w:rPr>
                <w:rFonts w:ascii="Cambria Math" w:hAnsi="Cambria Math" w:cs="Arial"/>
                <w:sz w:val="22"/>
              </w:rPr>
              <m:t>blend</m:t>
            </m:r>
          </m:sub>
        </m:sSub>
      </m:oMath>
      <w:r w:rsidRPr="0066788D">
        <w:rPr>
          <w:rFonts w:ascii="Arial" w:hAnsi="Arial" w:cs="Arial"/>
          <w:sz w:val="20"/>
          <w:szCs w:val="20"/>
          <w:shd w:val="clear" w:color="auto" w:fill="FFFFFF"/>
        </w:rPr>
        <w:t xml:space="preserve"> with the final classification threshold. Both thresholds were selected on the validation set through grid search.</w:t>
      </w:r>
    </w:p>
    <w:p w14:paraId="10AFE8B9" w14:textId="6EAB1C22" w:rsidR="00231C0D" w:rsidRPr="00231C0D" w:rsidRDefault="00260D5F" w:rsidP="00231C0D">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sidRPr="00231C0D">
        <w:rPr>
          <w:rFonts w:ascii="Arial" w:hAnsi="Arial" w:cs="Arial"/>
          <w:b/>
          <w:color w:val="000000"/>
          <w:szCs w:val="21"/>
        </w:rPr>
        <w:t>1.7 Data splitting and leakage assessment</w:t>
      </w:r>
    </w:p>
    <w:p w14:paraId="477FC431" w14:textId="77777777" w:rsidR="00231C0D" w:rsidRPr="0066788D" w:rsidRDefault="00231C0D" w:rsidP="00231C0D">
      <w:pPr>
        <w:pBdr>
          <w:top w:val="nil"/>
          <w:left w:val="nil"/>
          <w:bottom w:val="nil"/>
          <w:right w:val="nil"/>
          <w:between w:val="nil"/>
        </w:pBdr>
        <w:adjustRightInd w:val="0"/>
        <w:snapToGrid w:val="0"/>
        <w:spacing w:line="480" w:lineRule="auto"/>
        <w:ind w:firstLine="420"/>
        <w:rPr>
          <w:rFonts w:ascii="Arial" w:hAnsi="Arial" w:cs="Arial"/>
          <w:sz w:val="20"/>
          <w:szCs w:val="20"/>
          <w:shd w:val="clear" w:color="auto" w:fill="FFFFFF"/>
        </w:rPr>
      </w:pPr>
      <w:r w:rsidRPr="0066788D">
        <w:rPr>
          <w:rFonts w:ascii="Arial" w:hAnsi="Arial" w:cs="Arial"/>
          <w:sz w:val="20"/>
          <w:szCs w:val="20"/>
          <w:shd w:val="clear" w:color="auto" w:fill="FFFFFF"/>
        </w:rPr>
        <w:t>The primary reported model performance was based on a stratified pixel-event-level split. First, 30% of the labelled samples were reserved as the test set. Then, 20% of the remaining training samples were used as the validation set. Stratification preserved the class ratio across training, validation, and test subsets.</w:t>
      </w:r>
    </w:p>
    <w:p w14:paraId="0B96747B" w14:textId="77777777" w:rsidR="00231C0D" w:rsidRDefault="00231C0D" w:rsidP="00231C0D">
      <w:pPr>
        <w:pBdr>
          <w:top w:val="nil"/>
          <w:left w:val="nil"/>
          <w:bottom w:val="nil"/>
          <w:right w:val="nil"/>
          <w:between w:val="nil"/>
        </w:pBdr>
        <w:adjustRightInd w:val="0"/>
        <w:snapToGrid w:val="0"/>
        <w:spacing w:line="480" w:lineRule="auto"/>
        <w:ind w:firstLine="360"/>
        <w:rPr>
          <w:rFonts w:ascii="Arial" w:hAnsi="Arial" w:cs="Arial"/>
          <w:sz w:val="20"/>
          <w:szCs w:val="20"/>
        </w:rPr>
      </w:pPr>
      <w:r w:rsidRPr="0066788D">
        <w:rPr>
          <w:rFonts w:ascii="Arial" w:hAnsi="Arial" w:cs="Arial"/>
          <w:sz w:val="20"/>
          <w:szCs w:val="20"/>
          <w:shd w:val="clear" w:color="auto" w:fill="FFFFFF"/>
        </w:rPr>
        <w:t xml:space="preserve">Because pixel-event samples from the same flood event or nearby pixels may share similar temporal and spatial characteristics, a random pixel-event split may not fully eliminate event-level or spatial dependence. To address this concern, an additional event-level held-out validation was conducted. In this stricter validation, all samples from selected flood events were excluded from training and used only for testing. </w:t>
      </w:r>
      <w:r w:rsidRPr="003B2C36">
        <w:rPr>
          <w:rFonts w:ascii="Arial" w:hAnsi="Arial" w:cs="Arial"/>
          <w:sz w:val="20"/>
          <w:szCs w:val="20"/>
        </w:rPr>
        <w:t xml:space="preserve">This validation included </w:t>
      </w:r>
      <w:r>
        <w:rPr>
          <w:rFonts w:ascii="Arial" w:hAnsi="Arial" w:cs="Arial" w:hint="eastAsia"/>
          <w:sz w:val="20"/>
          <w:szCs w:val="20"/>
        </w:rPr>
        <w:t>5</w:t>
      </w:r>
      <w:r w:rsidRPr="003B2C36">
        <w:rPr>
          <w:rFonts w:ascii="Arial" w:hAnsi="Arial" w:cs="Arial"/>
          <w:sz w:val="20"/>
          <w:szCs w:val="20"/>
        </w:rPr>
        <w:t xml:space="preserve"> events and </w:t>
      </w:r>
      <w:r>
        <w:rPr>
          <w:rFonts w:ascii="Arial" w:hAnsi="Arial" w:cs="Arial" w:hint="eastAsia"/>
          <w:sz w:val="20"/>
          <w:szCs w:val="20"/>
        </w:rPr>
        <w:t>300</w:t>
      </w:r>
      <w:r w:rsidRPr="003B2C36">
        <w:rPr>
          <w:rFonts w:ascii="Arial" w:hAnsi="Arial" w:cs="Arial"/>
          <w:sz w:val="20"/>
          <w:szCs w:val="20"/>
        </w:rPr>
        <w:t xml:space="preserve"> pixel-event samples, and</w:t>
      </w:r>
      <w:r>
        <w:rPr>
          <w:rFonts w:ascii="Arial" w:hAnsi="Arial" w:cs="Arial" w:hint="eastAsia"/>
          <w:sz w:val="20"/>
          <w:szCs w:val="20"/>
        </w:rPr>
        <w:t xml:space="preserve"> the</w:t>
      </w:r>
      <w:r w:rsidRPr="007D72D6">
        <w:rPr>
          <w:rFonts w:ascii="Arial" w:hAnsi="Arial" w:cs="Arial"/>
          <w:sz w:val="20"/>
          <w:szCs w:val="20"/>
        </w:rPr>
        <w:t xml:space="preserve"> model achieved an accuracy of 87.0%, with 79.8% precision, 80.6% recall, and an F1-score of 80.2% for affected pixels.</w:t>
      </w:r>
    </w:p>
    <w:p w14:paraId="0A87318D" w14:textId="77777777" w:rsidR="00231C0D" w:rsidRPr="0066788D" w:rsidRDefault="00231C0D" w:rsidP="00231C0D">
      <w:pPr>
        <w:pBdr>
          <w:top w:val="nil"/>
          <w:left w:val="nil"/>
          <w:bottom w:val="nil"/>
          <w:right w:val="nil"/>
          <w:between w:val="nil"/>
        </w:pBdr>
        <w:adjustRightInd w:val="0"/>
        <w:snapToGrid w:val="0"/>
        <w:spacing w:line="480" w:lineRule="auto"/>
        <w:rPr>
          <w:rFonts w:ascii="Arial" w:hAnsi="Arial" w:cs="Arial"/>
          <w:sz w:val="20"/>
          <w:szCs w:val="20"/>
          <w:shd w:val="clear" w:color="auto" w:fill="FFFFFF"/>
        </w:rPr>
      </w:pPr>
    </w:p>
    <w:p w14:paraId="771D4A03" w14:textId="6EE0C9D7" w:rsidR="00AC52E6" w:rsidRPr="003C143D" w:rsidRDefault="00260D5F" w:rsidP="003C143D">
      <w:pPr>
        <w:pBdr>
          <w:top w:val="nil"/>
          <w:left w:val="nil"/>
          <w:bottom w:val="nil"/>
          <w:right w:val="nil"/>
          <w:between w:val="nil"/>
        </w:pBdr>
        <w:adjustRightInd w:val="0"/>
        <w:snapToGrid w:val="0"/>
        <w:spacing w:line="480" w:lineRule="auto"/>
        <w:contextualSpacing/>
        <w:outlineLvl w:val="1"/>
        <w:rPr>
          <w:rFonts w:ascii="Arial" w:hAnsi="Arial" w:cs="Arial"/>
          <w:b/>
          <w:color w:val="000000"/>
          <w:szCs w:val="21"/>
        </w:rPr>
      </w:pPr>
      <w:r>
        <w:rPr>
          <w:rFonts w:ascii="Arial" w:hAnsi="Arial" w:cs="Arial" w:hint="eastAsia"/>
          <w:b/>
          <w:color w:val="000000"/>
          <w:szCs w:val="21"/>
        </w:rPr>
        <w:t>S</w:t>
      </w:r>
      <w:r w:rsidR="00231C0D">
        <w:rPr>
          <w:rFonts w:ascii="Arial" w:hAnsi="Arial" w:cs="Arial" w:hint="eastAsia"/>
          <w:b/>
          <w:color w:val="000000"/>
          <w:szCs w:val="21"/>
        </w:rPr>
        <w:t>2</w:t>
      </w:r>
      <w:r w:rsidR="003C143D" w:rsidRPr="003C143D">
        <w:rPr>
          <w:rFonts w:ascii="Arial" w:hAnsi="Arial" w:cs="Arial" w:hint="eastAsia"/>
          <w:b/>
          <w:color w:val="000000"/>
          <w:szCs w:val="21"/>
        </w:rPr>
        <w:t>.</w:t>
      </w:r>
      <w:r w:rsidR="003C143D">
        <w:rPr>
          <w:rFonts w:ascii="Arial" w:hAnsi="Arial" w:cs="Arial" w:hint="eastAsia"/>
          <w:b/>
          <w:color w:val="000000"/>
          <w:szCs w:val="21"/>
        </w:rPr>
        <w:t xml:space="preserve"> </w:t>
      </w:r>
      <w:r w:rsidR="00AC52E6" w:rsidRPr="003C143D">
        <w:rPr>
          <w:rFonts w:ascii="Arial" w:hAnsi="Arial" w:cs="Arial" w:hint="eastAsia"/>
          <w:b/>
          <w:color w:val="000000"/>
          <w:szCs w:val="21"/>
        </w:rPr>
        <w:t>Robustness checks for the counterfactual GAM baseline</w:t>
      </w:r>
    </w:p>
    <w:p w14:paraId="45C59D00" w14:textId="34AFA599" w:rsidR="00AC52E6" w:rsidRDefault="00AC52E6" w:rsidP="00AC52E6">
      <w:pPr>
        <w:pBdr>
          <w:top w:val="nil"/>
          <w:left w:val="nil"/>
          <w:bottom w:val="nil"/>
          <w:right w:val="nil"/>
          <w:between w:val="nil"/>
        </w:pBdr>
        <w:adjustRightInd w:val="0"/>
        <w:snapToGrid w:val="0"/>
        <w:spacing w:line="480" w:lineRule="auto"/>
        <w:ind w:firstLine="360"/>
        <w:rPr>
          <w:rFonts w:ascii="Arial" w:hAnsi="Arial" w:cs="Arial"/>
          <w:sz w:val="20"/>
          <w:szCs w:val="20"/>
          <w:shd w:val="clear" w:color="auto" w:fill="FFFFFF"/>
        </w:rPr>
      </w:pPr>
      <w:r w:rsidRPr="00AC52E6">
        <w:rPr>
          <w:rFonts w:ascii="Arial" w:hAnsi="Arial" w:cs="Arial"/>
          <w:sz w:val="20"/>
          <w:szCs w:val="20"/>
          <w:shd w:val="clear" w:color="auto" w:fill="FFFFFF"/>
        </w:rPr>
        <w:t>To verify that the loss anomaly reported in Section 3.1 is not driven by the specific 12-month independence threshold or by misspecification of the baseline model, we performed three diagnostic checks.</w:t>
      </w:r>
    </w:p>
    <w:p w14:paraId="05CE92F0" w14:textId="1B7FD332" w:rsidR="00AC52E6" w:rsidRPr="001A4E3F" w:rsidRDefault="00260D5F" w:rsidP="001A4E3F">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Pr>
          <w:rFonts w:ascii="Arial" w:hAnsi="Arial" w:cs="Arial" w:hint="eastAsia"/>
          <w:b/>
          <w:color w:val="000000"/>
          <w:szCs w:val="21"/>
        </w:rPr>
        <w:t>2</w:t>
      </w:r>
      <w:r w:rsidR="00AC52E6" w:rsidRPr="001A4E3F">
        <w:rPr>
          <w:rFonts w:ascii="Arial" w:hAnsi="Arial" w:cs="Arial" w:hint="eastAsia"/>
          <w:b/>
          <w:color w:val="000000"/>
          <w:szCs w:val="21"/>
        </w:rPr>
        <w:t>.1</w:t>
      </w:r>
      <w:r w:rsidR="001A4E3F" w:rsidRPr="001A4E3F">
        <w:rPr>
          <w:rFonts w:hint="eastAsia"/>
        </w:rPr>
        <w:t xml:space="preserve"> </w:t>
      </w:r>
      <w:r w:rsidR="001A4E3F" w:rsidRPr="001A4E3F">
        <w:rPr>
          <w:rFonts w:ascii="Arial" w:hAnsi="Arial" w:cs="Arial" w:hint="eastAsia"/>
          <w:b/>
          <w:color w:val="000000"/>
          <w:szCs w:val="21"/>
        </w:rPr>
        <w:t>Sensitivity to the independence threshold</w:t>
      </w:r>
    </w:p>
    <w:p w14:paraId="2794B6DD" w14:textId="3D5E3D42" w:rsidR="00AC52E6" w:rsidRDefault="003751EC" w:rsidP="00AC52E6">
      <w:pPr>
        <w:pBdr>
          <w:top w:val="nil"/>
          <w:left w:val="nil"/>
          <w:bottom w:val="nil"/>
          <w:right w:val="nil"/>
          <w:between w:val="nil"/>
        </w:pBdr>
        <w:adjustRightInd w:val="0"/>
        <w:snapToGrid w:val="0"/>
        <w:spacing w:line="480" w:lineRule="auto"/>
        <w:ind w:firstLine="360"/>
        <w:rPr>
          <w:rFonts w:ascii="Arial" w:hAnsi="Arial" w:cs="Arial"/>
          <w:sz w:val="20"/>
          <w:szCs w:val="20"/>
          <w:shd w:val="clear" w:color="auto" w:fill="FFFFFF"/>
          <w:lang w:val="en-GB"/>
        </w:rPr>
      </w:pPr>
      <w:r w:rsidRPr="003751EC">
        <w:rPr>
          <w:rFonts w:ascii="Arial" w:hAnsi="Arial" w:cs="Arial" w:hint="eastAsia"/>
          <w:sz w:val="20"/>
          <w:szCs w:val="20"/>
          <w:shd w:val="clear" w:color="auto" w:fill="FFFFFF"/>
        </w:rPr>
        <w:t>We re-estimated the entire counterfactual GAM pipeline at three alternative independence thresholds (9, 15, and 18 months), following the identical event-sequencing rule and model specification as the published 12-month version. Deviance explained is stable across thresholds (9 months=53.6%, 12 months=56.6%, 15 months=53.8%, 18 months=53.4%). On the 238 counties common to all four thresholds, the Spearman rank correlation of the county-</w:t>
      </w:r>
      <w:r w:rsidRPr="003751EC">
        <w:rPr>
          <w:rFonts w:ascii="Arial" w:hAnsi="Arial" w:cs="Arial" w:hint="eastAsia"/>
          <w:sz w:val="20"/>
          <w:szCs w:val="20"/>
          <w:shd w:val="clear" w:color="auto" w:fill="FFFFFF"/>
        </w:rPr>
        <w:lastRenderedPageBreak/>
        <w:t>level log-anomaly is 0.93 (9 vs 12 months), 0.91 (12 vs 15 months), and 0.89 (12 vs 18 months). Figure S1 shows how the counties classified as Vulnerable, Neutral, or Resilient at 12 months redistribute under the three alternative thresholds: 96%/89%/87% of Vulnerable counties at 12 months remain Vulnerable at 9, 15, and 18 months, respectively; the corresponding retention rates for Resilient counties are 80%/90%/90%. Only 3 (9 months), 8 (15 months), and 9 (18 months) of 238 counties undergo a full Vulnerable</w:t>
      </w:r>
      <w:r w:rsidRPr="003751EC">
        <w:rPr>
          <w:rFonts w:ascii="Arial" w:hAnsi="Arial" w:cs="Arial" w:hint="eastAsia"/>
          <w:sz w:val="20"/>
          <w:szCs w:val="20"/>
          <w:shd w:val="clear" w:color="auto" w:fill="FFFFFF"/>
        </w:rPr>
        <w:t>–</w:t>
      </w:r>
      <w:r w:rsidRPr="003751EC">
        <w:rPr>
          <w:rFonts w:ascii="Arial" w:hAnsi="Arial" w:cs="Arial" w:hint="eastAsia"/>
          <w:sz w:val="20"/>
          <w:szCs w:val="20"/>
          <w:shd w:val="clear" w:color="auto" w:fill="FFFFFF"/>
        </w:rPr>
        <w:t>Resilient reversal. The spatial pattern of loss amplification and resilience is therefore essentially preserved under reasonable variations of the independence threshold and is not an artifact of the specific 12-month choice.</w:t>
      </w:r>
    </w:p>
    <w:tbl>
      <w:tblPr>
        <w:tblStyle w:val="ae"/>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8"/>
      </w:tblGrid>
      <w:tr w:rsidR="001A4E3F" w:rsidRPr="00AD50DF" w14:paraId="513DC8D5" w14:textId="77777777" w:rsidTr="005A543F">
        <w:tc>
          <w:tcPr>
            <w:tcW w:w="8448" w:type="dxa"/>
          </w:tcPr>
          <w:p w14:paraId="26A2DE7A" w14:textId="46FB265D" w:rsidR="001A4E3F" w:rsidRPr="001A4E3F" w:rsidRDefault="00BA6D9D" w:rsidP="005A543F">
            <w:pPr>
              <w:pStyle w:val="paragraph"/>
              <w:spacing w:before="0" w:beforeAutospacing="0" w:after="0" w:afterAutospacing="0" w:line="480" w:lineRule="auto"/>
              <w:jc w:val="center"/>
              <w:rPr>
                <w:rFonts w:ascii="Arial" w:eastAsia="微软雅黑" w:hAnsi="Arial" w:cs="Arial"/>
                <w:sz w:val="18"/>
                <w:szCs w:val="18"/>
                <w:shd w:val="clear" w:color="auto" w:fill="FFFFFF"/>
                <w:lang w:val="en-GB"/>
              </w:rPr>
            </w:pPr>
            <w:r>
              <w:rPr>
                <w:noProof/>
              </w:rPr>
              <w:drawing>
                <wp:inline distT="0" distB="0" distL="0" distR="0" wp14:anchorId="67F6CC16" wp14:editId="7C75C1A9">
                  <wp:extent cx="4096104" cy="3805639"/>
                  <wp:effectExtent l="0" t="0" r="0" b="4445"/>
                  <wp:docPr id="825920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9806" cy="3809079"/>
                          </a:xfrm>
                          <a:prstGeom prst="rect">
                            <a:avLst/>
                          </a:prstGeom>
                          <a:noFill/>
                          <a:ln>
                            <a:noFill/>
                          </a:ln>
                        </pic:spPr>
                      </pic:pic>
                    </a:graphicData>
                  </a:graphic>
                </wp:inline>
              </w:drawing>
            </w:r>
          </w:p>
        </w:tc>
      </w:tr>
      <w:tr w:rsidR="001A4E3F" w:rsidRPr="00F31FE8" w14:paraId="343BFE3A" w14:textId="77777777" w:rsidTr="005A543F">
        <w:tc>
          <w:tcPr>
            <w:tcW w:w="8448" w:type="dxa"/>
          </w:tcPr>
          <w:p w14:paraId="4A4E7D67" w14:textId="77777777" w:rsidR="001A4E3F" w:rsidRPr="001A4E3F" w:rsidRDefault="001A4E3F" w:rsidP="005A543F">
            <w:pPr>
              <w:keepNext/>
              <w:contextualSpacing/>
              <w:rPr>
                <w:rFonts w:ascii="Arial" w:eastAsia="微软雅黑" w:hAnsi="Arial" w:cs="Arial"/>
                <w:b/>
                <w:bCs/>
                <w:sz w:val="21"/>
                <w:szCs w:val="21"/>
                <w:shd w:val="clear" w:color="auto" w:fill="FFFFFF"/>
                <w:lang w:val="en-GB"/>
              </w:rPr>
            </w:pPr>
            <w:bookmarkStart w:id="1" w:name="OLE_LINK5"/>
            <w:r w:rsidRPr="001A4E3F">
              <w:rPr>
                <w:rFonts w:ascii="Arial" w:eastAsia="微软雅黑" w:hAnsi="Arial" w:cs="Arial"/>
                <w:b/>
                <w:bCs/>
                <w:sz w:val="21"/>
                <w:szCs w:val="21"/>
                <w:shd w:val="clear" w:color="auto" w:fill="FFFFFF"/>
                <w:lang w:val="en-GB"/>
              </w:rPr>
              <w:t xml:space="preserve">Figure </w:t>
            </w:r>
            <w:r w:rsidRPr="001A4E3F">
              <w:rPr>
                <w:rFonts w:ascii="Arial" w:eastAsia="微软雅黑" w:hAnsi="Arial" w:cs="Arial" w:hint="eastAsia"/>
                <w:b/>
                <w:bCs/>
                <w:sz w:val="21"/>
                <w:szCs w:val="21"/>
                <w:shd w:val="clear" w:color="auto" w:fill="FFFFFF"/>
                <w:lang w:val="en-GB"/>
              </w:rPr>
              <w:t>S1</w:t>
            </w:r>
            <w:r w:rsidRPr="001A4E3F">
              <w:rPr>
                <w:rFonts w:ascii="Arial" w:eastAsia="微软雅黑" w:hAnsi="Arial" w:cs="Arial"/>
                <w:b/>
                <w:bCs/>
                <w:sz w:val="21"/>
                <w:szCs w:val="21"/>
                <w:shd w:val="clear" w:color="auto" w:fill="FFFFFF"/>
                <w:lang w:val="en-GB"/>
              </w:rPr>
              <w:t xml:space="preserve">. </w:t>
            </w:r>
            <w:r w:rsidRPr="001A4E3F">
              <w:rPr>
                <w:rFonts w:ascii="Arial" w:eastAsia="微软雅黑" w:hAnsi="Arial" w:cs="Arial" w:hint="eastAsia"/>
                <w:b/>
                <w:bCs/>
                <w:sz w:val="21"/>
                <w:szCs w:val="21"/>
                <w:shd w:val="clear" w:color="auto" w:fill="FFFFFF"/>
                <w:lang w:val="en-GB"/>
              </w:rPr>
              <w:t>Sensitivity to the independence threshold</w:t>
            </w:r>
          </w:p>
          <w:p w14:paraId="402DB315" w14:textId="555F427F" w:rsidR="001A4E3F" w:rsidRPr="001A4E3F" w:rsidRDefault="003751EC" w:rsidP="001A4E3F">
            <w:pPr>
              <w:keepNext/>
              <w:rPr>
                <w:rFonts w:ascii="Arial" w:eastAsia="微软雅黑" w:hAnsi="Arial" w:cs="Arial"/>
                <w:b/>
                <w:bCs/>
                <w:sz w:val="21"/>
                <w:szCs w:val="21"/>
                <w:shd w:val="clear" w:color="auto" w:fill="FFFFFF"/>
                <w:lang w:val="en-GB"/>
              </w:rPr>
            </w:pPr>
            <w:r w:rsidRPr="003751EC">
              <w:rPr>
                <w:rFonts w:ascii="Arial" w:eastAsia="微软雅黑" w:hAnsi="Arial" w:cs="Arial" w:hint="eastAsia"/>
                <w:sz w:val="21"/>
                <w:szCs w:val="21"/>
                <w:shd w:val="clear" w:color="auto" w:fill="FFFFFF"/>
                <w:lang w:val="en-GB"/>
              </w:rPr>
              <w:t>Robustness of the county-level loss-anomaly classification to the independence threshold used to define independent flood events. Each row corresponds to one of three bands defined under the published 12-month threshold (Vulnerable</w:t>
            </w:r>
            <w:r w:rsidR="00AD3921">
              <w:rPr>
                <w:rFonts w:ascii="Arial" w:eastAsia="微软雅黑" w:hAnsi="Arial" w:cs="Arial" w:hint="eastAsia"/>
                <w:sz w:val="21"/>
                <w:szCs w:val="21"/>
                <w:shd w:val="clear" w:color="auto" w:fill="FFFFFF"/>
                <w:lang w:val="en-GB"/>
              </w:rPr>
              <w:t>=</w:t>
            </w:r>
            <w:r w:rsidRPr="003751EC">
              <w:rPr>
                <w:rFonts w:ascii="Arial" w:eastAsia="微软雅黑" w:hAnsi="Arial" w:cs="Arial" w:hint="eastAsia"/>
                <w:sz w:val="21"/>
                <w:szCs w:val="21"/>
                <w:shd w:val="clear" w:color="auto" w:fill="FFFFFF"/>
                <w:lang w:val="en-GB"/>
              </w:rPr>
              <w:t>top 40th percentile of county log-anomaly; Neutral</w:t>
            </w:r>
            <w:r w:rsidR="00AD3921">
              <w:rPr>
                <w:rFonts w:ascii="Arial" w:eastAsia="微软雅黑" w:hAnsi="Arial" w:cs="Arial" w:hint="eastAsia"/>
                <w:sz w:val="21"/>
                <w:szCs w:val="21"/>
                <w:shd w:val="clear" w:color="auto" w:fill="FFFFFF"/>
                <w:lang w:val="en-GB"/>
              </w:rPr>
              <w:t>=</w:t>
            </w:r>
            <w:r w:rsidRPr="003751EC">
              <w:rPr>
                <w:rFonts w:ascii="Arial" w:eastAsia="微软雅黑" w:hAnsi="Arial" w:cs="Arial" w:hint="eastAsia"/>
                <w:sz w:val="21"/>
                <w:szCs w:val="21"/>
                <w:shd w:val="clear" w:color="auto" w:fill="FFFFFF"/>
                <w:lang w:val="en-GB"/>
              </w:rPr>
              <w:t>middle 20%; Resilient</w:t>
            </w:r>
            <w:r w:rsidR="00AD3921">
              <w:rPr>
                <w:rFonts w:ascii="Arial" w:eastAsia="微软雅黑" w:hAnsi="Arial" w:cs="Arial" w:hint="eastAsia"/>
                <w:sz w:val="21"/>
                <w:szCs w:val="21"/>
                <w:shd w:val="clear" w:color="auto" w:fill="FFFFFF"/>
                <w:lang w:val="en-GB"/>
              </w:rPr>
              <w:t>=</w:t>
            </w:r>
            <w:r w:rsidRPr="003751EC">
              <w:rPr>
                <w:rFonts w:ascii="Arial" w:eastAsia="微软雅黑" w:hAnsi="Arial" w:cs="Arial" w:hint="eastAsia"/>
                <w:sz w:val="21"/>
                <w:szCs w:val="21"/>
                <w:shd w:val="clear" w:color="auto" w:fill="FFFFFF"/>
                <w:lang w:val="en-GB"/>
              </w:rPr>
              <w:t>bottom 40th percentile); each bar shows how those counties are reclassified when the independence threshold is changed to 9 months, 15 months, or 18 months. Bars dominated by their own colour indicate that counties retain their classification across thresholds. Analysis is restricted to the n</w:t>
            </w:r>
            <w:r w:rsidR="00AD3921">
              <w:rPr>
                <w:rFonts w:ascii="Arial" w:eastAsia="微软雅黑" w:hAnsi="Arial" w:cs="Arial" w:hint="eastAsia"/>
                <w:sz w:val="21"/>
                <w:szCs w:val="21"/>
                <w:shd w:val="clear" w:color="auto" w:fill="FFFFFF"/>
                <w:lang w:val="en-GB"/>
              </w:rPr>
              <w:t>=</w:t>
            </w:r>
            <w:r w:rsidRPr="003751EC">
              <w:rPr>
                <w:rFonts w:ascii="Arial" w:eastAsia="微软雅黑" w:hAnsi="Arial" w:cs="Arial" w:hint="eastAsia"/>
                <w:sz w:val="21"/>
                <w:szCs w:val="21"/>
                <w:shd w:val="clear" w:color="auto" w:fill="FFFFFF"/>
                <w:lang w:val="en-GB"/>
              </w:rPr>
              <w:t>238 counties present under all four thresholds.</w:t>
            </w:r>
            <w:bookmarkEnd w:id="1"/>
          </w:p>
        </w:tc>
      </w:tr>
    </w:tbl>
    <w:p w14:paraId="10FF4EF7" w14:textId="77777777" w:rsidR="001A4E3F" w:rsidRDefault="001A4E3F" w:rsidP="001A4E3F">
      <w:pPr>
        <w:pBdr>
          <w:top w:val="nil"/>
          <w:left w:val="nil"/>
          <w:bottom w:val="nil"/>
          <w:right w:val="nil"/>
          <w:between w:val="nil"/>
        </w:pBdr>
        <w:adjustRightInd w:val="0"/>
        <w:snapToGrid w:val="0"/>
        <w:spacing w:line="480" w:lineRule="auto"/>
        <w:rPr>
          <w:rFonts w:ascii="Arial" w:hAnsi="Arial" w:cs="Arial"/>
          <w:sz w:val="20"/>
          <w:szCs w:val="20"/>
          <w:shd w:val="clear" w:color="auto" w:fill="FFFFFF"/>
          <w:lang w:val="en-GB"/>
        </w:rPr>
      </w:pPr>
    </w:p>
    <w:p w14:paraId="3E1F0AF3" w14:textId="108DF07F" w:rsidR="001A4E3F" w:rsidRDefault="00260D5F" w:rsidP="001A4E3F">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Pr>
          <w:rFonts w:ascii="Arial" w:hAnsi="Arial" w:cs="Arial" w:hint="eastAsia"/>
          <w:b/>
          <w:color w:val="000000"/>
          <w:szCs w:val="21"/>
        </w:rPr>
        <w:t>2</w:t>
      </w:r>
      <w:r w:rsidR="001A4E3F">
        <w:rPr>
          <w:rFonts w:ascii="Arial" w:hAnsi="Arial" w:cs="Arial" w:hint="eastAsia"/>
          <w:b/>
          <w:color w:val="000000"/>
          <w:szCs w:val="21"/>
        </w:rPr>
        <w:t>.</w:t>
      </w:r>
      <w:r w:rsidR="001A4E3F" w:rsidRPr="001A4E3F">
        <w:rPr>
          <w:rFonts w:ascii="Arial" w:hAnsi="Arial" w:cs="Arial"/>
          <w:b/>
          <w:color w:val="000000"/>
          <w:szCs w:val="21"/>
        </w:rPr>
        <w:t>2 Out-of-sample predictive performance</w:t>
      </w:r>
    </w:p>
    <w:p w14:paraId="657027C5" w14:textId="1CFE18CC" w:rsidR="001A4E3F" w:rsidRDefault="001A4E3F" w:rsidP="001A4E3F">
      <w:pPr>
        <w:adjustRightInd w:val="0"/>
        <w:snapToGrid w:val="0"/>
        <w:spacing w:line="480" w:lineRule="auto"/>
        <w:ind w:firstLine="360"/>
        <w:rPr>
          <w:rFonts w:ascii="Arial" w:hAnsi="Arial" w:cs="Arial"/>
          <w:sz w:val="20"/>
          <w:szCs w:val="20"/>
          <w:shd w:val="clear" w:color="auto" w:fill="FFFFFF"/>
        </w:rPr>
      </w:pPr>
      <w:bookmarkStart w:id="2" w:name="OLE_LINK7"/>
      <w:r w:rsidRPr="001A4E3F">
        <w:rPr>
          <w:rFonts w:ascii="Arial" w:hAnsi="Arial" w:cs="Arial"/>
          <w:sz w:val="20"/>
          <w:szCs w:val="20"/>
          <w:shd w:val="clear" w:color="auto" w:fill="FFFFFF"/>
        </w:rPr>
        <w:lastRenderedPageBreak/>
        <w:t>To verify that the baseline model is not overfit to the training events, we performed 5-fold cross-validation on the 12-month independent-event training set. The out-of-sample Pearson correlation between predicted and observed log losses was r</w:t>
      </w:r>
      <w:r w:rsidR="00AD3921">
        <w:rPr>
          <w:rFonts w:ascii="Arial" w:hAnsi="Arial" w:cs="Arial"/>
          <w:sz w:val="20"/>
          <w:szCs w:val="20"/>
          <w:shd w:val="clear" w:color="auto" w:fill="FFFFFF"/>
        </w:rPr>
        <w:t>=</w:t>
      </w:r>
      <w:r w:rsidRPr="001A4E3F">
        <w:rPr>
          <w:rFonts w:ascii="Arial" w:hAnsi="Arial" w:cs="Arial"/>
          <w:sz w:val="20"/>
          <w:szCs w:val="20"/>
          <w:shd w:val="clear" w:color="auto" w:fill="FFFFFF"/>
        </w:rPr>
        <w:t>0.549 (</w:t>
      </w:r>
      <w:proofErr w:type="spellStart"/>
      <w:r w:rsidRPr="001A4E3F">
        <w:rPr>
          <w:rFonts w:ascii="Arial" w:hAnsi="Arial" w:cs="Arial"/>
          <w:sz w:val="20"/>
          <w:szCs w:val="20"/>
          <w:shd w:val="clear" w:color="auto" w:fill="FFFFFF"/>
        </w:rPr>
        <w:t>RMSE_log</w:t>
      </w:r>
      <w:proofErr w:type="spellEnd"/>
      <w:r w:rsidR="00AD3921">
        <w:rPr>
          <w:rFonts w:ascii="Arial" w:hAnsi="Arial" w:cs="Arial"/>
          <w:sz w:val="20"/>
          <w:szCs w:val="20"/>
          <w:shd w:val="clear" w:color="auto" w:fill="FFFFFF"/>
        </w:rPr>
        <w:t>=</w:t>
      </w:r>
      <w:r w:rsidRPr="001A4E3F">
        <w:rPr>
          <w:rFonts w:ascii="Arial" w:hAnsi="Arial" w:cs="Arial"/>
          <w:sz w:val="20"/>
          <w:szCs w:val="20"/>
          <w:shd w:val="clear" w:color="auto" w:fill="FFFFFF"/>
        </w:rPr>
        <w:t xml:space="preserve">2.94; </w:t>
      </w:r>
      <w:proofErr w:type="spellStart"/>
      <w:r w:rsidRPr="001A4E3F">
        <w:rPr>
          <w:rFonts w:ascii="Arial" w:hAnsi="Arial" w:cs="Arial"/>
          <w:sz w:val="20"/>
          <w:szCs w:val="20"/>
          <w:shd w:val="clear" w:color="auto" w:fill="FFFFFF"/>
        </w:rPr>
        <w:t>MAE_log</w:t>
      </w:r>
      <w:proofErr w:type="spellEnd"/>
      <w:r w:rsidR="00AD3921">
        <w:rPr>
          <w:rFonts w:ascii="Arial" w:hAnsi="Arial" w:cs="Arial"/>
          <w:sz w:val="20"/>
          <w:szCs w:val="20"/>
          <w:shd w:val="clear" w:color="auto" w:fill="FFFFFF"/>
        </w:rPr>
        <w:t>=</w:t>
      </w:r>
      <w:r w:rsidRPr="001A4E3F">
        <w:rPr>
          <w:rFonts w:ascii="Arial" w:hAnsi="Arial" w:cs="Arial"/>
          <w:sz w:val="20"/>
          <w:szCs w:val="20"/>
          <w:shd w:val="clear" w:color="auto" w:fill="FFFFFF"/>
        </w:rPr>
        <w:t>2.34). Given that the response variable spans more than four orders of magnitude (</w:t>
      </w:r>
      <w:proofErr w:type="spellStart"/>
      <w:r w:rsidRPr="001A4E3F">
        <w:rPr>
          <w:rFonts w:ascii="Arial" w:hAnsi="Arial" w:cs="Arial"/>
          <w:sz w:val="20"/>
          <w:szCs w:val="20"/>
          <w:shd w:val="clear" w:color="auto" w:fill="FFFFFF"/>
        </w:rPr>
        <w:t>NifpLoss</w:t>
      </w:r>
      <w:proofErr w:type="spellEnd"/>
      <w:r w:rsidRPr="001A4E3F">
        <w:rPr>
          <w:rFonts w:ascii="Arial" w:hAnsi="Arial" w:cs="Arial"/>
          <w:sz w:val="20"/>
          <w:szCs w:val="20"/>
          <w:shd w:val="clear" w:color="auto" w:fill="FFFFFF"/>
        </w:rPr>
        <w:t xml:space="preserve"> ranges from≈$10² to $10⁹), this level of held-out agreement indicates that the baseline captures a substantial and stable component of the systematic loss signal.</w:t>
      </w:r>
    </w:p>
    <w:bookmarkEnd w:id="2"/>
    <w:p w14:paraId="2688DEEC" w14:textId="33B212C6" w:rsidR="001413C4" w:rsidRPr="001413C4" w:rsidRDefault="00260D5F" w:rsidP="001413C4">
      <w:pPr>
        <w:adjustRightInd w:val="0"/>
        <w:snapToGrid w:val="0"/>
        <w:spacing w:line="480" w:lineRule="auto"/>
        <w:outlineLvl w:val="2"/>
        <w:rPr>
          <w:rFonts w:ascii="Arial" w:hAnsi="Arial" w:cs="Arial"/>
          <w:b/>
          <w:color w:val="000000"/>
          <w:szCs w:val="21"/>
        </w:rPr>
      </w:pPr>
      <w:r>
        <w:rPr>
          <w:rFonts w:ascii="Arial" w:hAnsi="Arial" w:cs="Arial" w:hint="eastAsia"/>
          <w:b/>
          <w:color w:val="000000"/>
          <w:szCs w:val="21"/>
        </w:rPr>
        <w:t>S</w:t>
      </w:r>
      <w:r w:rsidR="00231C0D">
        <w:rPr>
          <w:rFonts w:ascii="Arial" w:hAnsi="Arial" w:cs="Arial" w:hint="eastAsia"/>
          <w:b/>
          <w:color w:val="000000"/>
          <w:szCs w:val="21"/>
        </w:rPr>
        <w:t>2</w:t>
      </w:r>
      <w:r w:rsidR="001413C4" w:rsidRPr="001413C4">
        <w:rPr>
          <w:rFonts w:ascii="Arial" w:hAnsi="Arial" w:cs="Arial" w:hint="eastAsia"/>
          <w:b/>
          <w:color w:val="000000"/>
          <w:szCs w:val="21"/>
        </w:rPr>
        <w:t xml:space="preserve">.3 </w:t>
      </w:r>
      <w:r w:rsidR="001413C4" w:rsidRPr="001413C4">
        <w:rPr>
          <w:rFonts w:ascii="Arial" w:hAnsi="Arial" w:cs="Arial"/>
          <w:b/>
          <w:color w:val="000000"/>
          <w:szCs w:val="21"/>
        </w:rPr>
        <w:t>Residual diagnostics</w:t>
      </w:r>
    </w:p>
    <w:p w14:paraId="4A4546E5" w14:textId="35CC5A79" w:rsidR="0052737E" w:rsidRPr="001413C4" w:rsidRDefault="001413C4" w:rsidP="001413C4">
      <w:pPr>
        <w:pBdr>
          <w:top w:val="nil"/>
          <w:left w:val="nil"/>
          <w:bottom w:val="nil"/>
          <w:right w:val="nil"/>
          <w:between w:val="nil"/>
        </w:pBdr>
        <w:adjustRightInd w:val="0"/>
        <w:snapToGrid w:val="0"/>
        <w:spacing w:line="480" w:lineRule="auto"/>
        <w:ind w:firstLine="360"/>
        <w:rPr>
          <w:rFonts w:ascii="Arial" w:hAnsi="Arial" w:cs="Arial"/>
          <w:sz w:val="20"/>
          <w:szCs w:val="20"/>
          <w:shd w:val="clear" w:color="auto" w:fill="FFFFFF"/>
          <w:lang w:val="en-GB"/>
        </w:rPr>
      </w:pPr>
      <w:r w:rsidRPr="001413C4">
        <w:rPr>
          <w:rFonts w:ascii="Arial" w:hAnsi="Arial" w:cs="Arial"/>
          <w:sz w:val="20"/>
          <w:szCs w:val="20"/>
          <w:shd w:val="clear" w:color="auto" w:fill="FFFFFF"/>
        </w:rPr>
        <w:t xml:space="preserve">All five smooth terms in the GAM have adequate basis dimensions according to </w:t>
      </w:r>
      <w:proofErr w:type="spellStart"/>
      <w:r w:rsidRPr="001413C4">
        <w:rPr>
          <w:rFonts w:ascii="Arial" w:hAnsi="Arial" w:cs="Arial"/>
          <w:sz w:val="20"/>
          <w:szCs w:val="20"/>
          <w:shd w:val="clear" w:color="auto" w:fill="FFFFFF"/>
        </w:rPr>
        <w:t>mgcv's</w:t>
      </w:r>
      <w:proofErr w:type="spellEnd"/>
      <w:r w:rsidRPr="001413C4">
        <w:rPr>
          <w:rFonts w:ascii="Arial" w:hAnsi="Arial" w:cs="Arial"/>
          <w:sz w:val="20"/>
          <w:szCs w:val="20"/>
          <w:shd w:val="clear" w:color="auto" w:fill="FFFFFF"/>
        </w:rPr>
        <w:t xml:space="preserve"> </w:t>
      </w:r>
      <w:proofErr w:type="spellStart"/>
      <w:proofErr w:type="gramStart"/>
      <w:r w:rsidRPr="001413C4">
        <w:rPr>
          <w:rFonts w:ascii="Arial" w:hAnsi="Arial" w:cs="Arial"/>
          <w:sz w:val="20"/>
          <w:szCs w:val="20"/>
          <w:shd w:val="clear" w:color="auto" w:fill="FFFFFF"/>
        </w:rPr>
        <w:t>k.check</w:t>
      </w:r>
      <w:proofErr w:type="spellEnd"/>
      <w:proofErr w:type="gramEnd"/>
      <w:r w:rsidRPr="001413C4">
        <w:rPr>
          <w:rFonts w:ascii="Arial" w:hAnsi="Arial" w:cs="Arial"/>
          <w:sz w:val="20"/>
          <w:szCs w:val="20"/>
          <w:shd w:val="clear" w:color="auto" w:fill="FFFFFF"/>
        </w:rPr>
        <w:t xml:space="preserve"> procedure, with p-values ranging from 0.24 to 0.77 (Table S</w:t>
      </w:r>
      <w:r w:rsidR="00231C0D">
        <w:rPr>
          <w:rFonts w:ascii="Arial" w:hAnsi="Arial" w:cs="Arial" w:hint="eastAsia"/>
          <w:sz w:val="20"/>
          <w:szCs w:val="20"/>
          <w:shd w:val="clear" w:color="auto" w:fill="FFFFFF"/>
        </w:rPr>
        <w:t>1</w:t>
      </w:r>
      <w:r w:rsidRPr="001413C4">
        <w:rPr>
          <w:rFonts w:ascii="Arial" w:hAnsi="Arial" w:cs="Arial"/>
          <w:sz w:val="20"/>
          <w:szCs w:val="20"/>
          <w:shd w:val="clear" w:color="auto" w:fill="FFFFFF"/>
        </w:rPr>
        <w:t>); none falls below 0.05, indicating no evidence of under-parameterized smooths.</w:t>
      </w:r>
    </w:p>
    <w:p w14:paraId="46289513" w14:textId="78495EA0" w:rsidR="001413C4" w:rsidRPr="001413C4" w:rsidRDefault="001413C4" w:rsidP="001413C4">
      <w:pPr>
        <w:pBdr>
          <w:top w:val="nil"/>
          <w:left w:val="nil"/>
          <w:bottom w:val="nil"/>
          <w:right w:val="nil"/>
          <w:between w:val="nil"/>
        </w:pBdr>
        <w:adjustRightInd w:val="0"/>
        <w:snapToGrid w:val="0"/>
        <w:spacing w:line="480" w:lineRule="auto"/>
        <w:rPr>
          <w:rFonts w:ascii="Arial" w:hAnsi="Arial" w:cs="Arial"/>
          <w:b/>
          <w:bCs/>
        </w:rPr>
      </w:pPr>
      <w:r w:rsidRPr="001413C4">
        <w:rPr>
          <w:rFonts w:ascii="Arial" w:hAnsi="Arial" w:cs="Arial" w:hint="eastAsia"/>
          <w:b/>
          <w:bCs/>
        </w:rPr>
        <w:t>Table S1</w:t>
      </w:r>
      <w:r w:rsidRPr="001413C4">
        <w:rPr>
          <w:rFonts w:ascii="Arial" w:hAnsi="Arial" w:cs="Arial"/>
          <w:b/>
          <w:bCs/>
        </w:rPr>
        <w:t xml:space="preserve">. </w:t>
      </w:r>
      <w:proofErr w:type="spellStart"/>
      <w:proofErr w:type="gramStart"/>
      <w:r w:rsidRPr="001413C4">
        <w:rPr>
          <w:rFonts w:ascii="Arial" w:hAnsi="Arial" w:cs="Arial" w:hint="eastAsia"/>
          <w:b/>
          <w:bCs/>
        </w:rPr>
        <w:t>K</w:t>
      </w:r>
      <w:r w:rsidRPr="001413C4">
        <w:rPr>
          <w:rFonts w:ascii="Arial" w:hAnsi="Arial" w:cs="Arial"/>
          <w:b/>
          <w:bCs/>
        </w:rPr>
        <w:t>.check</w:t>
      </w:r>
      <w:proofErr w:type="spellEnd"/>
      <w:proofErr w:type="gramEnd"/>
      <w:r w:rsidRPr="001413C4">
        <w:rPr>
          <w:rFonts w:ascii="Arial" w:hAnsi="Arial" w:cs="Arial"/>
          <w:b/>
          <w:bCs/>
        </w:rPr>
        <w:t xml:space="preserve"> results for the five smooth terms in the 12-month GAM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662"/>
        <w:gridCol w:w="1134"/>
        <w:gridCol w:w="1275"/>
        <w:gridCol w:w="1440"/>
      </w:tblGrid>
      <w:tr w:rsidR="001413C4" w:rsidRPr="001413C4" w14:paraId="27D886AB" w14:textId="77777777" w:rsidTr="001413C4">
        <w:trPr>
          <w:tblCellSpacing w:w="15" w:type="dxa"/>
        </w:trPr>
        <w:tc>
          <w:tcPr>
            <w:tcW w:w="0" w:type="auto"/>
            <w:tcBorders>
              <w:top w:val="single" w:sz="4" w:space="0" w:color="auto"/>
              <w:bottom w:val="single" w:sz="4" w:space="0" w:color="auto"/>
            </w:tcBorders>
            <w:vAlign w:val="center"/>
            <w:hideMark/>
          </w:tcPr>
          <w:p w14:paraId="1BB304EF" w14:textId="77777777" w:rsidR="001413C4" w:rsidRPr="001413C4" w:rsidRDefault="001413C4" w:rsidP="001413C4">
            <w:pPr>
              <w:pBdr>
                <w:top w:val="nil"/>
                <w:left w:val="nil"/>
                <w:bottom w:val="nil"/>
                <w:right w:val="nil"/>
                <w:between w:val="nil"/>
              </w:pBdr>
              <w:adjustRightInd w:val="0"/>
              <w:snapToGrid w:val="0"/>
              <w:rPr>
                <w:rFonts w:ascii="Arial" w:hAnsi="Arial" w:cs="Arial"/>
                <w:b/>
                <w:bCs/>
                <w:sz w:val="20"/>
                <w:szCs w:val="20"/>
                <w:shd w:val="clear" w:color="auto" w:fill="FFFFFF"/>
              </w:rPr>
            </w:pPr>
            <w:r w:rsidRPr="001413C4">
              <w:rPr>
                <w:rFonts w:ascii="Arial" w:hAnsi="Arial" w:cs="Arial"/>
                <w:b/>
                <w:bCs/>
                <w:sz w:val="20"/>
                <w:szCs w:val="20"/>
                <w:shd w:val="clear" w:color="auto" w:fill="FFFFFF"/>
              </w:rPr>
              <w:t>Smooth term</w:t>
            </w:r>
          </w:p>
        </w:tc>
        <w:tc>
          <w:tcPr>
            <w:tcW w:w="632" w:type="dxa"/>
            <w:tcBorders>
              <w:top w:val="single" w:sz="4" w:space="0" w:color="auto"/>
              <w:bottom w:val="single" w:sz="4" w:space="0" w:color="auto"/>
            </w:tcBorders>
            <w:vAlign w:val="center"/>
            <w:hideMark/>
          </w:tcPr>
          <w:p w14:paraId="3DD0F886" w14:textId="77777777" w:rsidR="001413C4" w:rsidRPr="001413C4" w:rsidRDefault="001413C4" w:rsidP="001413C4">
            <w:pPr>
              <w:pBdr>
                <w:top w:val="nil"/>
                <w:left w:val="nil"/>
                <w:bottom w:val="nil"/>
                <w:right w:val="nil"/>
                <w:between w:val="nil"/>
              </w:pBdr>
              <w:adjustRightInd w:val="0"/>
              <w:snapToGrid w:val="0"/>
              <w:rPr>
                <w:rFonts w:ascii="Arial" w:hAnsi="Arial" w:cs="Arial"/>
                <w:b/>
                <w:bCs/>
                <w:sz w:val="20"/>
                <w:szCs w:val="20"/>
                <w:shd w:val="clear" w:color="auto" w:fill="FFFFFF"/>
              </w:rPr>
            </w:pPr>
            <w:r w:rsidRPr="001413C4">
              <w:rPr>
                <w:rFonts w:ascii="Arial" w:hAnsi="Arial" w:cs="Arial"/>
                <w:b/>
                <w:bCs/>
                <w:sz w:val="20"/>
                <w:szCs w:val="20"/>
                <w:shd w:val="clear" w:color="auto" w:fill="FFFFFF"/>
              </w:rPr>
              <w:t>k′</w:t>
            </w:r>
          </w:p>
        </w:tc>
        <w:tc>
          <w:tcPr>
            <w:tcW w:w="1104" w:type="dxa"/>
            <w:tcBorders>
              <w:top w:val="single" w:sz="4" w:space="0" w:color="auto"/>
              <w:bottom w:val="single" w:sz="4" w:space="0" w:color="auto"/>
            </w:tcBorders>
            <w:vAlign w:val="center"/>
            <w:hideMark/>
          </w:tcPr>
          <w:p w14:paraId="14DB1342" w14:textId="77777777" w:rsidR="001413C4" w:rsidRPr="001413C4" w:rsidRDefault="001413C4" w:rsidP="001413C4">
            <w:pPr>
              <w:pBdr>
                <w:top w:val="nil"/>
                <w:left w:val="nil"/>
                <w:bottom w:val="nil"/>
                <w:right w:val="nil"/>
                <w:between w:val="nil"/>
              </w:pBdr>
              <w:adjustRightInd w:val="0"/>
              <w:snapToGrid w:val="0"/>
              <w:rPr>
                <w:rFonts w:ascii="Arial" w:hAnsi="Arial" w:cs="Arial"/>
                <w:b/>
                <w:bCs/>
                <w:sz w:val="20"/>
                <w:szCs w:val="20"/>
                <w:shd w:val="clear" w:color="auto" w:fill="FFFFFF"/>
              </w:rPr>
            </w:pPr>
            <w:proofErr w:type="spellStart"/>
            <w:r w:rsidRPr="001413C4">
              <w:rPr>
                <w:rFonts w:ascii="Arial" w:hAnsi="Arial" w:cs="Arial"/>
                <w:b/>
                <w:bCs/>
                <w:sz w:val="20"/>
                <w:szCs w:val="20"/>
                <w:shd w:val="clear" w:color="auto" w:fill="FFFFFF"/>
              </w:rPr>
              <w:t>edf</w:t>
            </w:r>
            <w:proofErr w:type="spellEnd"/>
          </w:p>
        </w:tc>
        <w:tc>
          <w:tcPr>
            <w:tcW w:w="1245" w:type="dxa"/>
            <w:tcBorders>
              <w:top w:val="single" w:sz="4" w:space="0" w:color="auto"/>
              <w:bottom w:val="single" w:sz="4" w:space="0" w:color="auto"/>
            </w:tcBorders>
            <w:vAlign w:val="center"/>
            <w:hideMark/>
          </w:tcPr>
          <w:p w14:paraId="337E9801" w14:textId="77777777" w:rsidR="001413C4" w:rsidRPr="001413C4" w:rsidRDefault="001413C4" w:rsidP="001413C4">
            <w:pPr>
              <w:pBdr>
                <w:top w:val="nil"/>
                <w:left w:val="nil"/>
                <w:bottom w:val="nil"/>
                <w:right w:val="nil"/>
                <w:between w:val="nil"/>
              </w:pBdr>
              <w:adjustRightInd w:val="0"/>
              <w:snapToGrid w:val="0"/>
              <w:rPr>
                <w:rFonts w:ascii="Arial" w:hAnsi="Arial" w:cs="Arial"/>
                <w:b/>
                <w:bCs/>
                <w:sz w:val="20"/>
                <w:szCs w:val="20"/>
                <w:shd w:val="clear" w:color="auto" w:fill="FFFFFF"/>
              </w:rPr>
            </w:pPr>
            <w:r w:rsidRPr="001413C4">
              <w:rPr>
                <w:rFonts w:ascii="Arial" w:hAnsi="Arial" w:cs="Arial"/>
                <w:b/>
                <w:bCs/>
                <w:sz w:val="20"/>
                <w:szCs w:val="20"/>
                <w:shd w:val="clear" w:color="auto" w:fill="FFFFFF"/>
              </w:rPr>
              <w:t>k-index</w:t>
            </w:r>
          </w:p>
        </w:tc>
        <w:tc>
          <w:tcPr>
            <w:tcW w:w="1395" w:type="dxa"/>
            <w:tcBorders>
              <w:top w:val="single" w:sz="4" w:space="0" w:color="auto"/>
              <w:bottom w:val="single" w:sz="4" w:space="0" w:color="auto"/>
            </w:tcBorders>
            <w:vAlign w:val="center"/>
            <w:hideMark/>
          </w:tcPr>
          <w:p w14:paraId="1A9A2DB7" w14:textId="77777777" w:rsidR="001413C4" w:rsidRPr="001413C4" w:rsidRDefault="001413C4" w:rsidP="001413C4">
            <w:pPr>
              <w:pBdr>
                <w:top w:val="nil"/>
                <w:left w:val="nil"/>
                <w:bottom w:val="nil"/>
                <w:right w:val="nil"/>
                <w:between w:val="nil"/>
              </w:pBdr>
              <w:adjustRightInd w:val="0"/>
              <w:snapToGrid w:val="0"/>
              <w:rPr>
                <w:rFonts w:ascii="Arial" w:hAnsi="Arial" w:cs="Arial"/>
                <w:b/>
                <w:bCs/>
                <w:sz w:val="20"/>
                <w:szCs w:val="20"/>
                <w:shd w:val="clear" w:color="auto" w:fill="FFFFFF"/>
              </w:rPr>
            </w:pPr>
            <w:r w:rsidRPr="001413C4">
              <w:rPr>
                <w:rFonts w:ascii="Arial" w:hAnsi="Arial" w:cs="Arial"/>
                <w:b/>
                <w:bCs/>
                <w:sz w:val="20"/>
                <w:szCs w:val="20"/>
                <w:shd w:val="clear" w:color="auto" w:fill="FFFFFF"/>
              </w:rPr>
              <w:t>p-value</w:t>
            </w:r>
          </w:p>
        </w:tc>
      </w:tr>
      <w:tr w:rsidR="001413C4" w:rsidRPr="001413C4" w14:paraId="015C4471" w14:textId="77777777" w:rsidTr="001413C4">
        <w:trPr>
          <w:tblCellSpacing w:w="15" w:type="dxa"/>
        </w:trPr>
        <w:tc>
          <w:tcPr>
            <w:tcW w:w="0" w:type="auto"/>
            <w:vAlign w:val="center"/>
            <w:hideMark/>
          </w:tcPr>
          <w:p w14:paraId="38B32903"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s(</w:t>
            </w:r>
            <w:proofErr w:type="spellStart"/>
            <w:r w:rsidRPr="001413C4">
              <w:rPr>
                <w:rFonts w:ascii="Arial" w:hAnsi="Arial" w:cs="Arial"/>
                <w:sz w:val="20"/>
                <w:szCs w:val="20"/>
                <w:shd w:val="clear" w:color="auto" w:fill="FFFFFF"/>
              </w:rPr>
              <w:t>resPenetrationRate</w:t>
            </w:r>
            <w:proofErr w:type="spellEnd"/>
            <w:r w:rsidRPr="001413C4">
              <w:rPr>
                <w:rFonts w:ascii="Arial" w:hAnsi="Arial" w:cs="Arial"/>
                <w:sz w:val="20"/>
                <w:szCs w:val="20"/>
                <w:shd w:val="clear" w:color="auto" w:fill="FFFFFF"/>
              </w:rPr>
              <w:t>)</w:t>
            </w:r>
          </w:p>
        </w:tc>
        <w:tc>
          <w:tcPr>
            <w:tcW w:w="632" w:type="dxa"/>
            <w:vAlign w:val="center"/>
            <w:hideMark/>
          </w:tcPr>
          <w:p w14:paraId="4C39183A"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9</w:t>
            </w:r>
          </w:p>
        </w:tc>
        <w:tc>
          <w:tcPr>
            <w:tcW w:w="1104" w:type="dxa"/>
            <w:vAlign w:val="center"/>
            <w:hideMark/>
          </w:tcPr>
          <w:p w14:paraId="4563557E"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6.20</w:t>
            </w:r>
          </w:p>
        </w:tc>
        <w:tc>
          <w:tcPr>
            <w:tcW w:w="1245" w:type="dxa"/>
            <w:vAlign w:val="center"/>
            <w:hideMark/>
          </w:tcPr>
          <w:p w14:paraId="0ED3963F"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0.71</w:t>
            </w:r>
          </w:p>
        </w:tc>
        <w:tc>
          <w:tcPr>
            <w:tcW w:w="1395" w:type="dxa"/>
            <w:vAlign w:val="center"/>
            <w:hideMark/>
          </w:tcPr>
          <w:p w14:paraId="6637AFB3"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0.24</w:t>
            </w:r>
          </w:p>
        </w:tc>
      </w:tr>
      <w:tr w:rsidR="001413C4" w:rsidRPr="001413C4" w14:paraId="249D5D5F" w14:textId="77777777" w:rsidTr="001413C4">
        <w:trPr>
          <w:tblCellSpacing w:w="15" w:type="dxa"/>
        </w:trPr>
        <w:tc>
          <w:tcPr>
            <w:tcW w:w="0" w:type="auto"/>
            <w:vAlign w:val="center"/>
            <w:hideMark/>
          </w:tcPr>
          <w:p w14:paraId="4BBA516E"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s(Income)</w:t>
            </w:r>
          </w:p>
        </w:tc>
        <w:tc>
          <w:tcPr>
            <w:tcW w:w="632" w:type="dxa"/>
            <w:vAlign w:val="center"/>
            <w:hideMark/>
          </w:tcPr>
          <w:p w14:paraId="45D2D383"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9</w:t>
            </w:r>
          </w:p>
        </w:tc>
        <w:tc>
          <w:tcPr>
            <w:tcW w:w="1104" w:type="dxa"/>
            <w:vAlign w:val="center"/>
            <w:hideMark/>
          </w:tcPr>
          <w:p w14:paraId="440912C5"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1.00</w:t>
            </w:r>
          </w:p>
        </w:tc>
        <w:tc>
          <w:tcPr>
            <w:tcW w:w="1245" w:type="dxa"/>
            <w:vAlign w:val="center"/>
            <w:hideMark/>
          </w:tcPr>
          <w:p w14:paraId="2B21E2AA"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0.72</w:t>
            </w:r>
          </w:p>
        </w:tc>
        <w:tc>
          <w:tcPr>
            <w:tcW w:w="1395" w:type="dxa"/>
            <w:vAlign w:val="center"/>
            <w:hideMark/>
          </w:tcPr>
          <w:p w14:paraId="4E015818"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0.37</w:t>
            </w:r>
          </w:p>
        </w:tc>
      </w:tr>
      <w:tr w:rsidR="001413C4" w:rsidRPr="001413C4" w14:paraId="57CD8506" w14:textId="77777777" w:rsidTr="001413C4">
        <w:trPr>
          <w:tblCellSpacing w:w="15" w:type="dxa"/>
        </w:trPr>
        <w:tc>
          <w:tcPr>
            <w:tcW w:w="0" w:type="auto"/>
            <w:vAlign w:val="center"/>
            <w:hideMark/>
          </w:tcPr>
          <w:p w14:paraId="4413D862"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s(</w:t>
            </w:r>
            <w:proofErr w:type="spellStart"/>
            <w:r w:rsidRPr="001413C4">
              <w:rPr>
                <w:rFonts w:ascii="Arial" w:hAnsi="Arial" w:cs="Arial"/>
                <w:sz w:val="20"/>
                <w:szCs w:val="20"/>
                <w:shd w:val="clear" w:color="auto" w:fill="FFFFFF"/>
              </w:rPr>
              <w:t>NewBuild</w:t>
            </w:r>
            <w:proofErr w:type="spellEnd"/>
            <w:r w:rsidRPr="001413C4">
              <w:rPr>
                <w:rFonts w:ascii="Arial" w:hAnsi="Arial" w:cs="Arial"/>
                <w:sz w:val="20"/>
                <w:szCs w:val="20"/>
                <w:shd w:val="clear" w:color="auto" w:fill="FFFFFF"/>
              </w:rPr>
              <w:t>)</w:t>
            </w:r>
          </w:p>
        </w:tc>
        <w:tc>
          <w:tcPr>
            <w:tcW w:w="632" w:type="dxa"/>
            <w:vAlign w:val="center"/>
            <w:hideMark/>
          </w:tcPr>
          <w:p w14:paraId="4860FD65"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9</w:t>
            </w:r>
          </w:p>
        </w:tc>
        <w:tc>
          <w:tcPr>
            <w:tcW w:w="1104" w:type="dxa"/>
            <w:vAlign w:val="center"/>
            <w:hideMark/>
          </w:tcPr>
          <w:p w14:paraId="4BE5E4B5"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1.63</w:t>
            </w:r>
          </w:p>
        </w:tc>
        <w:tc>
          <w:tcPr>
            <w:tcW w:w="1245" w:type="dxa"/>
            <w:vAlign w:val="center"/>
            <w:hideMark/>
          </w:tcPr>
          <w:p w14:paraId="4D83C580"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0.72</w:t>
            </w:r>
          </w:p>
        </w:tc>
        <w:tc>
          <w:tcPr>
            <w:tcW w:w="1395" w:type="dxa"/>
            <w:vAlign w:val="center"/>
            <w:hideMark/>
          </w:tcPr>
          <w:p w14:paraId="533C9FDB"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0.30</w:t>
            </w:r>
          </w:p>
        </w:tc>
      </w:tr>
      <w:tr w:rsidR="001413C4" w:rsidRPr="001413C4" w14:paraId="3C7F5B49" w14:textId="77777777" w:rsidTr="001413C4">
        <w:trPr>
          <w:tblCellSpacing w:w="15" w:type="dxa"/>
        </w:trPr>
        <w:tc>
          <w:tcPr>
            <w:tcW w:w="0" w:type="auto"/>
            <w:vAlign w:val="center"/>
            <w:hideMark/>
          </w:tcPr>
          <w:p w14:paraId="027529AD"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s(</w:t>
            </w:r>
            <w:proofErr w:type="spellStart"/>
            <w:r w:rsidRPr="001413C4">
              <w:rPr>
                <w:rFonts w:ascii="Arial" w:hAnsi="Arial" w:cs="Arial"/>
                <w:sz w:val="20"/>
                <w:szCs w:val="20"/>
                <w:shd w:val="clear" w:color="auto" w:fill="FFFFFF"/>
              </w:rPr>
              <w:t>areaRain</w:t>
            </w:r>
            <w:proofErr w:type="spellEnd"/>
            <w:r w:rsidRPr="001413C4">
              <w:rPr>
                <w:rFonts w:ascii="Arial" w:hAnsi="Arial" w:cs="Arial"/>
                <w:sz w:val="20"/>
                <w:szCs w:val="20"/>
                <w:shd w:val="clear" w:color="auto" w:fill="FFFFFF"/>
              </w:rPr>
              <w:t>)</w:t>
            </w:r>
          </w:p>
        </w:tc>
        <w:tc>
          <w:tcPr>
            <w:tcW w:w="632" w:type="dxa"/>
            <w:vAlign w:val="center"/>
            <w:hideMark/>
          </w:tcPr>
          <w:p w14:paraId="63CC73F0"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9</w:t>
            </w:r>
          </w:p>
        </w:tc>
        <w:tc>
          <w:tcPr>
            <w:tcW w:w="1104" w:type="dxa"/>
            <w:vAlign w:val="center"/>
            <w:hideMark/>
          </w:tcPr>
          <w:p w14:paraId="3588B0D5"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3.77</w:t>
            </w:r>
          </w:p>
        </w:tc>
        <w:tc>
          <w:tcPr>
            <w:tcW w:w="1245" w:type="dxa"/>
            <w:vAlign w:val="center"/>
            <w:hideMark/>
          </w:tcPr>
          <w:p w14:paraId="57F4A269"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0.72</w:t>
            </w:r>
          </w:p>
        </w:tc>
        <w:tc>
          <w:tcPr>
            <w:tcW w:w="1395" w:type="dxa"/>
            <w:vAlign w:val="center"/>
            <w:hideMark/>
          </w:tcPr>
          <w:p w14:paraId="5F07777A"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0.37</w:t>
            </w:r>
          </w:p>
        </w:tc>
      </w:tr>
      <w:tr w:rsidR="001413C4" w:rsidRPr="001413C4" w14:paraId="1D3AAD64" w14:textId="77777777" w:rsidTr="001413C4">
        <w:trPr>
          <w:tblCellSpacing w:w="15" w:type="dxa"/>
        </w:trPr>
        <w:tc>
          <w:tcPr>
            <w:tcW w:w="0" w:type="auto"/>
            <w:tcBorders>
              <w:bottom w:val="single" w:sz="4" w:space="0" w:color="auto"/>
            </w:tcBorders>
            <w:vAlign w:val="center"/>
            <w:hideMark/>
          </w:tcPr>
          <w:p w14:paraId="7CDDE2CC"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s(</w:t>
            </w:r>
            <w:proofErr w:type="spellStart"/>
            <w:r w:rsidRPr="001413C4">
              <w:rPr>
                <w:rFonts w:ascii="Arial" w:hAnsi="Arial" w:cs="Arial"/>
                <w:sz w:val="20"/>
                <w:szCs w:val="20"/>
                <w:shd w:val="clear" w:color="auto" w:fill="FFFFFF"/>
              </w:rPr>
              <w:t>fctImp</w:t>
            </w:r>
            <w:proofErr w:type="spellEnd"/>
            <w:r w:rsidRPr="001413C4">
              <w:rPr>
                <w:rFonts w:ascii="Arial" w:hAnsi="Arial" w:cs="Arial"/>
                <w:sz w:val="20"/>
                <w:szCs w:val="20"/>
                <w:shd w:val="clear" w:color="auto" w:fill="FFFFFF"/>
              </w:rPr>
              <w:t>)</w:t>
            </w:r>
          </w:p>
        </w:tc>
        <w:tc>
          <w:tcPr>
            <w:tcW w:w="632" w:type="dxa"/>
            <w:tcBorders>
              <w:bottom w:val="single" w:sz="4" w:space="0" w:color="auto"/>
            </w:tcBorders>
            <w:vAlign w:val="center"/>
            <w:hideMark/>
          </w:tcPr>
          <w:p w14:paraId="67529FCC"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9</w:t>
            </w:r>
          </w:p>
        </w:tc>
        <w:tc>
          <w:tcPr>
            <w:tcW w:w="1104" w:type="dxa"/>
            <w:tcBorders>
              <w:bottom w:val="single" w:sz="4" w:space="0" w:color="auto"/>
            </w:tcBorders>
            <w:vAlign w:val="center"/>
            <w:hideMark/>
          </w:tcPr>
          <w:p w14:paraId="67C94054"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4.81</w:t>
            </w:r>
          </w:p>
        </w:tc>
        <w:tc>
          <w:tcPr>
            <w:tcW w:w="1245" w:type="dxa"/>
            <w:tcBorders>
              <w:bottom w:val="single" w:sz="4" w:space="0" w:color="auto"/>
            </w:tcBorders>
            <w:vAlign w:val="center"/>
            <w:hideMark/>
          </w:tcPr>
          <w:p w14:paraId="2EB5D3F2"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0.74</w:t>
            </w:r>
          </w:p>
        </w:tc>
        <w:tc>
          <w:tcPr>
            <w:tcW w:w="1395" w:type="dxa"/>
            <w:tcBorders>
              <w:bottom w:val="single" w:sz="4" w:space="0" w:color="auto"/>
            </w:tcBorders>
            <w:vAlign w:val="center"/>
            <w:hideMark/>
          </w:tcPr>
          <w:p w14:paraId="1090C74E" w14:textId="77777777" w:rsidR="001413C4" w:rsidRPr="001413C4" w:rsidRDefault="001413C4" w:rsidP="001413C4">
            <w:pPr>
              <w:pBdr>
                <w:top w:val="nil"/>
                <w:left w:val="nil"/>
                <w:bottom w:val="nil"/>
                <w:right w:val="nil"/>
                <w:between w:val="nil"/>
              </w:pBdr>
              <w:adjustRightInd w:val="0"/>
              <w:snapToGrid w:val="0"/>
              <w:rPr>
                <w:rFonts w:ascii="Arial" w:hAnsi="Arial" w:cs="Arial"/>
                <w:sz w:val="20"/>
                <w:szCs w:val="20"/>
                <w:shd w:val="clear" w:color="auto" w:fill="FFFFFF"/>
              </w:rPr>
            </w:pPr>
            <w:r w:rsidRPr="001413C4">
              <w:rPr>
                <w:rFonts w:ascii="Arial" w:hAnsi="Arial" w:cs="Arial"/>
                <w:sz w:val="20"/>
                <w:szCs w:val="20"/>
                <w:shd w:val="clear" w:color="auto" w:fill="FFFFFF"/>
              </w:rPr>
              <w:t>0.77</w:t>
            </w:r>
          </w:p>
        </w:tc>
      </w:tr>
    </w:tbl>
    <w:p w14:paraId="5CC845FB" w14:textId="77777777" w:rsidR="003C143D" w:rsidRDefault="003C143D" w:rsidP="003C143D">
      <w:pPr>
        <w:pBdr>
          <w:top w:val="nil"/>
          <w:left w:val="nil"/>
          <w:bottom w:val="nil"/>
          <w:right w:val="nil"/>
          <w:between w:val="nil"/>
        </w:pBdr>
        <w:spacing w:line="480" w:lineRule="auto"/>
        <w:contextualSpacing/>
        <w:rPr>
          <w:rFonts w:ascii="Arial" w:hAnsi="Arial" w:cs="Arial"/>
          <w:b/>
          <w:color w:val="000000"/>
          <w:szCs w:val="21"/>
        </w:rPr>
      </w:pPr>
    </w:p>
    <w:p w14:paraId="645DE9E9" w14:textId="66F9200F" w:rsidR="00037214" w:rsidRPr="003C143D" w:rsidRDefault="00260D5F" w:rsidP="003C143D">
      <w:pPr>
        <w:pBdr>
          <w:top w:val="nil"/>
          <w:left w:val="nil"/>
          <w:bottom w:val="nil"/>
          <w:right w:val="nil"/>
          <w:between w:val="nil"/>
        </w:pBdr>
        <w:spacing w:line="480" w:lineRule="auto"/>
        <w:contextualSpacing/>
        <w:outlineLvl w:val="1"/>
        <w:rPr>
          <w:rFonts w:ascii="Arial" w:hAnsi="Arial" w:cs="Arial"/>
          <w:b/>
          <w:color w:val="000000"/>
          <w:szCs w:val="21"/>
        </w:rPr>
      </w:pPr>
      <w:r>
        <w:rPr>
          <w:rFonts w:ascii="Arial" w:hAnsi="Arial" w:cs="Arial" w:hint="eastAsia"/>
          <w:b/>
          <w:color w:val="000000"/>
          <w:szCs w:val="21"/>
        </w:rPr>
        <w:t>S</w:t>
      </w:r>
      <w:r w:rsidR="003778AB">
        <w:rPr>
          <w:rFonts w:ascii="Arial" w:hAnsi="Arial" w:cs="Arial" w:hint="eastAsia"/>
          <w:b/>
          <w:color w:val="000000"/>
          <w:szCs w:val="21"/>
        </w:rPr>
        <w:t>3</w:t>
      </w:r>
      <w:r w:rsidR="003C143D" w:rsidRPr="003C143D">
        <w:rPr>
          <w:rFonts w:ascii="Arial" w:hAnsi="Arial" w:cs="Arial" w:hint="eastAsia"/>
          <w:b/>
          <w:color w:val="000000"/>
          <w:szCs w:val="21"/>
        </w:rPr>
        <w:t>.</w:t>
      </w:r>
      <w:r w:rsidR="003C143D">
        <w:rPr>
          <w:rFonts w:ascii="Arial" w:hAnsi="Arial" w:cs="Arial" w:hint="eastAsia"/>
          <w:b/>
          <w:color w:val="000000"/>
          <w:szCs w:val="21"/>
        </w:rPr>
        <w:t xml:space="preserve"> </w:t>
      </w:r>
      <w:r w:rsidR="003C143D" w:rsidRPr="003C143D">
        <w:rPr>
          <w:rFonts w:ascii="Arial" w:hAnsi="Arial" w:cs="Arial" w:hint="eastAsia"/>
          <w:b/>
          <w:color w:val="000000"/>
          <w:szCs w:val="21"/>
        </w:rPr>
        <w:t>Sensitivity Analysis of Alternative Inter-Event Interval Thresholds</w:t>
      </w:r>
    </w:p>
    <w:p w14:paraId="5FAC56E0" w14:textId="2A0ECA55" w:rsidR="00F82049" w:rsidRPr="001413C4" w:rsidRDefault="00F82049" w:rsidP="001413C4">
      <w:pPr>
        <w:spacing w:line="360" w:lineRule="auto"/>
        <w:ind w:firstLine="420"/>
        <w:rPr>
          <w:rFonts w:ascii="Arial" w:hAnsi="Arial" w:cs="Arial"/>
          <w:sz w:val="20"/>
          <w:szCs w:val="20"/>
          <w:shd w:val="clear" w:color="auto" w:fill="FFFFFF"/>
        </w:rPr>
      </w:pPr>
      <w:r w:rsidRPr="001413C4">
        <w:rPr>
          <w:rFonts w:ascii="Arial" w:hAnsi="Arial" w:cs="Arial" w:hint="eastAsia"/>
          <w:sz w:val="20"/>
          <w:szCs w:val="20"/>
          <w:shd w:val="clear" w:color="auto" w:fill="FFFFFF"/>
        </w:rPr>
        <w:t>To evaluate the robustness of the interaction effect between prior recovery level and inter-event interval, we sequentially tested a series of alternative thresholds at both ends of the interval distribution</w:t>
      </w:r>
      <w:r w:rsidR="001842A9">
        <w:rPr>
          <w:rFonts w:ascii="Arial" w:hAnsi="Arial" w:cs="Arial" w:hint="eastAsia"/>
          <w:sz w:val="20"/>
          <w:szCs w:val="20"/>
          <w:shd w:val="clear" w:color="auto" w:fill="FFFFFF"/>
        </w:rPr>
        <w:t xml:space="preserve"> (</w:t>
      </w:r>
      <w:r w:rsidR="001842A9" w:rsidRPr="001842A9">
        <w:rPr>
          <w:rFonts w:ascii="Arial" w:hAnsi="Arial" w:cs="Arial" w:hint="eastAsia"/>
          <w:sz w:val="20"/>
          <w:szCs w:val="20"/>
          <w:shd w:val="clear" w:color="auto" w:fill="FFFFFF"/>
        </w:rPr>
        <w:t>Table S2</w:t>
      </w:r>
      <w:r w:rsidR="001842A9">
        <w:rPr>
          <w:rFonts w:ascii="Arial" w:hAnsi="Arial" w:cs="Arial" w:hint="eastAsia"/>
          <w:sz w:val="20"/>
          <w:szCs w:val="20"/>
          <w:shd w:val="clear" w:color="auto" w:fill="FFFFFF"/>
        </w:rPr>
        <w:t>)</w:t>
      </w:r>
      <w:r w:rsidRPr="001413C4">
        <w:rPr>
          <w:rFonts w:ascii="Arial" w:hAnsi="Arial" w:cs="Arial" w:hint="eastAsia"/>
          <w:sz w:val="20"/>
          <w:szCs w:val="20"/>
          <w:shd w:val="clear" w:color="auto" w:fill="FFFFFF"/>
        </w:rPr>
        <w:t>. This procedure allowed us to progressively identify the effective temporal range of the compound effect from both the lower and upper boundaries.</w:t>
      </w:r>
    </w:p>
    <w:p w14:paraId="718DC289" w14:textId="77777777" w:rsidR="00F82049" w:rsidRPr="001413C4" w:rsidRDefault="00F82049" w:rsidP="001413C4">
      <w:pPr>
        <w:pStyle w:val="a8"/>
        <w:widowControl/>
        <w:numPr>
          <w:ilvl w:val="0"/>
          <w:numId w:val="11"/>
        </w:numPr>
        <w:spacing w:line="360" w:lineRule="auto"/>
        <w:ind w:left="0" w:firstLineChars="0" w:firstLine="0"/>
        <w:contextualSpacing/>
        <w:rPr>
          <w:rFonts w:ascii="Arial" w:hAnsi="Arial" w:cs="Arial"/>
          <w:sz w:val="20"/>
          <w:szCs w:val="20"/>
          <w:shd w:val="clear" w:color="auto" w:fill="FFFFFF"/>
        </w:rPr>
      </w:pPr>
      <w:r w:rsidRPr="001413C4">
        <w:rPr>
          <w:rFonts w:ascii="Arial" w:hAnsi="Arial" w:cs="Arial"/>
          <w:sz w:val="20"/>
          <w:szCs w:val="20"/>
          <w:shd w:val="clear" w:color="auto" w:fill="FFFFFF"/>
        </w:rPr>
        <w:t>At the upper bound, we examined progressively longer interval definitions (&gt;9, &gt;10, &gt;11, and &gt;12 months). The interaction term remained significant for the &gt;9</w:t>
      </w:r>
      <w:r w:rsidRPr="001413C4">
        <w:rPr>
          <w:rFonts w:ascii="Arial" w:hAnsi="Arial" w:cs="Arial" w:hint="eastAsia"/>
          <w:sz w:val="20"/>
          <w:szCs w:val="20"/>
          <w:shd w:val="clear" w:color="auto" w:fill="FFFFFF"/>
        </w:rPr>
        <w:t>-</w:t>
      </w:r>
      <w:r w:rsidRPr="001413C4">
        <w:rPr>
          <w:rFonts w:ascii="Arial" w:hAnsi="Arial" w:cs="Arial"/>
          <w:sz w:val="20"/>
          <w:szCs w:val="20"/>
          <w:shd w:val="clear" w:color="auto" w:fill="FFFFFF"/>
        </w:rPr>
        <w:t>month grouping (</w:t>
      </w:r>
      <w:proofErr w:type="gramStart"/>
      <w:r w:rsidRPr="001413C4">
        <w:rPr>
          <w:rFonts w:ascii="Arial" w:hAnsi="Arial" w:cs="Arial"/>
          <w:sz w:val="20"/>
          <w:szCs w:val="20"/>
          <w:shd w:val="clear" w:color="auto" w:fill="FFFFFF"/>
        </w:rPr>
        <w:t>coef.=</w:t>
      </w:r>
      <w:proofErr w:type="gramEnd"/>
      <w:r w:rsidRPr="001413C4">
        <w:rPr>
          <w:rFonts w:ascii="Arial" w:hAnsi="Arial" w:cs="Arial"/>
          <w:sz w:val="20"/>
          <w:szCs w:val="20"/>
          <w:shd w:val="clear" w:color="auto" w:fill="FFFFFF"/>
        </w:rPr>
        <w:t>−0.522, p=0.005), but became consistently insignificant once the thresh</w:t>
      </w:r>
      <w:r w:rsidRPr="001413C4">
        <w:rPr>
          <w:rFonts w:ascii="Arial" w:hAnsi="Arial" w:cs="Arial" w:hint="eastAsia"/>
          <w:sz w:val="20"/>
          <w:szCs w:val="20"/>
          <w:shd w:val="clear" w:color="auto" w:fill="FFFFFF"/>
        </w:rPr>
        <w:t>old exceeded 10 months (&gt;10: p=0.165; &gt;11: p=0.347; &gt;12: p=0.917). This suggests that when the interval between two flood events exceeds approximately 10 months, the recovery state from the prior event no longer shows a statistically detectable association with subsequent losses, indicating that the events increasingly behave as independent shocks. These results therefore identify the stable upper boundary of the temporal compound effect.</w:t>
      </w:r>
    </w:p>
    <w:p w14:paraId="666D08F0" w14:textId="14F3CF35" w:rsidR="00F82049" w:rsidRPr="001413C4" w:rsidRDefault="00F82049" w:rsidP="001413C4">
      <w:pPr>
        <w:pStyle w:val="a8"/>
        <w:widowControl/>
        <w:numPr>
          <w:ilvl w:val="0"/>
          <w:numId w:val="11"/>
        </w:numPr>
        <w:spacing w:line="360" w:lineRule="auto"/>
        <w:ind w:left="0" w:firstLineChars="0" w:firstLine="0"/>
        <w:contextualSpacing/>
        <w:rPr>
          <w:rFonts w:ascii="Arial" w:hAnsi="Arial" w:cs="Arial"/>
          <w:sz w:val="20"/>
          <w:szCs w:val="20"/>
          <w:shd w:val="clear" w:color="auto" w:fill="FFFFFF"/>
        </w:rPr>
      </w:pPr>
      <w:r w:rsidRPr="001413C4">
        <w:rPr>
          <w:rFonts w:ascii="Arial" w:hAnsi="Arial" w:cs="Arial" w:hint="eastAsia"/>
          <w:sz w:val="20"/>
          <w:szCs w:val="20"/>
          <w:shd w:val="clear" w:color="auto" w:fill="FFFFFF"/>
        </w:rPr>
        <w:lastRenderedPageBreak/>
        <w:t>At the lower bound, when the analysis focused on extremely short intervals (</w:t>
      </w:r>
      <w:r w:rsidRPr="001413C4">
        <w:rPr>
          <w:rFonts w:ascii="Arial" w:hAnsi="Arial" w:cs="Arial"/>
          <w:sz w:val="20"/>
          <w:szCs w:val="20"/>
          <w:shd w:val="clear" w:color="auto" w:fill="FFFFFF"/>
        </w:rPr>
        <w:t>≤</w:t>
      </w:r>
      <w:r w:rsidRPr="001413C4">
        <w:rPr>
          <w:rFonts w:ascii="Arial" w:hAnsi="Arial" w:cs="Arial" w:hint="eastAsia"/>
          <w:sz w:val="20"/>
          <w:szCs w:val="20"/>
          <w:shd w:val="clear" w:color="auto" w:fill="FFFFFF"/>
        </w:rPr>
        <w:t>3 and</w:t>
      </w:r>
      <w:r w:rsidRPr="001413C4">
        <w:rPr>
          <w:rFonts w:ascii="Arial" w:hAnsi="Arial" w:cs="Arial"/>
          <w:sz w:val="20"/>
          <w:szCs w:val="20"/>
          <w:shd w:val="clear" w:color="auto" w:fill="FFFFFF"/>
        </w:rPr>
        <w:t xml:space="preserve"> ≤</w:t>
      </w:r>
      <w:r w:rsidRPr="001413C4">
        <w:rPr>
          <w:rFonts w:ascii="Arial" w:hAnsi="Arial" w:cs="Arial" w:hint="eastAsia"/>
          <w:sz w:val="20"/>
          <w:szCs w:val="20"/>
          <w:shd w:val="clear" w:color="auto" w:fill="FFFFFF"/>
        </w:rPr>
        <w:t>4 months), the interaction term consistently reversed sign and became positive (</w:t>
      </w:r>
      <w:r w:rsidRPr="001413C4">
        <w:rPr>
          <w:rFonts w:ascii="Arial" w:hAnsi="Arial" w:cs="Arial"/>
          <w:sz w:val="20"/>
          <w:szCs w:val="20"/>
          <w:shd w:val="clear" w:color="auto" w:fill="FFFFFF"/>
        </w:rPr>
        <w:t>≤</w:t>
      </w:r>
      <w:r w:rsidRPr="001413C4">
        <w:rPr>
          <w:rFonts w:ascii="Arial" w:hAnsi="Arial" w:cs="Arial" w:hint="eastAsia"/>
          <w:sz w:val="20"/>
          <w:szCs w:val="20"/>
          <w:shd w:val="clear" w:color="auto" w:fill="FFFFFF"/>
        </w:rPr>
        <w:t>3</w:t>
      </w:r>
      <w:r w:rsidRPr="001413C4">
        <w:rPr>
          <w:rFonts w:ascii="Arial" w:hAnsi="Arial" w:cs="Arial"/>
          <w:sz w:val="20"/>
          <w:szCs w:val="20"/>
          <w:shd w:val="clear" w:color="auto" w:fill="FFFFFF"/>
        </w:rPr>
        <w:t xml:space="preserve">: </w:t>
      </w:r>
      <w:proofErr w:type="gramStart"/>
      <w:r w:rsidRPr="001413C4">
        <w:rPr>
          <w:rFonts w:ascii="Arial" w:hAnsi="Arial" w:cs="Arial" w:hint="eastAsia"/>
          <w:sz w:val="20"/>
          <w:szCs w:val="20"/>
          <w:shd w:val="clear" w:color="auto" w:fill="FFFFFF"/>
        </w:rPr>
        <w:t>coef.=</w:t>
      </w:r>
      <w:proofErr w:type="gramEnd"/>
      <w:r w:rsidRPr="001413C4">
        <w:rPr>
          <w:rFonts w:ascii="Arial" w:hAnsi="Arial" w:cs="Arial" w:hint="eastAsia"/>
          <w:sz w:val="20"/>
          <w:szCs w:val="20"/>
          <w:shd w:val="clear" w:color="auto" w:fill="FFFFFF"/>
        </w:rPr>
        <w:t>0.112, p</w:t>
      </w:r>
      <w:r w:rsidR="00AD3921">
        <w:rPr>
          <w:rFonts w:ascii="Arial" w:hAnsi="Arial" w:cs="Arial" w:hint="eastAsia"/>
          <w:sz w:val="20"/>
          <w:szCs w:val="20"/>
          <w:shd w:val="clear" w:color="auto" w:fill="FFFFFF"/>
        </w:rPr>
        <w:t>=</w:t>
      </w:r>
      <w:r w:rsidRPr="001413C4">
        <w:rPr>
          <w:rFonts w:ascii="Arial" w:hAnsi="Arial" w:cs="Arial" w:hint="eastAsia"/>
          <w:sz w:val="20"/>
          <w:szCs w:val="20"/>
          <w:shd w:val="clear" w:color="auto" w:fill="FFFFFF"/>
        </w:rPr>
        <w:t xml:space="preserve">0.048; </w:t>
      </w:r>
      <w:r w:rsidRPr="001413C4">
        <w:rPr>
          <w:rFonts w:ascii="Arial" w:hAnsi="Arial" w:cs="Arial"/>
          <w:sz w:val="20"/>
          <w:szCs w:val="20"/>
          <w:shd w:val="clear" w:color="auto" w:fill="FFFFFF"/>
        </w:rPr>
        <w:t>≤</w:t>
      </w:r>
      <w:r w:rsidRPr="001413C4">
        <w:rPr>
          <w:rFonts w:ascii="Arial" w:hAnsi="Arial" w:cs="Arial" w:hint="eastAsia"/>
          <w:sz w:val="20"/>
          <w:szCs w:val="20"/>
          <w:shd w:val="clear" w:color="auto" w:fill="FFFFFF"/>
        </w:rPr>
        <w:t xml:space="preserve">4: coef. =0.118, p=0.042). This indicates that under extremely short recovery intervals, higher prior recovery levels were associated with greater subsequent losses, consistent with a </w:t>
      </w:r>
      <w:r w:rsidRPr="001413C4">
        <w:rPr>
          <w:rFonts w:ascii="Arial" w:hAnsi="Arial" w:cs="Arial"/>
          <w:sz w:val="20"/>
          <w:szCs w:val="20"/>
          <w:shd w:val="clear" w:color="auto" w:fill="FFFFFF"/>
        </w:rPr>
        <w:t>“</w:t>
      </w:r>
      <w:r w:rsidRPr="001413C4">
        <w:rPr>
          <w:rFonts w:ascii="Arial" w:hAnsi="Arial" w:cs="Arial" w:hint="eastAsia"/>
          <w:sz w:val="20"/>
          <w:szCs w:val="20"/>
          <w:shd w:val="clear" w:color="auto" w:fill="FFFFFF"/>
        </w:rPr>
        <w:t>secondary shock before recovery consolidation</w:t>
      </w:r>
      <w:r w:rsidRPr="001413C4">
        <w:rPr>
          <w:rFonts w:ascii="Arial" w:hAnsi="Arial" w:cs="Arial"/>
          <w:sz w:val="20"/>
          <w:szCs w:val="20"/>
          <w:shd w:val="clear" w:color="auto" w:fill="FFFFFF"/>
        </w:rPr>
        <w:t>”</w:t>
      </w:r>
      <w:r w:rsidRPr="001413C4">
        <w:rPr>
          <w:rFonts w:ascii="Arial" w:hAnsi="Arial" w:cs="Arial" w:hint="eastAsia"/>
          <w:sz w:val="20"/>
          <w:szCs w:val="20"/>
          <w:shd w:val="clear" w:color="auto" w:fill="FFFFFF"/>
        </w:rPr>
        <w:t xml:space="preserve"> mechanism, in which recovery resources remain insufficiently stabilized before t</w:t>
      </w:r>
      <w:r w:rsidRPr="001413C4">
        <w:rPr>
          <w:rFonts w:ascii="Arial" w:hAnsi="Arial" w:cs="Arial"/>
          <w:sz w:val="20"/>
          <w:szCs w:val="20"/>
          <w:shd w:val="clear" w:color="auto" w:fill="FFFFFF"/>
        </w:rPr>
        <w:t>he next disaster occurs. However, once the interval exceeded 4 months, the interaction term became stably negative and statistically significant (</w:t>
      </w:r>
      <w:proofErr w:type="gramStart"/>
      <w:r w:rsidRPr="001413C4">
        <w:rPr>
          <w:rFonts w:ascii="Arial" w:hAnsi="Arial" w:cs="Arial"/>
          <w:sz w:val="20"/>
          <w:szCs w:val="20"/>
          <w:shd w:val="clear" w:color="auto" w:fill="FFFFFF"/>
        </w:rPr>
        <w:t>coef.=</w:t>
      </w:r>
      <w:proofErr w:type="gramEnd"/>
      <w:r w:rsidRPr="001413C4">
        <w:rPr>
          <w:rFonts w:ascii="Arial" w:hAnsi="Arial" w:cs="Arial"/>
          <w:sz w:val="20"/>
          <w:szCs w:val="20"/>
          <w:shd w:val="clear" w:color="auto" w:fill="FFFFFF"/>
        </w:rPr>
        <w:t>−0.46 to −0.55, p&lt;0.01). This sign reversal therefore identifies the approximate lower boundary of t</w:t>
      </w:r>
      <w:r w:rsidRPr="001413C4">
        <w:rPr>
          <w:rFonts w:ascii="Arial" w:hAnsi="Arial" w:cs="Arial" w:hint="eastAsia"/>
          <w:sz w:val="20"/>
          <w:szCs w:val="20"/>
          <w:shd w:val="clear" w:color="auto" w:fill="FFFFFF"/>
        </w:rPr>
        <w:t>he effect.</w:t>
      </w:r>
    </w:p>
    <w:p w14:paraId="7FFCD319" w14:textId="77777777" w:rsidR="00F82049" w:rsidRPr="001413C4" w:rsidRDefault="00F82049" w:rsidP="001413C4">
      <w:pPr>
        <w:spacing w:line="360" w:lineRule="auto"/>
        <w:ind w:firstLine="420"/>
        <w:rPr>
          <w:rFonts w:ascii="Arial" w:hAnsi="Arial" w:cs="Arial"/>
          <w:sz w:val="20"/>
          <w:szCs w:val="20"/>
          <w:shd w:val="clear" w:color="auto" w:fill="FFFFFF"/>
        </w:rPr>
      </w:pPr>
      <w:r w:rsidRPr="001413C4">
        <w:rPr>
          <w:rFonts w:ascii="Arial" w:hAnsi="Arial" w:cs="Arial"/>
          <w:sz w:val="20"/>
          <w:szCs w:val="20"/>
          <w:shd w:val="clear" w:color="auto" w:fill="FFFFFF"/>
        </w:rPr>
        <w:t xml:space="preserve">Taken together, the lower boundary (~4 months, where the coefficient shifts from positive to negative) and the upper boundary (~10 months, where the interaction effect disappears) jointly delimit the empirically stable </w:t>
      </w:r>
      <w:proofErr w:type="gramStart"/>
      <w:r w:rsidRPr="001413C4">
        <w:rPr>
          <w:rFonts w:ascii="Arial" w:hAnsi="Arial" w:cs="Arial"/>
          <w:sz w:val="20"/>
          <w:szCs w:val="20"/>
          <w:shd w:val="clear" w:color="auto" w:fill="FFFFFF"/>
        </w:rPr>
        <w:t>4</w:t>
      </w:r>
      <w:r w:rsidRPr="001413C4">
        <w:rPr>
          <w:rFonts w:ascii="Arial" w:hAnsi="Arial" w:cs="Arial" w:hint="eastAsia"/>
          <w:sz w:val="20"/>
          <w:szCs w:val="20"/>
          <w:shd w:val="clear" w:color="auto" w:fill="FFFFFF"/>
        </w:rPr>
        <w:t>-</w:t>
      </w:r>
      <w:r w:rsidRPr="001413C4">
        <w:rPr>
          <w:rFonts w:ascii="Arial" w:hAnsi="Arial" w:cs="Arial"/>
          <w:sz w:val="20"/>
          <w:szCs w:val="20"/>
          <w:shd w:val="clear" w:color="auto" w:fill="FFFFFF"/>
        </w:rPr>
        <w:t>9 month</w:t>
      </w:r>
      <w:proofErr w:type="gramEnd"/>
      <w:r w:rsidRPr="001413C4">
        <w:rPr>
          <w:rFonts w:ascii="Arial" w:hAnsi="Arial" w:cs="Arial"/>
          <w:sz w:val="20"/>
          <w:szCs w:val="20"/>
          <w:shd w:val="clear" w:color="auto" w:fill="FFFFFF"/>
        </w:rPr>
        <w:t xml:space="preserve"> interval, within which higher prior recovery levels are consistently associated with lower subsequent losses.</w:t>
      </w:r>
    </w:p>
    <w:p w14:paraId="7ECCF078" w14:textId="1386AEF4" w:rsidR="00F82049" w:rsidRPr="00231C0D" w:rsidRDefault="00F82049" w:rsidP="00F82049">
      <w:pPr>
        <w:rPr>
          <w:rFonts w:ascii="Arial" w:hAnsi="Arial" w:cs="Arial"/>
          <w:b/>
          <w:bCs/>
        </w:rPr>
      </w:pPr>
      <w:bookmarkStart w:id="3" w:name="OLE_LINK2"/>
      <w:r w:rsidRPr="00231C0D">
        <w:rPr>
          <w:rFonts w:ascii="Arial" w:hAnsi="Arial" w:cs="Arial" w:hint="eastAsia"/>
          <w:b/>
          <w:bCs/>
        </w:rPr>
        <w:t>Table S</w:t>
      </w:r>
      <w:r w:rsidR="001413C4" w:rsidRPr="00231C0D">
        <w:rPr>
          <w:rFonts w:ascii="Arial" w:hAnsi="Arial" w:cs="Arial" w:hint="eastAsia"/>
          <w:b/>
          <w:bCs/>
        </w:rPr>
        <w:t>2</w:t>
      </w:r>
      <w:r w:rsidRPr="00231C0D">
        <w:rPr>
          <w:rFonts w:ascii="Arial" w:hAnsi="Arial" w:cs="Arial"/>
          <w:b/>
          <w:bCs/>
        </w:rPr>
        <w:t>. Sensitivity analysis across interval thresholds</w:t>
      </w:r>
    </w:p>
    <w:tbl>
      <w:tblPr>
        <w:tblW w:w="8222" w:type="dxa"/>
        <w:tblCellSpacing w:w="15" w:type="dxa"/>
        <w:tblCellMar>
          <w:top w:w="15" w:type="dxa"/>
          <w:left w:w="15" w:type="dxa"/>
          <w:bottom w:w="15" w:type="dxa"/>
          <w:right w:w="15" w:type="dxa"/>
        </w:tblCellMar>
        <w:tblLook w:val="04A0" w:firstRow="1" w:lastRow="0" w:firstColumn="1" w:lastColumn="0" w:noHBand="0" w:noVBand="1"/>
      </w:tblPr>
      <w:tblGrid>
        <w:gridCol w:w="1418"/>
        <w:gridCol w:w="709"/>
        <w:gridCol w:w="2125"/>
        <w:gridCol w:w="993"/>
        <w:gridCol w:w="992"/>
        <w:gridCol w:w="1985"/>
      </w:tblGrid>
      <w:tr w:rsidR="00231C0D" w:rsidRPr="00231C0D" w14:paraId="5C85945C" w14:textId="77777777" w:rsidTr="00EB05D5">
        <w:trPr>
          <w:tblCellSpacing w:w="15" w:type="dxa"/>
        </w:trPr>
        <w:tc>
          <w:tcPr>
            <w:tcW w:w="1373" w:type="dxa"/>
            <w:tcBorders>
              <w:top w:val="single" w:sz="4" w:space="0" w:color="auto"/>
              <w:bottom w:val="single" w:sz="4" w:space="0" w:color="auto"/>
            </w:tcBorders>
            <w:vAlign w:val="center"/>
            <w:hideMark/>
          </w:tcPr>
          <w:p w14:paraId="1732170B" w14:textId="77777777" w:rsidR="00F82049" w:rsidRPr="00231C0D" w:rsidRDefault="00F82049" w:rsidP="00231C0D">
            <w:pPr>
              <w:snapToGrid w:val="0"/>
              <w:rPr>
                <w:rFonts w:ascii="Arial" w:hAnsi="Arial" w:cs="Arial"/>
                <w:b/>
                <w:bCs/>
              </w:rPr>
            </w:pPr>
            <w:r w:rsidRPr="00231C0D">
              <w:rPr>
                <w:rFonts w:ascii="Arial" w:hAnsi="Arial" w:cs="Arial"/>
                <w:b/>
                <w:bCs/>
              </w:rPr>
              <w:t>Threshold</w:t>
            </w:r>
          </w:p>
        </w:tc>
        <w:tc>
          <w:tcPr>
            <w:tcW w:w="679" w:type="dxa"/>
            <w:tcBorders>
              <w:top w:val="single" w:sz="4" w:space="0" w:color="auto"/>
              <w:bottom w:val="single" w:sz="4" w:space="0" w:color="auto"/>
            </w:tcBorders>
          </w:tcPr>
          <w:p w14:paraId="77AAC6C0" w14:textId="77777777" w:rsidR="00F82049" w:rsidRPr="00231C0D" w:rsidRDefault="00F82049" w:rsidP="00231C0D">
            <w:pPr>
              <w:snapToGrid w:val="0"/>
              <w:rPr>
                <w:rFonts w:ascii="Arial" w:hAnsi="Arial" w:cs="Arial"/>
                <w:b/>
                <w:bCs/>
              </w:rPr>
            </w:pPr>
            <w:r w:rsidRPr="00231C0D">
              <w:rPr>
                <w:rFonts w:ascii="Arial" w:hAnsi="Arial" w:cs="Arial" w:hint="eastAsia"/>
                <w:b/>
                <w:bCs/>
              </w:rPr>
              <w:t>N</w:t>
            </w:r>
          </w:p>
        </w:tc>
        <w:tc>
          <w:tcPr>
            <w:tcW w:w="2095" w:type="dxa"/>
            <w:tcBorders>
              <w:top w:val="single" w:sz="4" w:space="0" w:color="auto"/>
              <w:bottom w:val="single" w:sz="4" w:space="0" w:color="auto"/>
            </w:tcBorders>
            <w:vAlign w:val="center"/>
            <w:hideMark/>
          </w:tcPr>
          <w:p w14:paraId="6D97B812" w14:textId="77777777" w:rsidR="00F82049" w:rsidRPr="00231C0D" w:rsidRDefault="00F82049" w:rsidP="00231C0D">
            <w:pPr>
              <w:snapToGrid w:val="0"/>
              <w:rPr>
                <w:rFonts w:ascii="Arial" w:hAnsi="Arial" w:cs="Arial"/>
                <w:b/>
                <w:bCs/>
              </w:rPr>
            </w:pPr>
            <w:r w:rsidRPr="00231C0D">
              <w:rPr>
                <w:rFonts w:ascii="Arial" w:hAnsi="Arial" w:cs="Arial" w:hint="eastAsia"/>
                <w:b/>
                <w:bCs/>
              </w:rPr>
              <w:t>Coefficient</w:t>
            </w:r>
          </w:p>
        </w:tc>
        <w:tc>
          <w:tcPr>
            <w:tcW w:w="963" w:type="dxa"/>
            <w:tcBorders>
              <w:top w:val="single" w:sz="4" w:space="0" w:color="auto"/>
              <w:bottom w:val="single" w:sz="4" w:space="0" w:color="auto"/>
            </w:tcBorders>
            <w:vAlign w:val="center"/>
            <w:hideMark/>
          </w:tcPr>
          <w:p w14:paraId="707D8259" w14:textId="77777777" w:rsidR="00F82049" w:rsidRPr="00231C0D" w:rsidRDefault="00F82049" w:rsidP="00231C0D">
            <w:pPr>
              <w:snapToGrid w:val="0"/>
              <w:rPr>
                <w:rFonts w:ascii="Arial" w:hAnsi="Arial" w:cs="Arial"/>
                <w:b/>
                <w:bCs/>
              </w:rPr>
            </w:pPr>
            <w:r w:rsidRPr="00231C0D">
              <w:rPr>
                <w:rFonts w:ascii="Arial" w:hAnsi="Arial" w:cs="Arial"/>
                <w:b/>
                <w:bCs/>
              </w:rPr>
              <w:t>SE</w:t>
            </w:r>
          </w:p>
        </w:tc>
        <w:tc>
          <w:tcPr>
            <w:tcW w:w="962" w:type="dxa"/>
            <w:tcBorders>
              <w:top w:val="single" w:sz="4" w:space="0" w:color="auto"/>
              <w:bottom w:val="single" w:sz="4" w:space="0" w:color="auto"/>
            </w:tcBorders>
            <w:vAlign w:val="center"/>
            <w:hideMark/>
          </w:tcPr>
          <w:p w14:paraId="19FE7B42" w14:textId="77777777" w:rsidR="00F82049" w:rsidRPr="00231C0D" w:rsidRDefault="00F82049" w:rsidP="00231C0D">
            <w:pPr>
              <w:snapToGrid w:val="0"/>
              <w:rPr>
                <w:rFonts w:ascii="Arial" w:hAnsi="Arial" w:cs="Arial"/>
                <w:b/>
                <w:bCs/>
              </w:rPr>
            </w:pPr>
            <w:r w:rsidRPr="00231C0D">
              <w:rPr>
                <w:rFonts w:ascii="Arial" w:hAnsi="Arial" w:cs="Arial"/>
                <w:b/>
                <w:bCs/>
              </w:rPr>
              <w:t>p</w:t>
            </w:r>
          </w:p>
        </w:tc>
        <w:tc>
          <w:tcPr>
            <w:tcW w:w="1940" w:type="dxa"/>
            <w:tcBorders>
              <w:top w:val="single" w:sz="4" w:space="0" w:color="auto"/>
              <w:bottom w:val="single" w:sz="4" w:space="0" w:color="auto"/>
            </w:tcBorders>
            <w:vAlign w:val="center"/>
            <w:hideMark/>
          </w:tcPr>
          <w:p w14:paraId="52CB4E3E" w14:textId="77777777" w:rsidR="00F82049" w:rsidRPr="00231C0D" w:rsidRDefault="00F82049" w:rsidP="00231C0D">
            <w:pPr>
              <w:snapToGrid w:val="0"/>
              <w:rPr>
                <w:rFonts w:ascii="Arial" w:hAnsi="Arial" w:cs="Arial"/>
                <w:b/>
                <w:bCs/>
              </w:rPr>
            </w:pPr>
            <w:r w:rsidRPr="00231C0D">
              <w:rPr>
                <w:rFonts w:ascii="Arial" w:hAnsi="Arial" w:cs="Arial"/>
                <w:b/>
                <w:bCs/>
              </w:rPr>
              <w:t xml:space="preserve">95% CI </w:t>
            </w:r>
          </w:p>
        </w:tc>
      </w:tr>
      <w:tr w:rsidR="00231C0D" w:rsidRPr="00231C0D" w14:paraId="73654E59" w14:textId="77777777" w:rsidTr="00EB05D5">
        <w:trPr>
          <w:tblCellSpacing w:w="15" w:type="dxa"/>
        </w:trPr>
        <w:tc>
          <w:tcPr>
            <w:tcW w:w="1373" w:type="dxa"/>
            <w:vAlign w:val="center"/>
          </w:tcPr>
          <w:p w14:paraId="0B998696" w14:textId="77777777" w:rsidR="00F82049" w:rsidRPr="00231C0D" w:rsidRDefault="00F82049" w:rsidP="00231C0D">
            <w:pPr>
              <w:snapToGrid w:val="0"/>
              <w:rPr>
                <w:rFonts w:ascii="Arial" w:hAnsi="Arial" w:cs="Arial"/>
              </w:rPr>
            </w:pPr>
            <w:r w:rsidRPr="00231C0D">
              <w:rPr>
                <w:rFonts w:ascii="Arial" w:hAnsi="Arial" w:cs="Arial"/>
              </w:rPr>
              <w:t>≤</w:t>
            </w:r>
            <w:r w:rsidRPr="00231C0D">
              <w:rPr>
                <w:rFonts w:ascii="Arial" w:hAnsi="Arial" w:cs="Arial" w:hint="eastAsia"/>
              </w:rPr>
              <w:t>3</w:t>
            </w:r>
          </w:p>
        </w:tc>
        <w:tc>
          <w:tcPr>
            <w:tcW w:w="679" w:type="dxa"/>
          </w:tcPr>
          <w:p w14:paraId="1BCCD0F5" w14:textId="77777777" w:rsidR="00F82049" w:rsidRPr="00231C0D" w:rsidRDefault="00F82049" w:rsidP="00231C0D">
            <w:pPr>
              <w:snapToGrid w:val="0"/>
              <w:rPr>
                <w:rFonts w:ascii="Arial" w:hAnsi="Arial" w:cs="Arial"/>
              </w:rPr>
            </w:pPr>
            <w:r w:rsidRPr="00231C0D">
              <w:rPr>
                <w:rFonts w:ascii="Arial" w:hAnsi="Arial" w:cs="Arial" w:hint="eastAsia"/>
              </w:rPr>
              <w:t>148</w:t>
            </w:r>
          </w:p>
        </w:tc>
        <w:tc>
          <w:tcPr>
            <w:tcW w:w="2095" w:type="dxa"/>
            <w:vAlign w:val="center"/>
          </w:tcPr>
          <w:p w14:paraId="1B78FDC7" w14:textId="77777777" w:rsidR="00F82049" w:rsidRPr="00231C0D" w:rsidRDefault="00F82049" w:rsidP="00231C0D">
            <w:pPr>
              <w:snapToGrid w:val="0"/>
              <w:rPr>
                <w:rFonts w:ascii="Arial" w:hAnsi="Arial" w:cs="Arial"/>
              </w:rPr>
            </w:pPr>
            <w:r w:rsidRPr="00231C0D">
              <w:rPr>
                <w:rFonts w:ascii="Arial" w:hAnsi="Arial" w:cs="Arial"/>
              </w:rPr>
              <w:t>0.</w:t>
            </w:r>
            <w:r w:rsidRPr="00231C0D">
              <w:rPr>
                <w:rFonts w:ascii="Arial" w:hAnsi="Arial" w:cs="Arial" w:hint="eastAsia"/>
              </w:rPr>
              <w:t>112</w:t>
            </w:r>
          </w:p>
        </w:tc>
        <w:tc>
          <w:tcPr>
            <w:tcW w:w="963" w:type="dxa"/>
            <w:vAlign w:val="center"/>
          </w:tcPr>
          <w:p w14:paraId="0BAC8CAB" w14:textId="77777777" w:rsidR="00F82049" w:rsidRPr="00231C0D" w:rsidRDefault="00F82049" w:rsidP="00231C0D">
            <w:pPr>
              <w:snapToGrid w:val="0"/>
              <w:rPr>
                <w:rFonts w:ascii="Arial" w:hAnsi="Arial" w:cs="Arial"/>
              </w:rPr>
            </w:pPr>
            <w:r w:rsidRPr="00231C0D">
              <w:rPr>
                <w:rFonts w:ascii="Arial" w:hAnsi="Arial" w:cs="Arial"/>
              </w:rPr>
              <w:t>0.057</w:t>
            </w:r>
          </w:p>
        </w:tc>
        <w:tc>
          <w:tcPr>
            <w:tcW w:w="962" w:type="dxa"/>
            <w:vAlign w:val="center"/>
          </w:tcPr>
          <w:p w14:paraId="759D39A2" w14:textId="77777777" w:rsidR="00F82049" w:rsidRPr="00231C0D" w:rsidRDefault="00F82049" w:rsidP="00231C0D">
            <w:pPr>
              <w:snapToGrid w:val="0"/>
              <w:rPr>
                <w:rFonts w:ascii="Arial" w:hAnsi="Arial" w:cs="Arial"/>
              </w:rPr>
            </w:pPr>
            <w:r w:rsidRPr="00231C0D">
              <w:rPr>
                <w:rFonts w:ascii="Arial" w:hAnsi="Arial" w:cs="Arial"/>
              </w:rPr>
              <w:t>0.0</w:t>
            </w:r>
            <w:r w:rsidRPr="00231C0D">
              <w:rPr>
                <w:rFonts w:ascii="Arial" w:hAnsi="Arial" w:cs="Arial" w:hint="eastAsia"/>
              </w:rPr>
              <w:t>4</w:t>
            </w:r>
            <w:r w:rsidRPr="00231C0D">
              <w:rPr>
                <w:rFonts w:ascii="Arial" w:hAnsi="Arial" w:cs="Arial"/>
              </w:rPr>
              <w:t>8</w:t>
            </w:r>
          </w:p>
        </w:tc>
        <w:tc>
          <w:tcPr>
            <w:tcW w:w="1940" w:type="dxa"/>
            <w:vAlign w:val="center"/>
          </w:tcPr>
          <w:p w14:paraId="2BB900ED" w14:textId="77777777" w:rsidR="00F82049" w:rsidRPr="00231C0D" w:rsidRDefault="00F82049" w:rsidP="00231C0D">
            <w:pPr>
              <w:snapToGrid w:val="0"/>
              <w:rPr>
                <w:rFonts w:ascii="Arial" w:hAnsi="Arial" w:cs="Arial"/>
              </w:rPr>
            </w:pPr>
            <w:r w:rsidRPr="00231C0D">
              <w:rPr>
                <w:rFonts w:ascii="Arial" w:hAnsi="Arial" w:cs="Arial"/>
              </w:rPr>
              <w:t>[0.001, 0.223]</w:t>
            </w:r>
          </w:p>
        </w:tc>
      </w:tr>
      <w:tr w:rsidR="00231C0D" w:rsidRPr="00231C0D" w14:paraId="1BE6984F" w14:textId="77777777" w:rsidTr="00EB05D5">
        <w:trPr>
          <w:tblCellSpacing w:w="15" w:type="dxa"/>
        </w:trPr>
        <w:tc>
          <w:tcPr>
            <w:tcW w:w="1373" w:type="dxa"/>
            <w:tcBorders>
              <w:bottom w:val="single" w:sz="4" w:space="0" w:color="auto"/>
            </w:tcBorders>
            <w:vAlign w:val="center"/>
          </w:tcPr>
          <w:p w14:paraId="107BACC3" w14:textId="77777777" w:rsidR="00F82049" w:rsidRPr="00231C0D" w:rsidRDefault="00F82049" w:rsidP="00231C0D">
            <w:pPr>
              <w:snapToGrid w:val="0"/>
              <w:rPr>
                <w:rFonts w:ascii="Arial" w:hAnsi="Arial" w:cs="Arial"/>
                <w:b/>
                <w:bCs/>
              </w:rPr>
            </w:pPr>
            <w:bookmarkStart w:id="4" w:name="_Hlk230703471"/>
            <w:r w:rsidRPr="00231C0D">
              <w:rPr>
                <w:rFonts w:ascii="Arial" w:hAnsi="Arial" w:cs="Arial"/>
                <w:b/>
                <w:bCs/>
              </w:rPr>
              <w:t>≤</w:t>
            </w:r>
            <w:r w:rsidRPr="00231C0D">
              <w:rPr>
                <w:rFonts w:ascii="Arial" w:hAnsi="Arial" w:cs="Arial" w:hint="eastAsia"/>
                <w:b/>
                <w:bCs/>
              </w:rPr>
              <w:t>4</w:t>
            </w:r>
          </w:p>
        </w:tc>
        <w:tc>
          <w:tcPr>
            <w:tcW w:w="679" w:type="dxa"/>
            <w:tcBorders>
              <w:bottom w:val="single" w:sz="4" w:space="0" w:color="auto"/>
            </w:tcBorders>
          </w:tcPr>
          <w:p w14:paraId="739F7533" w14:textId="77777777" w:rsidR="00F82049" w:rsidRPr="00231C0D" w:rsidRDefault="00F82049" w:rsidP="00231C0D">
            <w:pPr>
              <w:snapToGrid w:val="0"/>
              <w:rPr>
                <w:rFonts w:ascii="Arial" w:hAnsi="Arial" w:cs="Arial"/>
                <w:b/>
                <w:bCs/>
              </w:rPr>
            </w:pPr>
            <w:r w:rsidRPr="00231C0D">
              <w:rPr>
                <w:rFonts w:ascii="Arial" w:hAnsi="Arial" w:cs="Arial" w:hint="eastAsia"/>
                <w:b/>
                <w:bCs/>
              </w:rPr>
              <w:t>182</w:t>
            </w:r>
          </w:p>
        </w:tc>
        <w:tc>
          <w:tcPr>
            <w:tcW w:w="2095" w:type="dxa"/>
            <w:tcBorders>
              <w:bottom w:val="single" w:sz="4" w:space="0" w:color="auto"/>
            </w:tcBorders>
            <w:vAlign w:val="center"/>
          </w:tcPr>
          <w:p w14:paraId="476026DA" w14:textId="77777777" w:rsidR="00F82049" w:rsidRPr="00231C0D" w:rsidRDefault="00F82049" w:rsidP="00231C0D">
            <w:pPr>
              <w:snapToGrid w:val="0"/>
              <w:rPr>
                <w:rFonts w:ascii="Arial" w:hAnsi="Arial" w:cs="Arial"/>
                <w:b/>
                <w:bCs/>
              </w:rPr>
            </w:pPr>
            <w:r w:rsidRPr="00231C0D">
              <w:rPr>
                <w:rFonts w:ascii="Arial" w:hAnsi="Arial" w:cs="Arial" w:hint="eastAsia"/>
                <w:b/>
                <w:bCs/>
              </w:rPr>
              <w:t>0.118</w:t>
            </w:r>
          </w:p>
        </w:tc>
        <w:tc>
          <w:tcPr>
            <w:tcW w:w="963" w:type="dxa"/>
            <w:tcBorders>
              <w:bottom w:val="single" w:sz="4" w:space="0" w:color="auto"/>
            </w:tcBorders>
            <w:vAlign w:val="center"/>
          </w:tcPr>
          <w:p w14:paraId="4EBF66D1" w14:textId="77777777" w:rsidR="00F82049" w:rsidRPr="00231C0D" w:rsidRDefault="00F82049" w:rsidP="00231C0D">
            <w:pPr>
              <w:snapToGrid w:val="0"/>
              <w:rPr>
                <w:rFonts w:ascii="Arial" w:hAnsi="Arial" w:cs="Arial"/>
                <w:b/>
                <w:bCs/>
              </w:rPr>
            </w:pPr>
            <w:r w:rsidRPr="00231C0D">
              <w:rPr>
                <w:rFonts w:ascii="Arial" w:hAnsi="Arial" w:cs="Arial"/>
                <w:b/>
                <w:bCs/>
              </w:rPr>
              <w:t>0.058</w:t>
            </w:r>
          </w:p>
        </w:tc>
        <w:tc>
          <w:tcPr>
            <w:tcW w:w="962" w:type="dxa"/>
            <w:tcBorders>
              <w:bottom w:val="single" w:sz="4" w:space="0" w:color="auto"/>
            </w:tcBorders>
            <w:vAlign w:val="center"/>
          </w:tcPr>
          <w:p w14:paraId="1FD82FCD" w14:textId="77777777" w:rsidR="00F82049" w:rsidRPr="00231C0D" w:rsidRDefault="00F82049" w:rsidP="00231C0D">
            <w:pPr>
              <w:snapToGrid w:val="0"/>
              <w:rPr>
                <w:rFonts w:ascii="Arial" w:hAnsi="Arial" w:cs="Arial"/>
                <w:b/>
                <w:bCs/>
              </w:rPr>
            </w:pPr>
            <w:r w:rsidRPr="00231C0D">
              <w:rPr>
                <w:rFonts w:ascii="Arial" w:hAnsi="Arial" w:cs="Arial" w:hint="eastAsia"/>
                <w:b/>
                <w:bCs/>
              </w:rPr>
              <w:t>0.042</w:t>
            </w:r>
          </w:p>
        </w:tc>
        <w:tc>
          <w:tcPr>
            <w:tcW w:w="1940" w:type="dxa"/>
            <w:tcBorders>
              <w:bottom w:val="single" w:sz="4" w:space="0" w:color="auto"/>
            </w:tcBorders>
            <w:vAlign w:val="center"/>
          </w:tcPr>
          <w:p w14:paraId="43AE9713" w14:textId="77777777" w:rsidR="00F82049" w:rsidRPr="00231C0D" w:rsidRDefault="00F82049" w:rsidP="00231C0D">
            <w:pPr>
              <w:snapToGrid w:val="0"/>
              <w:rPr>
                <w:rFonts w:ascii="Arial" w:hAnsi="Arial" w:cs="Arial"/>
                <w:b/>
                <w:bCs/>
              </w:rPr>
            </w:pPr>
            <w:r w:rsidRPr="00231C0D">
              <w:rPr>
                <w:rFonts w:ascii="Arial" w:hAnsi="Arial" w:cs="Arial"/>
                <w:b/>
                <w:bCs/>
              </w:rPr>
              <w:t>[0.004, 0.232]</w:t>
            </w:r>
          </w:p>
        </w:tc>
      </w:tr>
      <w:bookmarkEnd w:id="4"/>
      <w:tr w:rsidR="00231C0D" w:rsidRPr="00231C0D" w14:paraId="7B7B5CE2" w14:textId="77777777" w:rsidTr="00EB05D5">
        <w:trPr>
          <w:tblCellSpacing w:w="15" w:type="dxa"/>
        </w:trPr>
        <w:tc>
          <w:tcPr>
            <w:tcW w:w="1373" w:type="dxa"/>
            <w:vAlign w:val="center"/>
            <w:hideMark/>
          </w:tcPr>
          <w:p w14:paraId="786DD175" w14:textId="77777777" w:rsidR="00F82049" w:rsidRPr="00231C0D" w:rsidRDefault="00F82049" w:rsidP="00231C0D">
            <w:pPr>
              <w:snapToGrid w:val="0"/>
              <w:rPr>
                <w:rFonts w:ascii="Arial" w:hAnsi="Arial" w:cs="Arial"/>
                <w:b/>
                <w:bCs/>
              </w:rPr>
            </w:pPr>
            <w:r w:rsidRPr="00231C0D">
              <w:rPr>
                <w:rFonts w:ascii="Arial" w:hAnsi="Arial" w:cs="Arial"/>
                <w:b/>
                <w:bCs/>
              </w:rPr>
              <w:t>&gt;</w:t>
            </w:r>
            <w:r w:rsidRPr="00231C0D">
              <w:rPr>
                <w:rFonts w:ascii="Arial" w:hAnsi="Arial" w:cs="Arial" w:hint="eastAsia"/>
                <w:b/>
                <w:bCs/>
              </w:rPr>
              <w:t>4</w:t>
            </w:r>
          </w:p>
        </w:tc>
        <w:tc>
          <w:tcPr>
            <w:tcW w:w="679" w:type="dxa"/>
          </w:tcPr>
          <w:p w14:paraId="28096FA4" w14:textId="77777777" w:rsidR="00F82049" w:rsidRPr="00231C0D" w:rsidRDefault="00F82049" w:rsidP="00231C0D">
            <w:pPr>
              <w:snapToGrid w:val="0"/>
              <w:rPr>
                <w:rFonts w:ascii="Arial" w:hAnsi="Arial" w:cs="Arial"/>
                <w:b/>
                <w:bCs/>
              </w:rPr>
            </w:pPr>
            <w:r w:rsidRPr="00231C0D">
              <w:rPr>
                <w:rFonts w:ascii="Arial" w:hAnsi="Arial" w:cs="Arial" w:hint="eastAsia"/>
                <w:b/>
                <w:bCs/>
              </w:rPr>
              <w:t>703</w:t>
            </w:r>
          </w:p>
        </w:tc>
        <w:tc>
          <w:tcPr>
            <w:tcW w:w="2095" w:type="dxa"/>
            <w:vAlign w:val="center"/>
            <w:hideMark/>
          </w:tcPr>
          <w:p w14:paraId="0D0C9D0E" w14:textId="77777777" w:rsidR="00F82049" w:rsidRPr="00231C0D" w:rsidRDefault="00F82049" w:rsidP="00231C0D">
            <w:pPr>
              <w:snapToGrid w:val="0"/>
              <w:rPr>
                <w:rFonts w:ascii="Arial" w:hAnsi="Arial" w:cs="Arial"/>
                <w:b/>
                <w:bCs/>
              </w:rPr>
            </w:pPr>
            <w:r w:rsidRPr="00231C0D">
              <w:rPr>
                <w:rFonts w:ascii="Arial" w:hAnsi="Arial" w:cs="Arial"/>
                <w:b/>
                <w:bCs/>
              </w:rPr>
              <w:t>−0.</w:t>
            </w:r>
            <w:r w:rsidRPr="00231C0D">
              <w:rPr>
                <w:rFonts w:ascii="Arial" w:hAnsi="Arial" w:cs="Arial" w:hint="eastAsia"/>
                <w:b/>
                <w:bCs/>
              </w:rPr>
              <w:t>460</w:t>
            </w:r>
          </w:p>
        </w:tc>
        <w:tc>
          <w:tcPr>
            <w:tcW w:w="963" w:type="dxa"/>
            <w:vAlign w:val="center"/>
            <w:hideMark/>
          </w:tcPr>
          <w:p w14:paraId="37F1D796" w14:textId="77777777" w:rsidR="00F82049" w:rsidRPr="00231C0D" w:rsidRDefault="00F82049" w:rsidP="00231C0D">
            <w:pPr>
              <w:snapToGrid w:val="0"/>
              <w:rPr>
                <w:rFonts w:ascii="Arial" w:hAnsi="Arial" w:cs="Arial"/>
                <w:b/>
                <w:bCs/>
              </w:rPr>
            </w:pPr>
            <w:r w:rsidRPr="00231C0D">
              <w:rPr>
                <w:rFonts w:ascii="Arial" w:hAnsi="Arial" w:cs="Arial" w:hint="eastAsia"/>
                <w:b/>
                <w:bCs/>
              </w:rPr>
              <w:t>0.175</w:t>
            </w:r>
          </w:p>
        </w:tc>
        <w:tc>
          <w:tcPr>
            <w:tcW w:w="962" w:type="dxa"/>
            <w:vAlign w:val="center"/>
            <w:hideMark/>
          </w:tcPr>
          <w:p w14:paraId="53E8637E" w14:textId="77777777" w:rsidR="00F82049" w:rsidRPr="00231C0D" w:rsidRDefault="00F82049" w:rsidP="00231C0D">
            <w:pPr>
              <w:snapToGrid w:val="0"/>
              <w:rPr>
                <w:rFonts w:ascii="Arial" w:hAnsi="Arial" w:cs="Arial"/>
                <w:b/>
                <w:bCs/>
              </w:rPr>
            </w:pPr>
            <w:r w:rsidRPr="00231C0D">
              <w:rPr>
                <w:rFonts w:ascii="Arial" w:hAnsi="Arial" w:cs="Arial"/>
                <w:b/>
                <w:bCs/>
              </w:rPr>
              <w:t>0.009</w:t>
            </w:r>
          </w:p>
        </w:tc>
        <w:tc>
          <w:tcPr>
            <w:tcW w:w="1940" w:type="dxa"/>
            <w:vAlign w:val="center"/>
            <w:hideMark/>
          </w:tcPr>
          <w:p w14:paraId="153DB5FD" w14:textId="77777777" w:rsidR="00F82049" w:rsidRPr="00231C0D" w:rsidRDefault="00F82049" w:rsidP="00231C0D">
            <w:pPr>
              <w:snapToGrid w:val="0"/>
              <w:rPr>
                <w:rFonts w:ascii="Arial" w:hAnsi="Arial" w:cs="Arial"/>
                <w:b/>
                <w:bCs/>
              </w:rPr>
            </w:pPr>
            <w:r w:rsidRPr="00231C0D">
              <w:rPr>
                <w:rFonts w:ascii="Arial" w:hAnsi="Arial" w:cs="Arial" w:hint="eastAsia"/>
                <w:b/>
                <w:bCs/>
              </w:rPr>
              <w:t>[-0</w:t>
            </w:r>
            <w:r w:rsidRPr="00231C0D">
              <w:rPr>
                <w:rFonts w:ascii="Arial" w:hAnsi="Arial" w:cs="Arial"/>
                <w:b/>
                <w:bCs/>
              </w:rPr>
              <w:t>.803</w:t>
            </w:r>
            <w:r w:rsidRPr="00231C0D">
              <w:rPr>
                <w:rFonts w:ascii="Arial" w:hAnsi="Arial" w:cs="Arial" w:hint="eastAsia"/>
                <w:b/>
                <w:bCs/>
              </w:rPr>
              <w:t xml:space="preserve">, </w:t>
            </w:r>
            <w:r w:rsidRPr="00231C0D">
              <w:rPr>
                <w:rFonts w:ascii="Arial" w:hAnsi="Arial" w:cs="Arial"/>
                <w:b/>
                <w:bCs/>
              </w:rPr>
              <w:t>-0.117</w:t>
            </w:r>
            <w:r w:rsidRPr="00231C0D">
              <w:rPr>
                <w:rFonts w:ascii="Arial" w:hAnsi="Arial" w:cs="Arial" w:hint="eastAsia"/>
                <w:b/>
                <w:bCs/>
              </w:rPr>
              <w:t>]</w:t>
            </w:r>
          </w:p>
        </w:tc>
      </w:tr>
      <w:tr w:rsidR="00231C0D" w:rsidRPr="00231C0D" w14:paraId="4D427BF4" w14:textId="77777777" w:rsidTr="00EB05D5">
        <w:trPr>
          <w:tblCellSpacing w:w="15" w:type="dxa"/>
        </w:trPr>
        <w:tc>
          <w:tcPr>
            <w:tcW w:w="1373" w:type="dxa"/>
            <w:vAlign w:val="center"/>
            <w:hideMark/>
          </w:tcPr>
          <w:p w14:paraId="46A75039" w14:textId="77777777" w:rsidR="00F82049" w:rsidRPr="00231C0D" w:rsidRDefault="00F82049" w:rsidP="00231C0D">
            <w:pPr>
              <w:snapToGrid w:val="0"/>
              <w:rPr>
                <w:rFonts w:ascii="Arial" w:hAnsi="Arial" w:cs="Arial"/>
              </w:rPr>
            </w:pPr>
            <w:r w:rsidRPr="00231C0D">
              <w:rPr>
                <w:rFonts w:ascii="Arial" w:hAnsi="Arial" w:cs="Arial"/>
              </w:rPr>
              <w:t>&gt;5</w:t>
            </w:r>
          </w:p>
        </w:tc>
        <w:tc>
          <w:tcPr>
            <w:tcW w:w="679" w:type="dxa"/>
          </w:tcPr>
          <w:p w14:paraId="1BBD79F2" w14:textId="77777777" w:rsidR="00F82049" w:rsidRPr="00231C0D" w:rsidRDefault="00F82049" w:rsidP="00231C0D">
            <w:pPr>
              <w:snapToGrid w:val="0"/>
              <w:rPr>
                <w:rFonts w:ascii="Arial" w:hAnsi="Arial" w:cs="Arial"/>
              </w:rPr>
            </w:pPr>
            <w:r w:rsidRPr="00231C0D">
              <w:rPr>
                <w:rFonts w:ascii="Arial" w:hAnsi="Arial" w:cs="Arial" w:hint="eastAsia"/>
              </w:rPr>
              <w:t>669</w:t>
            </w:r>
          </w:p>
        </w:tc>
        <w:tc>
          <w:tcPr>
            <w:tcW w:w="2095" w:type="dxa"/>
            <w:vAlign w:val="center"/>
            <w:hideMark/>
          </w:tcPr>
          <w:p w14:paraId="4EFBE738" w14:textId="77777777" w:rsidR="00F82049" w:rsidRPr="00231C0D" w:rsidRDefault="00F82049" w:rsidP="00231C0D">
            <w:pPr>
              <w:snapToGrid w:val="0"/>
              <w:rPr>
                <w:rFonts w:ascii="Arial" w:hAnsi="Arial" w:cs="Arial"/>
              </w:rPr>
            </w:pPr>
            <w:r w:rsidRPr="00231C0D">
              <w:rPr>
                <w:rFonts w:ascii="Arial" w:hAnsi="Arial" w:cs="Arial"/>
              </w:rPr>
              <w:t>−0.5</w:t>
            </w:r>
            <w:r w:rsidRPr="00231C0D">
              <w:rPr>
                <w:rFonts w:ascii="Arial" w:hAnsi="Arial" w:cs="Arial" w:hint="eastAsia"/>
              </w:rPr>
              <w:t>47</w:t>
            </w:r>
          </w:p>
        </w:tc>
        <w:tc>
          <w:tcPr>
            <w:tcW w:w="963" w:type="dxa"/>
            <w:vAlign w:val="center"/>
            <w:hideMark/>
          </w:tcPr>
          <w:p w14:paraId="30E232ED" w14:textId="77777777" w:rsidR="00F82049" w:rsidRPr="00231C0D" w:rsidRDefault="00F82049" w:rsidP="00231C0D">
            <w:pPr>
              <w:snapToGrid w:val="0"/>
              <w:rPr>
                <w:rFonts w:ascii="Arial" w:hAnsi="Arial" w:cs="Arial"/>
              </w:rPr>
            </w:pPr>
            <w:r w:rsidRPr="00231C0D">
              <w:rPr>
                <w:rFonts w:ascii="Arial" w:hAnsi="Arial" w:cs="Arial" w:hint="eastAsia"/>
              </w:rPr>
              <w:t>0.181</w:t>
            </w:r>
          </w:p>
        </w:tc>
        <w:tc>
          <w:tcPr>
            <w:tcW w:w="962" w:type="dxa"/>
            <w:vAlign w:val="center"/>
            <w:hideMark/>
          </w:tcPr>
          <w:p w14:paraId="70C870EE" w14:textId="77777777" w:rsidR="00F82049" w:rsidRPr="00231C0D" w:rsidRDefault="00F82049" w:rsidP="00231C0D">
            <w:pPr>
              <w:snapToGrid w:val="0"/>
              <w:rPr>
                <w:rFonts w:ascii="Arial" w:hAnsi="Arial" w:cs="Arial"/>
              </w:rPr>
            </w:pPr>
            <w:r w:rsidRPr="00231C0D">
              <w:rPr>
                <w:rFonts w:ascii="Arial" w:hAnsi="Arial" w:cs="Arial"/>
              </w:rPr>
              <w:t>0.003</w:t>
            </w:r>
          </w:p>
        </w:tc>
        <w:tc>
          <w:tcPr>
            <w:tcW w:w="1940" w:type="dxa"/>
            <w:vAlign w:val="center"/>
            <w:hideMark/>
          </w:tcPr>
          <w:p w14:paraId="54A15B90" w14:textId="77777777" w:rsidR="00F82049" w:rsidRPr="00231C0D" w:rsidRDefault="00F82049" w:rsidP="00231C0D">
            <w:pPr>
              <w:snapToGrid w:val="0"/>
              <w:rPr>
                <w:rFonts w:ascii="Arial" w:hAnsi="Arial" w:cs="Arial"/>
              </w:rPr>
            </w:pPr>
            <w:r w:rsidRPr="00231C0D">
              <w:rPr>
                <w:rFonts w:ascii="Arial" w:hAnsi="Arial" w:cs="Arial"/>
              </w:rPr>
              <w:t>[−0.902, −0.191]</w:t>
            </w:r>
          </w:p>
        </w:tc>
      </w:tr>
      <w:tr w:rsidR="00231C0D" w:rsidRPr="00231C0D" w14:paraId="5688ABD6" w14:textId="77777777" w:rsidTr="00EB05D5">
        <w:trPr>
          <w:tblCellSpacing w:w="15" w:type="dxa"/>
        </w:trPr>
        <w:tc>
          <w:tcPr>
            <w:tcW w:w="1373" w:type="dxa"/>
            <w:vAlign w:val="center"/>
            <w:hideMark/>
          </w:tcPr>
          <w:p w14:paraId="0A9A14EA" w14:textId="77777777" w:rsidR="00F82049" w:rsidRPr="00231C0D" w:rsidRDefault="00F82049" w:rsidP="00231C0D">
            <w:pPr>
              <w:snapToGrid w:val="0"/>
              <w:rPr>
                <w:rFonts w:ascii="Arial" w:hAnsi="Arial" w:cs="Arial"/>
              </w:rPr>
            </w:pPr>
            <w:r w:rsidRPr="00231C0D">
              <w:rPr>
                <w:rFonts w:ascii="Arial" w:hAnsi="Arial" w:cs="Arial"/>
              </w:rPr>
              <w:t>&gt;8</w:t>
            </w:r>
          </w:p>
        </w:tc>
        <w:tc>
          <w:tcPr>
            <w:tcW w:w="679" w:type="dxa"/>
          </w:tcPr>
          <w:p w14:paraId="5420FD3E" w14:textId="77777777" w:rsidR="00F82049" w:rsidRPr="00231C0D" w:rsidRDefault="00F82049" w:rsidP="00231C0D">
            <w:pPr>
              <w:snapToGrid w:val="0"/>
              <w:rPr>
                <w:rFonts w:ascii="Arial" w:hAnsi="Arial" w:cs="Arial"/>
              </w:rPr>
            </w:pPr>
            <w:r w:rsidRPr="00231C0D">
              <w:rPr>
                <w:rFonts w:ascii="Arial" w:hAnsi="Arial" w:cs="Arial" w:hint="eastAsia"/>
              </w:rPr>
              <w:t>602</w:t>
            </w:r>
          </w:p>
        </w:tc>
        <w:tc>
          <w:tcPr>
            <w:tcW w:w="2095" w:type="dxa"/>
            <w:vAlign w:val="center"/>
            <w:hideMark/>
          </w:tcPr>
          <w:p w14:paraId="10A0221F" w14:textId="77777777" w:rsidR="00F82049" w:rsidRPr="00231C0D" w:rsidRDefault="00F82049" w:rsidP="00231C0D">
            <w:pPr>
              <w:snapToGrid w:val="0"/>
              <w:rPr>
                <w:rFonts w:ascii="Arial" w:hAnsi="Arial" w:cs="Arial"/>
              </w:rPr>
            </w:pPr>
            <w:r w:rsidRPr="00231C0D">
              <w:rPr>
                <w:rFonts w:ascii="Arial" w:hAnsi="Arial" w:cs="Arial"/>
              </w:rPr>
              <w:t>−0.509</w:t>
            </w:r>
          </w:p>
        </w:tc>
        <w:tc>
          <w:tcPr>
            <w:tcW w:w="963" w:type="dxa"/>
            <w:vAlign w:val="center"/>
            <w:hideMark/>
          </w:tcPr>
          <w:p w14:paraId="6A49B6A2" w14:textId="77777777" w:rsidR="00F82049" w:rsidRPr="00231C0D" w:rsidRDefault="00F82049" w:rsidP="00231C0D">
            <w:pPr>
              <w:snapToGrid w:val="0"/>
              <w:rPr>
                <w:rFonts w:ascii="Arial" w:hAnsi="Arial" w:cs="Arial"/>
              </w:rPr>
            </w:pPr>
            <w:r w:rsidRPr="00231C0D">
              <w:rPr>
                <w:rFonts w:ascii="Arial" w:hAnsi="Arial" w:cs="Arial"/>
              </w:rPr>
              <w:t>0.189</w:t>
            </w:r>
          </w:p>
        </w:tc>
        <w:tc>
          <w:tcPr>
            <w:tcW w:w="962" w:type="dxa"/>
            <w:vAlign w:val="center"/>
            <w:hideMark/>
          </w:tcPr>
          <w:p w14:paraId="28F0479C" w14:textId="77777777" w:rsidR="00F82049" w:rsidRPr="00231C0D" w:rsidRDefault="00F82049" w:rsidP="00231C0D">
            <w:pPr>
              <w:snapToGrid w:val="0"/>
              <w:rPr>
                <w:rFonts w:ascii="Arial" w:hAnsi="Arial" w:cs="Arial"/>
              </w:rPr>
            </w:pPr>
            <w:r w:rsidRPr="00231C0D">
              <w:rPr>
                <w:rFonts w:ascii="Arial" w:hAnsi="Arial" w:cs="Arial"/>
              </w:rPr>
              <w:t>0.007</w:t>
            </w:r>
          </w:p>
        </w:tc>
        <w:tc>
          <w:tcPr>
            <w:tcW w:w="1940" w:type="dxa"/>
            <w:vAlign w:val="center"/>
            <w:hideMark/>
          </w:tcPr>
          <w:p w14:paraId="24F7EE96" w14:textId="77777777" w:rsidR="00F82049" w:rsidRPr="00231C0D" w:rsidRDefault="00F82049" w:rsidP="00231C0D">
            <w:pPr>
              <w:snapToGrid w:val="0"/>
              <w:rPr>
                <w:rFonts w:ascii="Arial" w:hAnsi="Arial" w:cs="Arial"/>
              </w:rPr>
            </w:pPr>
            <w:r w:rsidRPr="00231C0D">
              <w:rPr>
                <w:rFonts w:ascii="Arial" w:hAnsi="Arial" w:cs="Arial"/>
              </w:rPr>
              <w:t>[−0.878, −0.139]</w:t>
            </w:r>
            <w:r w:rsidRPr="00231C0D">
              <w:rPr>
                <w:rFonts w:ascii="Arial" w:hAnsi="Arial" w:cs="Arial" w:hint="eastAsia"/>
              </w:rPr>
              <w:t> </w:t>
            </w:r>
          </w:p>
        </w:tc>
      </w:tr>
      <w:tr w:rsidR="00231C0D" w:rsidRPr="00231C0D" w14:paraId="1B2D15D4" w14:textId="77777777" w:rsidTr="00EB05D5">
        <w:trPr>
          <w:tblCellSpacing w:w="15" w:type="dxa"/>
        </w:trPr>
        <w:tc>
          <w:tcPr>
            <w:tcW w:w="1373" w:type="dxa"/>
            <w:tcBorders>
              <w:bottom w:val="single" w:sz="4" w:space="0" w:color="auto"/>
            </w:tcBorders>
            <w:vAlign w:val="center"/>
            <w:hideMark/>
          </w:tcPr>
          <w:p w14:paraId="5435052F" w14:textId="77777777" w:rsidR="00F82049" w:rsidRPr="00231C0D" w:rsidRDefault="00F82049" w:rsidP="00231C0D">
            <w:pPr>
              <w:snapToGrid w:val="0"/>
              <w:rPr>
                <w:rFonts w:ascii="Arial" w:hAnsi="Arial" w:cs="Arial"/>
                <w:b/>
                <w:bCs/>
              </w:rPr>
            </w:pPr>
            <w:r w:rsidRPr="00231C0D">
              <w:rPr>
                <w:rFonts w:ascii="Arial" w:hAnsi="Arial" w:cs="Arial"/>
                <w:b/>
                <w:bCs/>
              </w:rPr>
              <w:t>&gt;9</w:t>
            </w:r>
          </w:p>
        </w:tc>
        <w:tc>
          <w:tcPr>
            <w:tcW w:w="679" w:type="dxa"/>
            <w:tcBorders>
              <w:bottom w:val="single" w:sz="4" w:space="0" w:color="auto"/>
            </w:tcBorders>
          </w:tcPr>
          <w:p w14:paraId="1114D11E" w14:textId="77777777" w:rsidR="00F82049" w:rsidRPr="00231C0D" w:rsidRDefault="00F82049" w:rsidP="00231C0D">
            <w:pPr>
              <w:snapToGrid w:val="0"/>
              <w:rPr>
                <w:rFonts w:ascii="Arial" w:hAnsi="Arial" w:cs="Arial"/>
                <w:b/>
                <w:bCs/>
              </w:rPr>
            </w:pPr>
            <w:r w:rsidRPr="00231C0D">
              <w:rPr>
                <w:rFonts w:ascii="Arial" w:hAnsi="Arial" w:cs="Arial" w:hint="eastAsia"/>
                <w:b/>
                <w:bCs/>
              </w:rPr>
              <w:t>574</w:t>
            </w:r>
          </w:p>
        </w:tc>
        <w:tc>
          <w:tcPr>
            <w:tcW w:w="2095" w:type="dxa"/>
            <w:tcBorders>
              <w:bottom w:val="single" w:sz="4" w:space="0" w:color="auto"/>
            </w:tcBorders>
            <w:vAlign w:val="center"/>
            <w:hideMark/>
          </w:tcPr>
          <w:p w14:paraId="66A714BB" w14:textId="77777777" w:rsidR="00F82049" w:rsidRPr="00231C0D" w:rsidRDefault="00F82049" w:rsidP="00231C0D">
            <w:pPr>
              <w:snapToGrid w:val="0"/>
              <w:rPr>
                <w:rFonts w:ascii="Arial" w:hAnsi="Arial" w:cs="Arial"/>
                <w:b/>
                <w:bCs/>
              </w:rPr>
            </w:pPr>
            <w:r w:rsidRPr="00231C0D">
              <w:rPr>
                <w:rFonts w:ascii="Arial" w:hAnsi="Arial" w:cs="Arial"/>
                <w:b/>
                <w:bCs/>
              </w:rPr>
              <w:t>−0.</w:t>
            </w:r>
            <w:r w:rsidRPr="00231C0D">
              <w:rPr>
                <w:rFonts w:ascii="Arial" w:hAnsi="Arial" w:cs="Arial" w:hint="eastAsia"/>
                <w:b/>
                <w:bCs/>
              </w:rPr>
              <w:t>522</w:t>
            </w:r>
          </w:p>
        </w:tc>
        <w:tc>
          <w:tcPr>
            <w:tcW w:w="963" w:type="dxa"/>
            <w:tcBorders>
              <w:bottom w:val="single" w:sz="4" w:space="0" w:color="auto"/>
            </w:tcBorders>
            <w:vAlign w:val="center"/>
            <w:hideMark/>
          </w:tcPr>
          <w:p w14:paraId="32D349EA" w14:textId="77777777" w:rsidR="00F82049" w:rsidRPr="00231C0D" w:rsidRDefault="00F82049" w:rsidP="00231C0D">
            <w:pPr>
              <w:snapToGrid w:val="0"/>
              <w:rPr>
                <w:rFonts w:ascii="Arial" w:hAnsi="Arial" w:cs="Arial"/>
                <w:b/>
                <w:bCs/>
              </w:rPr>
            </w:pPr>
            <w:r w:rsidRPr="00231C0D">
              <w:rPr>
                <w:rFonts w:ascii="Arial" w:hAnsi="Arial" w:cs="Arial"/>
                <w:b/>
                <w:bCs/>
              </w:rPr>
              <w:t>0.</w:t>
            </w:r>
            <w:r w:rsidRPr="00231C0D">
              <w:rPr>
                <w:rFonts w:ascii="Arial" w:hAnsi="Arial" w:cs="Arial" w:hint="eastAsia"/>
                <w:b/>
                <w:bCs/>
              </w:rPr>
              <w:t>187</w:t>
            </w:r>
          </w:p>
        </w:tc>
        <w:tc>
          <w:tcPr>
            <w:tcW w:w="962" w:type="dxa"/>
            <w:tcBorders>
              <w:bottom w:val="single" w:sz="4" w:space="0" w:color="auto"/>
            </w:tcBorders>
            <w:vAlign w:val="center"/>
            <w:hideMark/>
          </w:tcPr>
          <w:p w14:paraId="6EC752C6" w14:textId="77777777" w:rsidR="00F82049" w:rsidRPr="00231C0D" w:rsidRDefault="00F82049" w:rsidP="00231C0D">
            <w:pPr>
              <w:snapToGrid w:val="0"/>
              <w:rPr>
                <w:rFonts w:ascii="Arial" w:hAnsi="Arial" w:cs="Arial"/>
                <w:b/>
                <w:bCs/>
              </w:rPr>
            </w:pPr>
            <w:r w:rsidRPr="00231C0D">
              <w:rPr>
                <w:rFonts w:ascii="Arial" w:hAnsi="Arial" w:cs="Arial"/>
                <w:b/>
                <w:bCs/>
              </w:rPr>
              <w:t>0.005</w:t>
            </w:r>
          </w:p>
        </w:tc>
        <w:tc>
          <w:tcPr>
            <w:tcW w:w="1940" w:type="dxa"/>
            <w:tcBorders>
              <w:bottom w:val="single" w:sz="4" w:space="0" w:color="auto"/>
            </w:tcBorders>
            <w:vAlign w:val="center"/>
            <w:hideMark/>
          </w:tcPr>
          <w:p w14:paraId="6FBF5BAE" w14:textId="77777777" w:rsidR="00F82049" w:rsidRPr="00231C0D" w:rsidRDefault="00F82049" w:rsidP="00231C0D">
            <w:pPr>
              <w:snapToGrid w:val="0"/>
              <w:rPr>
                <w:rFonts w:ascii="Arial" w:hAnsi="Arial" w:cs="Arial"/>
                <w:b/>
                <w:bCs/>
              </w:rPr>
            </w:pPr>
            <w:r w:rsidRPr="00231C0D">
              <w:rPr>
                <w:rFonts w:ascii="Arial" w:hAnsi="Arial" w:cs="Arial"/>
                <w:b/>
                <w:bCs/>
              </w:rPr>
              <w:t>[−0.</w:t>
            </w:r>
            <w:r w:rsidRPr="00231C0D">
              <w:rPr>
                <w:rFonts w:ascii="Arial" w:hAnsi="Arial" w:cs="Arial" w:hint="eastAsia"/>
                <w:b/>
                <w:bCs/>
              </w:rPr>
              <w:t>890</w:t>
            </w:r>
            <w:r w:rsidRPr="00231C0D">
              <w:rPr>
                <w:rFonts w:ascii="Arial" w:hAnsi="Arial" w:cs="Arial"/>
                <w:b/>
                <w:bCs/>
              </w:rPr>
              <w:t>, −0.</w:t>
            </w:r>
            <w:r w:rsidRPr="00231C0D">
              <w:rPr>
                <w:rFonts w:ascii="Arial" w:hAnsi="Arial" w:cs="Arial" w:hint="eastAsia"/>
                <w:b/>
                <w:bCs/>
              </w:rPr>
              <w:t>155</w:t>
            </w:r>
            <w:r w:rsidRPr="00231C0D">
              <w:rPr>
                <w:rFonts w:ascii="Arial" w:hAnsi="Arial" w:cs="Arial"/>
                <w:b/>
                <w:bCs/>
              </w:rPr>
              <w:t>]</w:t>
            </w:r>
          </w:p>
        </w:tc>
      </w:tr>
      <w:tr w:rsidR="00231C0D" w:rsidRPr="00231C0D" w14:paraId="6A0DFB52" w14:textId="77777777" w:rsidTr="00EB05D5">
        <w:trPr>
          <w:tblCellSpacing w:w="15" w:type="dxa"/>
        </w:trPr>
        <w:tc>
          <w:tcPr>
            <w:tcW w:w="1373" w:type="dxa"/>
            <w:vAlign w:val="center"/>
            <w:hideMark/>
          </w:tcPr>
          <w:p w14:paraId="2BAB23FC" w14:textId="77777777" w:rsidR="00F82049" w:rsidRPr="00231C0D" w:rsidRDefault="00F82049" w:rsidP="00231C0D">
            <w:pPr>
              <w:snapToGrid w:val="0"/>
              <w:rPr>
                <w:rFonts w:ascii="Arial" w:hAnsi="Arial" w:cs="Arial"/>
                <w:b/>
                <w:bCs/>
              </w:rPr>
            </w:pPr>
            <w:r w:rsidRPr="00231C0D">
              <w:rPr>
                <w:rFonts w:ascii="Arial" w:hAnsi="Arial" w:cs="Arial"/>
                <w:b/>
                <w:bCs/>
              </w:rPr>
              <w:t>&gt;10</w:t>
            </w:r>
          </w:p>
        </w:tc>
        <w:tc>
          <w:tcPr>
            <w:tcW w:w="679" w:type="dxa"/>
          </w:tcPr>
          <w:p w14:paraId="5F903657" w14:textId="77777777" w:rsidR="00F82049" w:rsidRPr="00231C0D" w:rsidRDefault="00F82049" w:rsidP="00231C0D">
            <w:pPr>
              <w:snapToGrid w:val="0"/>
              <w:rPr>
                <w:rFonts w:ascii="Arial" w:hAnsi="Arial" w:cs="Arial"/>
                <w:b/>
                <w:bCs/>
              </w:rPr>
            </w:pPr>
            <w:r w:rsidRPr="00231C0D">
              <w:rPr>
                <w:rFonts w:ascii="Arial" w:hAnsi="Arial" w:cs="Arial" w:hint="eastAsia"/>
                <w:b/>
                <w:bCs/>
              </w:rPr>
              <w:t>543</w:t>
            </w:r>
          </w:p>
        </w:tc>
        <w:tc>
          <w:tcPr>
            <w:tcW w:w="2095" w:type="dxa"/>
            <w:vAlign w:val="center"/>
            <w:hideMark/>
          </w:tcPr>
          <w:p w14:paraId="3A817F7F" w14:textId="77777777" w:rsidR="00F82049" w:rsidRPr="00231C0D" w:rsidRDefault="00F82049" w:rsidP="00231C0D">
            <w:pPr>
              <w:snapToGrid w:val="0"/>
              <w:rPr>
                <w:rFonts w:ascii="Arial" w:hAnsi="Arial" w:cs="Arial"/>
                <w:b/>
                <w:bCs/>
              </w:rPr>
            </w:pPr>
            <w:r w:rsidRPr="00231C0D">
              <w:rPr>
                <w:rFonts w:ascii="Arial" w:hAnsi="Arial" w:cs="Arial"/>
                <w:b/>
                <w:bCs/>
              </w:rPr>
              <w:t>−0.267</w:t>
            </w:r>
          </w:p>
        </w:tc>
        <w:tc>
          <w:tcPr>
            <w:tcW w:w="963" w:type="dxa"/>
            <w:vAlign w:val="center"/>
            <w:hideMark/>
          </w:tcPr>
          <w:p w14:paraId="15050774" w14:textId="77777777" w:rsidR="00F82049" w:rsidRPr="00231C0D" w:rsidRDefault="00F82049" w:rsidP="00231C0D">
            <w:pPr>
              <w:snapToGrid w:val="0"/>
              <w:rPr>
                <w:rFonts w:ascii="Arial" w:hAnsi="Arial" w:cs="Arial"/>
                <w:b/>
                <w:bCs/>
              </w:rPr>
            </w:pPr>
            <w:r w:rsidRPr="00231C0D">
              <w:rPr>
                <w:rFonts w:ascii="Arial" w:hAnsi="Arial" w:cs="Arial"/>
                <w:b/>
                <w:bCs/>
              </w:rPr>
              <w:t>0.192</w:t>
            </w:r>
          </w:p>
        </w:tc>
        <w:tc>
          <w:tcPr>
            <w:tcW w:w="962" w:type="dxa"/>
            <w:vAlign w:val="center"/>
            <w:hideMark/>
          </w:tcPr>
          <w:p w14:paraId="7CFB9839" w14:textId="77777777" w:rsidR="00F82049" w:rsidRPr="00231C0D" w:rsidRDefault="00F82049" w:rsidP="00231C0D">
            <w:pPr>
              <w:snapToGrid w:val="0"/>
              <w:rPr>
                <w:rFonts w:ascii="Arial" w:hAnsi="Arial" w:cs="Arial"/>
                <w:b/>
                <w:bCs/>
              </w:rPr>
            </w:pPr>
            <w:r w:rsidRPr="00231C0D">
              <w:rPr>
                <w:rFonts w:ascii="Arial" w:hAnsi="Arial" w:cs="Arial"/>
                <w:b/>
                <w:bCs/>
              </w:rPr>
              <w:t>0.165</w:t>
            </w:r>
          </w:p>
        </w:tc>
        <w:tc>
          <w:tcPr>
            <w:tcW w:w="1940" w:type="dxa"/>
            <w:vAlign w:val="center"/>
            <w:hideMark/>
          </w:tcPr>
          <w:p w14:paraId="5B0BAD8E" w14:textId="77777777" w:rsidR="00F82049" w:rsidRPr="00231C0D" w:rsidRDefault="00F82049" w:rsidP="00231C0D">
            <w:pPr>
              <w:snapToGrid w:val="0"/>
              <w:rPr>
                <w:rFonts w:ascii="Arial" w:hAnsi="Arial" w:cs="Arial"/>
                <w:b/>
                <w:bCs/>
              </w:rPr>
            </w:pPr>
            <w:r w:rsidRPr="00231C0D">
              <w:rPr>
                <w:rFonts w:ascii="Arial" w:hAnsi="Arial" w:cs="Arial"/>
                <w:b/>
                <w:bCs/>
              </w:rPr>
              <w:t>[-0.644, 0.110]</w:t>
            </w:r>
          </w:p>
        </w:tc>
      </w:tr>
      <w:tr w:rsidR="00231C0D" w:rsidRPr="00231C0D" w14:paraId="7BDFE050" w14:textId="77777777" w:rsidTr="00EB05D5">
        <w:trPr>
          <w:tblCellSpacing w:w="15" w:type="dxa"/>
        </w:trPr>
        <w:tc>
          <w:tcPr>
            <w:tcW w:w="1373" w:type="dxa"/>
            <w:vAlign w:val="center"/>
            <w:hideMark/>
          </w:tcPr>
          <w:p w14:paraId="356F77B8" w14:textId="77777777" w:rsidR="00F82049" w:rsidRPr="00231C0D" w:rsidRDefault="00F82049" w:rsidP="00231C0D">
            <w:pPr>
              <w:snapToGrid w:val="0"/>
              <w:rPr>
                <w:rFonts w:ascii="Arial" w:hAnsi="Arial" w:cs="Arial"/>
              </w:rPr>
            </w:pPr>
            <w:r w:rsidRPr="00231C0D">
              <w:rPr>
                <w:rFonts w:ascii="Arial" w:hAnsi="Arial" w:cs="Arial"/>
              </w:rPr>
              <w:t>&gt;11</w:t>
            </w:r>
          </w:p>
        </w:tc>
        <w:tc>
          <w:tcPr>
            <w:tcW w:w="679" w:type="dxa"/>
          </w:tcPr>
          <w:p w14:paraId="10509C26" w14:textId="77777777" w:rsidR="00F82049" w:rsidRPr="00231C0D" w:rsidRDefault="00F82049" w:rsidP="00231C0D">
            <w:pPr>
              <w:snapToGrid w:val="0"/>
              <w:rPr>
                <w:rFonts w:ascii="Arial" w:hAnsi="Arial" w:cs="Arial"/>
              </w:rPr>
            </w:pPr>
            <w:r w:rsidRPr="00231C0D">
              <w:rPr>
                <w:rFonts w:ascii="Arial" w:hAnsi="Arial" w:cs="Arial" w:hint="eastAsia"/>
              </w:rPr>
              <w:t>512</w:t>
            </w:r>
          </w:p>
        </w:tc>
        <w:tc>
          <w:tcPr>
            <w:tcW w:w="2095" w:type="dxa"/>
            <w:vAlign w:val="center"/>
            <w:hideMark/>
          </w:tcPr>
          <w:p w14:paraId="7F830A29" w14:textId="77777777" w:rsidR="00F82049" w:rsidRPr="00231C0D" w:rsidRDefault="00F82049" w:rsidP="00231C0D">
            <w:pPr>
              <w:snapToGrid w:val="0"/>
              <w:rPr>
                <w:rFonts w:ascii="Arial" w:hAnsi="Arial" w:cs="Arial"/>
              </w:rPr>
            </w:pPr>
            <w:r w:rsidRPr="00231C0D">
              <w:rPr>
                <w:rFonts w:ascii="Arial" w:hAnsi="Arial" w:cs="Arial"/>
              </w:rPr>
              <w:t>−0.191</w:t>
            </w:r>
          </w:p>
        </w:tc>
        <w:tc>
          <w:tcPr>
            <w:tcW w:w="963" w:type="dxa"/>
            <w:vAlign w:val="center"/>
            <w:hideMark/>
          </w:tcPr>
          <w:p w14:paraId="6129B51D" w14:textId="77777777" w:rsidR="00F82049" w:rsidRPr="00231C0D" w:rsidRDefault="00F82049" w:rsidP="00231C0D">
            <w:pPr>
              <w:snapToGrid w:val="0"/>
              <w:rPr>
                <w:rFonts w:ascii="Arial" w:hAnsi="Arial" w:cs="Arial"/>
              </w:rPr>
            </w:pPr>
            <w:r w:rsidRPr="00231C0D">
              <w:rPr>
                <w:rFonts w:ascii="Arial" w:hAnsi="Arial" w:cs="Arial"/>
              </w:rPr>
              <w:t>0.203</w:t>
            </w:r>
          </w:p>
        </w:tc>
        <w:tc>
          <w:tcPr>
            <w:tcW w:w="962" w:type="dxa"/>
            <w:vAlign w:val="center"/>
            <w:hideMark/>
          </w:tcPr>
          <w:p w14:paraId="1815FADF" w14:textId="77777777" w:rsidR="00F82049" w:rsidRPr="00231C0D" w:rsidRDefault="00F82049" w:rsidP="00231C0D">
            <w:pPr>
              <w:snapToGrid w:val="0"/>
              <w:rPr>
                <w:rFonts w:ascii="Arial" w:hAnsi="Arial" w:cs="Arial"/>
              </w:rPr>
            </w:pPr>
            <w:r w:rsidRPr="00231C0D">
              <w:rPr>
                <w:rFonts w:ascii="Arial" w:hAnsi="Arial" w:cs="Arial"/>
              </w:rPr>
              <w:t>0.347</w:t>
            </w:r>
          </w:p>
        </w:tc>
        <w:tc>
          <w:tcPr>
            <w:tcW w:w="1940" w:type="dxa"/>
            <w:vAlign w:val="center"/>
            <w:hideMark/>
          </w:tcPr>
          <w:p w14:paraId="1E45EE9E" w14:textId="77777777" w:rsidR="00F82049" w:rsidRPr="00231C0D" w:rsidRDefault="00F82049" w:rsidP="00231C0D">
            <w:pPr>
              <w:snapToGrid w:val="0"/>
              <w:rPr>
                <w:rFonts w:ascii="Arial" w:hAnsi="Arial" w:cs="Arial"/>
              </w:rPr>
            </w:pPr>
            <w:r w:rsidRPr="00231C0D">
              <w:rPr>
                <w:rFonts w:ascii="Arial" w:hAnsi="Arial" w:cs="Arial"/>
              </w:rPr>
              <w:t>[-0.588, 0.206]</w:t>
            </w:r>
          </w:p>
        </w:tc>
      </w:tr>
      <w:tr w:rsidR="00231C0D" w:rsidRPr="00231C0D" w14:paraId="58530A2A" w14:textId="77777777" w:rsidTr="00EB05D5">
        <w:trPr>
          <w:tblCellSpacing w:w="15" w:type="dxa"/>
        </w:trPr>
        <w:tc>
          <w:tcPr>
            <w:tcW w:w="1373" w:type="dxa"/>
            <w:tcBorders>
              <w:bottom w:val="single" w:sz="4" w:space="0" w:color="auto"/>
            </w:tcBorders>
            <w:vAlign w:val="center"/>
            <w:hideMark/>
          </w:tcPr>
          <w:p w14:paraId="56AD50C0" w14:textId="77777777" w:rsidR="00F82049" w:rsidRPr="00231C0D" w:rsidRDefault="00F82049" w:rsidP="00231C0D">
            <w:pPr>
              <w:snapToGrid w:val="0"/>
              <w:rPr>
                <w:rFonts w:ascii="Arial" w:hAnsi="Arial" w:cs="Arial"/>
              </w:rPr>
            </w:pPr>
            <w:r w:rsidRPr="00231C0D">
              <w:rPr>
                <w:rFonts w:ascii="Arial" w:hAnsi="Arial" w:cs="Arial"/>
              </w:rPr>
              <w:t>&gt;12</w:t>
            </w:r>
          </w:p>
        </w:tc>
        <w:tc>
          <w:tcPr>
            <w:tcW w:w="679" w:type="dxa"/>
            <w:tcBorders>
              <w:bottom w:val="single" w:sz="4" w:space="0" w:color="auto"/>
            </w:tcBorders>
          </w:tcPr>
          <w:p w14:paraId="51FFC0F9" w14:textId="77777777" w:rsidR="00F82049" w:rsidRPr="00231C0D" w:rsidRDefault="00F82049" w:rsidP="00231C0D">
            <w:pPr>
              <w:snapToGrid w:val="0"/>
              <w:rPr>
                <w:rFonts w:ascii="Arial" w:hAnsi="Arial" w:cs="Arial"/>
              </w:rPr>
            </w:pPr>
            <w:r w:rsidRPr="00231C0D">
              <w:rPr>
                <w:rFonts w:ascii="Arial" w:hAnsi="Arial" w:cs="Arial" w:hint="eastAsia"/>
              </w:rPr>
              <w:t>461</w:t>
            </w:r>
          </w:p>
        </w:tc>
        <w:tc>
          <w:tcPr>
            <w:tcW w:w="2095" w:type="dxa"/>
            <w:tcBorders>
              <w:bottom w:val="single" w:sz="4" w:space="0" w:color="auto"/>
            </w:tcBorders>
            <w:vAlign w:val="center"/>
            <w:hideMark/>
          </w:tcPr>
          <w:p w14:paraId="5B9AE786" w14:textId="77777777" w:rsidR="00F82049" w:rsidRPr="00231C0D" w:rsidRDefault="00F82049" w:rsidP="00231C0D">
            <w:pPr>
              <w:snapToGrid w:val="0"/>
              <w:rPr>
                <w:rFonts w:ascii="Arial" w:hAnsi="Arial" w:cs="Arial"/>
              </w:rPr>
            </w:pPr>
            <w:r w:rsidRPr="00231C0D">
              <w:rPr>
                <w:rFonts w:ascii="Arial" w:hAnsi="Arial" w:cs="Arial"/>
              </w:rPr>
              <w:t>−0.023</w:t>
            </w:r>
          </w:p>
        </w:tc>
        <w:tc>
          <w:tcPr>
            <w:tcW w:w="963" w:type="dxa"/>
            <w:tcBorders>
              <w:bottom w:val="single" w:sz="4" w:space="0" w:color="auto"/>
            </w:tcBorders>
            <w:vAlign w:val="center"/>
            <w:hideMark/>
          </w:tcPr>
          <w:p w14:paraId="60B0DC11" w14:textId="77777777" w:rsidR="00F82049" w:rsidRPr="00231C0D" w:rsidRDefault="00F82049" w:rsidP="00231C0D">
            <w:pPr>
              <w:snapToGrid w:val="0"/>
              <w:rPr>
                <w:rFonts w:ascii="Arial" w:hAnsi="Arial" w:cs="Arial"/>
              </w:rPr>
            </w:pPr>
            <w:r w:rsidRPr="00231C0D">
              <w:rPr>
                <w:rFonts w:ascii="Arial" w:hAnsi="Arial" w:cs="Arial"/>
              </w:rPr>
              <w:t>0.216</w:t>
            </w:r>
          </w:p>
        </w:tc>
        <w:tc>
          <w:tcPr>
            <w:tcW w:w="962" w:type="dxa"/>
            <w:tcBorders>
              <w:bottom w:val="single" w:sz="4" w:space="0" w:color="auto"/>
            </w:tcBorders>
            <w:vAlign w:val="center"/>
            <w:hideMark/>
          </w:tcPr>
          <w:p w14:paraId="7BF75096" w14:textId="77777777" w:rsidR="00F82049" w:rsidRPr="00231C0D" w:rsidRDefault="00F82049" w:rsidP="00231C0D">
            <w:pPr>
              <w:snapToGrid w:val="0"/>
              <w:rPr>
                <w:rFonts w:ascii="Arial" w:hAnsi="Arial" w:cs="Arial"/>
              </w:rPr>
            </w:pPr>
            <w:r w:rsidRPr="00231C0D">
              <w:rPr>
                <w:rFonts w:ascii="Arial" w:hAnsi="Arial" w:cs="Arial"/>
              </w:rPr>
              <w:t>0.917</w:t>
            </w:r>
          </w:p>
        </w:tc>
        <w:tc>
          <w:tcPr>
            <w:tcW w:w="1940" w:type="dxa"/>
            <w:tcBorders>
              <w:bottom w:val="single" w:sz="4" w:space="0" w:color="auto"/>
            </w:tcBorders>
            <w:vAlign w:val="center"/>
            <w:hideMark/>
          </w:tcPr>
          <w:p w14:paraId="59DB9795" w14:textId="77777777" w:rsidR="00F82049" w:rsidRPr="00231C0D" w:rsidRDefault="00F82049" w:rsidP="00231C0D">
            <w:pPr>
              <w:snapToGrid w:val="0"/>
              <w:rPr>
                <w:rFonts w:ascii="Arial" w:hAnsi="Arial" w:cs="Arial"/>
              </w:rPr>
            </w:pPr>
            <w:r w:rsidRPr="00231C0D">
              <w:rPr>
                <w:rFonts w:ascii="Arial" w:hAnsi="Arial" w:cs="Arial"/>
              </w:rPr>
              <w:t>[-0.446, 0.401]</w:t>
            </w:r>
          </w:p>
        </w:tc>
      </w:tr>
    </w:tbl>
    <w:p w14:paraId="04B9E1B3" w14:textId="77777777" w:rsidR="00F82049" w:rsidRPr="00231C0D" w:rsidRDefault="00F82049" w:rsidP="00F82049">
      <w:pPr>
        <w:rPr>
          <w:rFonts w:ascii="Arial" w:hAnsi="Arial" w:cs="Arial"/>
        </w:rPr>
      </w:pPr>
    </w:p>
    <w:bookmarkEnd w:id="3"/>
    <w:p w14:paraId="20504857" w14:textId="77777777" w:rsidR="00037214" w:rsidRDefault="00037214" w:rsidP="00471312">
      <w:pPr>
        <w:adjustRightInd w:val="0"/>
        <w:snapToGrid w:val="0"/>
        <w:spacing w:line="480" w:lineRule="auto"/>
        <w:rPr>
          <w:rFonts w:ascii="Arial" w:hAnsi="Arial" w:cs="Arial"/>
          <w:szCs w:val="21"/>
          <w:shd w:val="clear" w:color="auto" w:fill="FFFFFF"/>
        </w:rPr>
      </w:pPr>
    </w:p>
    <w:p w14:paraId="3CDC7278" w14:textId="2E344110" w:rsidR="00231C0D" w:rsidRPr="003778AB" w:rsidRDefault="00260D5F" w:rsidP="003778AB">
      <w:pPr>
        <w:pBdr>
          <w:top w:val="nil"/>
          <w:left w:val="nil"/>
          <w:bottom w:val="nil"/>
          <w:right w:val="nil"/>
          <w:between w:val="nil"/>
        </w:pBdr>
        <w:spacing w:line="480" w:lineRule="auto"/>
        <w:contextualSpacing/>
        <w:outlineLvl w:val="1"/>
        <w:rPr>
          <w:rFonts w:ascii="Arial" w:hAnsi="Arial" w:cs="Arial"/>
          <w:b/>
          <w:color w:val="000000"/>
          <w:szCs w:val="21"/>
        </w:rPr>
      </w:pPr>
      <w:r>
        <w:rPr>
          <w:rFonts w:ascii="Arial" w:hAnsi="Arial" w:cs="Arial" w:hint="eastAsia"/>
          <w:b/>
          <w:color w:val="000000"/>
          <w:szCs w:val="21"/>
        </w:rPr>
        <w:t>S</w:t>
      </w:r>
      <w:r w:rsidR="003778AB">
        <w:rPr>
          <w:rFonts w:ascii="Arial" w:hAnsi="Arial" w:cs="Arial" w:hint="eastAsia"/>
          <w:b/>
          <w:color w:val="000000"/>
          <w:szCs w:val="21"/>
        </w:rPr>
        <w:t xml:space="preserve">4. </w:t>
      </w:r>
      <w:r w:rsidR="00231C0D" w:rsidRPr="003778AB">
        <w:rPr>
          <w:rFonts w:ascii="Arial" w:hAnsi="Arial" w:cs="Arial"/>
          <w:b/>
          <w:color w:val="000000"/>
          <w:szCs w:val="21"/>
        </w:rPr>
        <w:t>Sensitivity Analysis of Recovery-Level Definition</w:t>
      </w:r>
    </w:p>
    <w:p w14:paraId="7020358A" w14:textId="77777777" w:rsidR="00231C0D" w:rsidRPr="00231C0D" w:rsidRDefault="00231C0D" w:rsidP="00231C0D">
      <w:pPr>
        <w:adjustRightInd w:val="0"/>
        <w:snapToGrid w:val="0"/>
        <w:spacing w:line="480" w:lineRule="auto"/>
        <w:ind w:firstLine="360"/>
        <w:rPr>
          <w:rFonts w:ascii="Arial" w:hAnsi="Arial" w:cs="Arial"/>
          <w:sz w:val="20"/>
          <w:szCs w:val="20"/>
          <w:shd w:val="clear" w:color="auto" w:fill="FFFFFF"/>
        </w:rPr>
      </w:pPr>
      <w:r w:rsidRPr="00231C0D">
        <w:rPr>
          <w:rFonts w:ascii="Arial" w:hAnsi="Arial" w:cs="Arial"/>
          <w:sz w:val="20"/>
          <w:szCs w:val="20"/>
          <w:shd w:val="clear" w:color="auto" w:fill="FFFFFF"/>
        </w:rPr>
        <w:t xml:space="preserve">To examine whether the main SEM results were sensitive to the specific definition of post-disaster recovery, we conducted additional sensitivity checks by varying the pixel-level recovery threshold and the stability rule used to classify affected pixels as recovered. In the main specification, a pixel was considered recovered when its post-disaster NTL radiance returned to at least 90% of its pre-disaster baseline and satisfied a 6-of-7 stability rule. To test the robustness of this choice, we recalculated the county-level recovery level using alternative thresholds and window rules, including a lower recovery threshold of 85%, a stricter threshold </w:t>
      </w:r>
      <w:r w:rsidRPr="00231C0D">
        <w:rPr>
          <w:rFonts w:ascii="Arial" w:hAnsi="Arial" w:cs="Arial"/>
          <w:sz w:val="20"/>
          <w:szCs w:val="20"/>
          <w:shd w:val="clear" w:color="auto" w:fill="FFFFFF"/>
        </w:rPr>
        <w:lastRenderedPageBreak/>
        <w:t>of 95%, and alternative k-of-7 stability rules.</w:t>
      </w:r>
    </w:p>
    <w:p w14:paraId="1EB2E812" w14:textId="5FAB0B5A" w:rsidR="00231C0D" w:rsidRPr="00231C0D" w:rsidRDefault="00231C0D" w:rsidP="00231C0D">
      <w:pPr>
        <w:adjustRightInd w:val="0"/>
        <w:snapToGrid w:val="0"/>
        <w:spacing w:line="480" w:lineRule="auto"/>
        <w:ind w:firstLine="360"/>
        <w:rPr>
          <w:rFonts w:ascii="Arial" w:hAnsi="Arial" w:cs="Arial"/>
          <w:sz w:val="20"/>
          <w:szCs w:val="20"/>
          <w:shd w:val="clear" w:color="auto" w:fill="FFFFFF"/>
        </w:rPr>
      </w:pPr>
      <w:r w:rsidRPr="00231C0D">
        <w:rPr>
          <w:rFonts w:ascii="Arial" w:hAnsi="Arial" w:cs="Arial"/>
          <w:sz w:val="20"/>
          <w:szCs w:val="20"/>
          <w:shd w:val="clear" w:color="auto" w:fill="FFFFFF"/>
        </w:rPr>
        <w:t>The sensitivity results are reported in Table S</w:t>
      </w:r>
      <w:r>
        <w:rPr>
          <w:rFonts w:ascii="Arial" w:hAnsi="Arial" w:cs="Arial" w:hint="eastAsia"/>
          <w:sz w:val="20"/>
          <w:szCs w:val="20"/>
          <w:shd w:val="clear" w:color="auto" w:fill="FFFFFF"/>
        </w:rPr>
        <w:t>3</w:t>
      </w:r>
      <w:r w:rsidRPr="00231C0D">
        <w:rPr>
          <w:rFonts w:ascii="Arial" w:hAnsi="Arial" w:cs="Arial"/>
          <w:sz w:val="20"/>
          <w:szCs w:val="20"/>
          <w:shd w:val="clear" w:color="auto" w:fill="FFFFFF"/>
        </w:rPr>
        <w:t>. Across all tested specifications, the interaction coefficient between antecedent recovery level and the critical disaster interval remained negative and statistically significant. The estimated interaction coefficients ranged from -0.36 to -0.55, with p-values ranging from 0.006 to 0.044. This indicates that the negative association between antecedent recovery and subsequent flood losses during the critical interval was not driven by a single recovery threshold or a specific k-of-n stability rule. Even under the stricter 95% recovery threshold, the interaction term remained negative and statistically significant, although the magnitude was slightly smaller. These findings support the robustness of the recovery-level measure used in the main analysis.</w:t>
      </w:r>
    </w:p>
    <w:p w14:paraId="507DB49C" w14:textId="6240078D" w:rsidR="00231C0D" w:rsidRPr="00231C0D" w:rsidRDefault="00231C0D" w:rsidP="00231C0D">
      <w:pPr>
        <w:rPr>
          <w:rFonts w:ascii="Arial" w:hAnsi="Arial" w:cs="Arial"/>
          <w:b/>
          <w:bCs/>
        </w:rPr>
      </w:pPr>
      <w:r w:rsidRPr="00231C0D">
        <w:rPr>
          <w:rFonts w:ascii="Arial" w:hAnsi="Arial" w:cs="Arial" w:hint="eastAsia"/>
          <w:b/>
          <w:bCs/>
        </w:rPr>
        <w:t>Table S</w:t>
      </w:r>
      <w:r>
        <w:rPr>
          <w:rFonts w:ascii="Arial" w:hAnsi="Arial" w:cs="Arial" w:hint="eastAsia"/>
          <w:b/>
          <w:bCs/>
        </w:rPr>
        <w:t>3</w:t>
      </w:r>
      <w:r w:rsidRPr="00231C0D">
        <w:rPr>
          <w:rFonts w:ascii="Arial" w:hAnsi="Arial" w:cs="Arial"/>
          <w:b/>
          <w:bCs/>
        </w:rPr>
        <w:t>. Sensitivity of the SEM results to alternative recovery-level definitions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58"/>
        <w:gridCol w:w="1659"/>
        <w:gridCol w:w="1660"/>
      </w:tblGrid>
      <w:tr w:rsidR="00231C0D" w:rsidRPr="00231C0D" w14:paraId="2BEC4262" w14:textId="77777777" w:rsidTr="0064652C">
        <w:trPr>
          <w:trHeight w:val="660"/>
        </w:trPr>
        <w:tc>
          <w:tcPr>
            <w:tcW w:w="1560" w:type="dxa"/>
            <w:tcBorders>
              <w:top w:val="single" w:sz="2" w:space="0" w:color="auto"/>
              <w:bottom w:val="single" w:sz="2" w:space="0" w:color="auto"/>
            </w:tcBorders>
            <w:hideMark/>
          </w:tcPr>
          <w:p w14:paraId="018695C0" w14:textId="77777777" w:rsidR="00231C0D" w:rsidRPr="00231C0D" w:rsidRDefault="00231C0D" w:rsidP="0096364C">
            <w:pPr>
              <w:widowControl/>
              <w:jc w:val="center"/>
              <w:rPr>
                <w:rFonts w:ascii="等线" w:eastAsia="等线" w:hAnsi="等线" w:cs="宋体" w:hint="eastAsia"/>
                <w:b/>
                <w:bCs/>
              </w:rPr>
            </w:pPr>
            <w:r w:rsidRPr="00231C0D">
              <w:rPr>
                <w:rFonts w:ascii="等线" w:eastAsia="等线" w:hAnsi="等线" w:cs="宋体"/>
                <w:b/>
                <w:bCs/>
              </w:rPr>
              <w:t>Recovery threshold</w:t>
            </w:r>
          </w:p>
        </w:tc>
        <w:tc>
          <w:tcPr>
            <w:tcW w:w="1559" w:type="dxa"/>
            <w:tcBorders>
              <w:top w:val="single" w:sz="2" w:space="0" w:color="auto"/>
              <w:bottom w:val="single" w:sz="2" w:space="0" w:color="auto"/>
            </w:tcBorders>
            <w:hideMark/>
          </w:tcPr>
          <w:p w14:paraId="232B8865" w14:textId="77777777" w:rsidR="00231C0D" w:rsidRPr="00231C0D" w:rsidRDefault="00231C0D" w:rsidP="0096364C">
            <w:pPr>
              <w:widowControl/>
              <w:jc w:val="center"/>
              <w:rPr>
                <w:rFonts w:ascii="等线" w:eastAsia="等线" w:hAnsi="等线" w:cs="宋体" w:hint="eastAsia"/>
                <w:b/>
                <w:bCs/>
              </w:rPr>
            </w:pPr>
            <w:r w:rsidRPr="00231C0D">
              <w:rPr>
                <w:rFonts w:ascii="等线" w:eastAsia="等线" w:hAnsi="等线" w:cs="宋体"/>
                <w:b/>
                <w:bCs/>
              </w:rPr>
              <w:t>Stability rule</w:t>
            </w:r>
          </w:p>
        </w:tc>
        <w:tc>
          <w:tcPr>
            <w:tcW w:w="1858" w:type="dxa"/>
            <w:tcBorders>
              <w:top w:val="single" w:sz="2" w:space="0" w:color="auto"/>
              <w:bottom w:val="single" w:sz="2" w:space="0" w:color="auto"/>
            </w:tcBorders>
            <w:hideMark/>
          </w:tcPr>
          <w:p w14:paraId="581C5386" w14:textId="77777777" w:rsidR="00231C0D" w:rsidRPr="00231C0D" w:rsidRDefault="00231C0D" w:rsidP="0096364C">
            <w:pPr>
              <w:widowControl/>
              <w:jc w:val="center"/>
              <w:rPr>
                <w:rFonts w:ascii="等线" w:eastAsia="等线" w:hAnsi="等线" w:cs="宋体" w:hint="eastAsia"/>
                <w:b/>
                <w:bCs/>
              </w:rPr>
            </w:pPr>
            <w:r w:rsidRPr="00231C0D">
              <w:rPr>
                <w:rFonts w:ascii="等线" w:eastAsia="等线" w:hAnsi="等线" w:cs="宋体"/>
                <w:b/>
                <w:bCs/>
              </w:rPr>
              <w:t>Interaction coefficient</w:t>
            </w:r>
          </w:p>
        </w:tc>
        <w:tc>
          <w:tcPr>
            <w:tcW w:w="1659" w:type="dxa"/>
            <w:tcBorders>
              <w:top w:val="single" w:sz="2" w:space="0" w:color="auto"/>
              <w:bottom w:val="single" w:sz="2" w:space="0" w:color="auto"/>
            </w:tcBorders>
            <w:hideMark/>
          </w:tcPr>
          <w:p w14:paraId="51BD0FF0" w14:textId="77777777" w:rsidR="00231C0D" w:rsidRPr="00231C0D" w:rsidRDefault="00231C0D" w:rsidP="0096364C">
            <w:pPr>
              <w:widowControl/>
              <w:jc w:val="center"/>
              <w:rPr>
                <w:rFonts w:ascii="等线" w:eastAsia="等线" w:hAnsi="等线" w:cs="宋体" w:hint="eastAsia"/>
                <w:b/>
                <w:bCs/>
              </w:rPr>
            </w:pPr>
            <w:r w:rsidRPr="00231C0D">
              <w:rPr>
                <w:rFonts w:ascii="等线" w:eastAsia="等线" w:hAnsi="等线" w:cs="宋体"/>
                <w:b/>
                <w:bCs/>
              </w:rPr>
              <w:t>p-value</w:t>
            </w:r>
          </w:p>
        </w:tc>
        <w:tc>
          <w:tcPr>
            <w:tcW w:w="1660" w:type="dxa"/>
            <w:tcBorders>
              <w:top w:val="single" w:sz="2" w:space="0" w:color="auto"/>
              <w:bottom w:val="single" w:sz="2" w:space="0" w:color="auto"/>
            </w:tcBorders>
            <w:hideMark/>
          </w:tcPr>
          <w:p w14:paraId="5D193AA9" w14:textId="77777777" w:rsidR="00231C0D" w:rsidRPr="00231C0D" w:rsidRDefault="00231C0D" w:rsidP="0096364C">
            <w:pPr>
              <w:widowControl/>
              <w:jc w:val="center"/>
              <w:rPr>
                <w:rFonts w:ascii="等线" w:eastAsia="等线" w:hAnsi="等线" w:cs="宋体" w:hint="eastAsia"/>
                <w:b/>
                <w:bCs/>
              </w:rPr>
            </w:pPr>
            <w:r w:rsidRPr="00231C0D">
              <w:rPr>
                <w:rFonts w:ascii="等线" w:eastAsia="等线" w:hAnsi="等线" w:cs="宋体"/>
                <w:b/>
                <w:bCs/>
              </w:rPr>
              <w:t>Std. Err.</w:t>
            </w:r>
          </w:p>
        </w:tc>
      </w:tr>
      <w:tr w:rsidR="00231C0D" w:rsidRPr="00231C0D" w14:paraId="44D97B98" w14:textId="77777777" w:rsidTr="0064652C">
        <w:trPr>
          <w:trHeight w:val="285"/>
        </w:trPr>
        <w:tc>
          <w:tcPr>
            <w:tcW w:w="1560" w:type="dxa"/>
            <w:tcBorders>
              <w:top w:val="single" w:sz="2" w:space="0" w:color="auto"/>
            </w:tcBorders>
            <w:hideMark/>
          </w:tcPr>
          <w:p w14:paraId="21BB6D0A"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0.9</w:t>
            </w:r>
          </w:p>
        </w:tc>
        <w:tc>
          <w:tcPr>
            <w:tcW w:w="1559" w:type="dxa"/>
            <w:tcBorders>
              <w:top w:val="single" w:sz="2" w:space="0" w:color="auto"/>
            </w:tcBorders>
            <w:hideMark/>
          </w:tcPr>
          <w:p w14:paraId="2E52DE64"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6-of-7</w:t>
            </w:r>
          </w:p>
        </w:tc>
        <w:tc>
          <w:tcPr>
            <w:tcW w:w="1858" w:type="dxa"/>
            <w:tcBorders>
              <w:top w:val="single" w:sz="2" w:space="0" w:color="auto"/>
            </w:tcBorders>
            <w:hideMark/>
          </w:tcPr>
          <w:p w14:paraId="3C2A804A"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-0.55</w:t>
            </w:r>
          </w:p>
        </w:tc>
        <w:tc>
          <w:tcPr>
            <w:tcW w:w="1659" w:type="dxa"/>
            <w:tcBorders>
              <w:top w:val="single" w:sz="2" w:space="0" w:color="auto"/>
            </w:tcBorders>
            <w:hideMark/>
          </w:tcPr>
          <w:p w14:paraId="4588682E"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0.008</w:t>
            </w:r>
          </w:p>
        </w:tc>
        <w:tc>
          <w:tcPr>
            <w:tcW w:w="1660" w:type="dxa"/>
            <w:tcBorders>
              <w:top w:val="single" w:sz="2" w:space="0" w:color="auto"/>
            </w:tcBorders>
            <w:hideMark/>
          </w:tcPr>
          <w:p w14:paraId="1D1189A0"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0.181</w:t>
            </w:r>
          </w:p>
        </w:tc>
      </w:tr>
      <w:tr w:rsidR="00231C0D" w:rsidRPr="00231C0D" w14:paraId="05E86BF9" w14:textId="77777777" w:rsidTr="0096364C">
        <w:trPr>
          <w:trHeight w:val="285"/>
        </w:trPr>
        <w:tc>
          <w:tcPr>
            <w:tcW w:w="1560" w:type="dxa"/>
            <w:hideMark/>
          </w:tcPr>
          <w:p w14:paraId="66674019"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0.85</w:t>
            </w:r>
          </w:p>
        </w:tc>
        <w:tc>
          <w:tcPr>
            <w:tcW w:w="1559" w:type="dxa"/>
            <w:hideMark/>
          </w:tcPr>
          <w:p w14:paraId="2212DCAB"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6-of-7</w:t>
            </w:r>
          </w:p>
        </w:tc>
        <w:tc>
          <w:tcPr>
            <w:tcW w:w="1858" w:type="dxa"/>
            <w:hideMark/>
          </w:tcPr>
          <w:p w14:paraId="48A860F1"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-0.5</w:t>
            </w:r>
            <w:r w:rsidRPr="00231C0D">
              <w:rPr>
                <w:rFonts w:ascii="等线" w:eastAsia="等线" w:hAnsi="等线" w:cs="宋体" w:hint="eastAsia"/>
              </w:rPr>
              <w:t>0</w:t>
            </w:r>
          </w:p>
        </w:tc>
        <w:tc>
          <w:tcPr>
            <w:tcW w:w="1659" w:type="dxa"/>
            <w:hideMark/>
          </w:tcPr>
          <w:p w14:paraId="7E9BC8B3"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0.009</w:t>
            </w:r>
          </w:p>
        </w:tc>
        <w:tc>
          <w:tcPr>
            <w:tcW w:w="1660" w:type="dxa"/>
            <w:hideMark/>
          </w:tcPr>
          <w:p w14:paraId="396F8259"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0.189</w:t>
            </w:r>
          </w:p>
        </w:tc>
      </w:tr>
      <w:tr w:rsidR="00231C0D" w:rsidRPr="00231C0D" w14:paraId="58972A40" w14:textId="77777777" w:rsidTr="0096364C">
        <w:trPr>
          <w:trHeight w:val="285"/>
        </w:trPr>
        <w:tc>
          <w:tcPr>
            <w:tcW w:w="1560" w:type="dxa"/>
            <w:hideMark/>
          </w:tcPr>
          <w:p w14:paraId="4082E88D"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0.9</w:t>
            </w:r>
          </w:p>
        </w:tc>
        <w:tc>
          <w:tcPr>
            <w:tcW w:w="1559" w:type="dxa"/>
            <w:hideMark/>
          </w:tcPr>
          <w:p w14:paraId="792052CB"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5-of-7</w:t>
            </w:r>
          </w:p>
        </w:tc>
        <w:tc>
          <w:tcPr>
            <w:tcW w:w="1858" w:type="dxa"/>
            <w:hideMark/>
          </w:tcPr>
          <w:p w14:paraId="68153353"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-0.55</w:t>
            </w:r>
          </w:p>
        </w:tc>
        <w:tc>
          <w:tcPr>
            <w:tcW w:w="1659" w:type="dxa"/>
            <w:hideMark/>
          </w:tcPr>
          <w:p w14:paraId="105EE17B"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0.008</w:t>
            </w:r>
          </w:p>
        </w:tc>
        <w:tc>
          <w:tcPr>
            <w:tcW w:w="1660" w:type="dxa"/>
            <w:hideMark/>
          </w:tcPr>
          <w:p w14:paraId="22FCD57F"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0.181</w:t>
            </w:r>
          </w:p>
        </w:tc>
      </w:tr>
      <w:tr w:rsidR="00231C0D" w:rsidRPr="00231C0D" w14:paraId="1425FFB1" w14:textId="77777777" w:rsidTr="0096364C">
        <w:trPr>
          <w:trHeight w:val="285"/>
        </w:trPr>
        <w:tc>
          <w:tcPr>
            <w:tcW w:w="1560" w:type="dxa"/>
            <w:hideMark/>
          </w:tcPr>
          <w:p w14:paraId="3A3CAD2C"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0.9</w:t>
            </w:r>
          </w:p>
        </w:tc>
        <w:tc>
          <w:tcPr>
            <w:tcW w:w="1559" w:type="dxa"/>
            <w:hideMark/>
          </w:tcPr>
          <w:p w14:paraId="44CC353E"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7-of-7</w:t>
            </w:r>
          </w:p>
        </w:tc>
        <w:tc>
          <w:tcPr>
            <w:tcW w:w="1858" w:type="dxa"/>
            <w:hideMark/>
          </w:tcPr>
          <w:p w14:paraId="69237791"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-0.5</w:t>
            </w:r>
            <w:r w:rsidRPr="00231C0D">
              <w:rPr>
                <w:rFonts w:ascii="等线" w:eastAsia="等线" w:hAnsi="等线" w:cs="宋体" w:hint="eastAsia"/>
              </w:rPr>
              <w:t>0</w:t>
            </w:r>
          </w:p>
        </w:tc>
        <w:tc>
          <w:tcPr>
            <w:tcW w:w="1659" w:type="dxa"/>
            <w:hideMark/>
          </w:tcPr>
          <w:p w14:paraId="10AEF309"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0.006</w:t>
            </w:r>
          </w:p>
        </w:tc>
        <w:tc>
          <w:tcPr>
            <w:tcW w:w="1660" w:type="dxa"/>
            <w:hideMark/>
          </w:tcPr>
          <w:p w14:paraId="22AE4F54"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0.181</w:t>
            </w:r>
          </w:p>
        </w:tc>
      </w:tr>
      <w:tr w:rsidR="00231C0D" w:rsidRPr="00231C0D" w14:paraId="27F8229D" w14:textId="77777777" w:rsidTr="0096364C">
        <w:trPr>
          <w:trHeight w:val="285"/>
        </w:trPr>
        <w:tc>
          <w:tcPr>
            <w:tcW w:w="1560" w:type="dxa"/>
            <w:tcBorders>
              <w:bottom w:val="single" w:sz="4" w:space="0" w:color="auto"/>
            </w:tcBorders>
            <w:hideMark/>
          </w:tcPr>
          <w:p w14:paraId="10CEE94B"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0.95</w:t>
            </w:r>
          </w:p>
        </w:tc>
        <w:tc>
          <w:tcPr>
            <w:tcW w:w="1559" w:type="dxa"/>
            <w:tcBorders>
              <w:bottom w:val="single" w:sz="4" w:space="0" w:color="auto"/>
            </w:tcBorders>
            <w:hideMark/>
          </w:tcPr>
          <w:p w14:paraId="6CD89A5D"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6-of-7</w:t>
            </w:r>
          </w:p>
        </w:tc>
        <w:tc>
          <w:tcPr>
            <w:tcW w:w="1858" w:type="dxa"/>
            <w:tcBorders>
              <w:bottom w:val="single" w:sz="4" w:space="0" w:color="auto"/>
            </w:tcBorders>
            <w:hideMark/>
          </w:tcPr>
          <w:p w14:paraId="4CA6E3DC"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-0.36</w:t>
            </w:r>
          </w:p>
        </w:tc>
        <w:tc>
          <w:tcPr>
            <w:tcW w:w="1659" w:type="dxa"/>
            <w:tcBorders>
              <w:bottom w:val="single" w:sz="4" w:space="0" w:color="auto"/>
            </w:tcBorders>
            <w:hideMark/>
          </w:tcPr>
          <w:p w14:paraId="39805559"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0.044</w:t>
            </w:r>
          </w:p>
        </w:tc>
        <w:tc>
          <w:tcPr>
            <w:tcW w:w="1660" w:type="dxa"/>
            <w:tcBorders>
              <w:bottom w:val="single" w:sz="4" w:space="0" w:color="auto"/>
            </w:tcBorders>
            <w:hideMark/>
          </w:tcPr>
          <w:p w14:paraId="0B571CCA" w14:textId="77777777" w:rsidR="00231C0D" w:rsidRPr="00231C0D" w:rsidRDefault="00231C0D" w:rsidP="0096364C">
            <w:pPr>
              <w:widowControl/>
              <w:jc w:val="center"/>
              <w:rPr>
                <w:rFonts w:ascii="等线" w:eastAsia="等线" w:hAnsi="等线" w:cs="宋体" w:hint="eastAsia"/>
              </w:rPr>
            </w:pPr>
            <w:r w:rsidRPr="00231C0D">
              <w:rPr>
                <w:rFonts w:ascii="等线" w:eastAsia="等线" w:hAnsi="等线" w:cs="宋体"/>
              </w:rPr>
              <w:t>0.179</w:t>
            </w:r>
          </w:p>
        </w:tc>
      </w:tr>
    </w:tbl>
    <w:p w14:paraId="7554A178" w14:textId="77777777" w:rsidR="00231C0D" w:rsidRPr="00231C0D" w:rsidRDefault="00231C0D" w:rsidP="00231C0D">
      <w:pPr>
        <w:rPr>
          <w:rFonts w:ascii="Arial" w:hAnsi="Arial" w:cs="Arial"/>
        </w:rPr>
      </w:pPr>
      <w:r w:rsidRPr="00231C0D">
        <w:rPr>
          <w:rFonts w:ascii="Arial" w:hAnsi="Arial" w:cs="Arial"/>
          <w:b/>
          <w:bCs/>
        </w:rPr>
        <w:t>Note.</w:t>
      </w:r>
      <w:r w:rsidRPr="00231C0D">
        <w:rPr>
          <w:rFonts w:ascii="Arial" w:hAnsi="Arial" w:cs="Arial"/>
        </w:rPr>
        <w:t xml:space="preserve"> The recovery threshold indicates the proportion of the pre-disaster NTL baseline that an affected pixel needed to reach </w:t>
      </w:r>
      <w:proofErr w:type="gramStart"/>
      <w:r w:rsidRPr="00231C0D">
        <w:rPr>
          <w:rFonts w:ascii="Arial" w:hAnsi="Arial" w:cs="Arial"/>
        </w:rPr>
        <w:t>in order to</w:t>
      </w:r>
      <w:proofErr w:type="gramEnd"/>
      <w:r w:rsidRPr="00231C0D">
        <w:rPr>
          <w:rFonts w:ascii="Arial" w:hAnsi="Arial" w:cs="Arial"/>
        </w:rPr>
        <w:t xml:space="preserve"> be classified as recovered. The stability rule indicates the number of valid observations within a seven-day moving window that were required to meet the recovery threshold. The interaction coefficient refers to the SEM path linking the interaction between antecedent recovery level and the critical disaster interval to subsequent flood loss. Negative coefficients indicate that higher antecedent recovery levels are associated with lower subsequent losses during the critical interval.</w:t>
      </w:r>
    </w:p>
    <w:p w14:paraId="5AD4A5DA" w14:textId="77777777" w:rsidR="00231C0D" w:rsidRDefault="00231C0D">
      <w:pPr>
        <w:widowControl/>
        <w:jc w:val="left"/>
        <w:rPr>
          <w:rFonts w:hint="eastAsia"/>
        </w:rPr>
      </w:pPr>
    </w:p>
    <w:sectPr w:rsidR="00231C0D" w:rsidSect="00FC4CE7">
      <w:footerReference w:type="default" r:id="rId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5372" w14:textId="77777777" w:rsidR="00CF3397" w:rsidRDefault="00CF3397" w:rsidP="00DC425C">
      <w:pPr>
        <w:rPr>
          <w:rFonts w:hint="eastAsia"/>
        </w:rPr>
      </w:pPr>
      <w:r>
        <w:separator/>
      </w:r>
    </w:p>
  </w:endnote>
  <w:endnote w:type="continuationSeparator" w:id="0">
    <w:p w14:paraId="6D5312DC" w14:textId="77777777" w:rsidR="00CF3397" w:rsidRDefault="00CF3397" w:rsidP="00DC42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323445"/>
      <w:docPartObj>
        <w:docPartGallery w:val="Page Numbers (Bottom of Page)"/>
        <w:docPartUnique/>
      </w:docPartObj>
    </w:sdtPr>
    <w:sdtContent>
      <w:p w14:paraId="49F34997" w14:textId="29E14AA6" w:rsidR="00FC4CE7" w:rsidRDefault="00FC4CE7">
        <w:pPr>
          <w:pStyle w:val="a5"/>
          <w:jc w:val="right"/>
          <w:rPr>
            <w:rFonts w:hint="eastAsia"/>
          </w:rPr>
        </w:pPr>
        <w:r>
          <w:fldChar w:fldCharType="begin"/>
        </w:r>
        <w:r>
          <w:instrText>PAGE   \* MERGEFORMAT</w:instrText>
        </w:r>
        <w:r>
          <w:fldChar w:fldCharType="separate"/>
        </w:r>
        <w:r>
          <w:rPr>
            <w:lang w:val="zh-CN"/>
          </w:rPr>
          <w:t>2</w:t>
        </w:r>
        <w:r>
          <w:fldChar w:fldCharType="end"/>
        </w:r>
      </w:p>
    </w:sdtContent>
  </w:sdt>
  <w:p w14:paraId="6668485B" w14:textId="77777777" w:rsidR="00FC4CE7" w:rsidRDefault="00FC4CE7">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009E" w14:textId="77777777" w:rsidR="00CF3397" w:rsidRDefault="00CF3397" w:rsidP="00DC425C">
      <w:pPr>
        <w:rPr>
          <w:rFonts w:hint="eastAsia"/>
        </w:rPr>
      </w:pPr>
      <w:r>
        <w:separator/>
      </w:r>
    </w:p>
  </w:footnote>
  <w:footnote w:type="continuationSeparator" w:id="0">
    <w:p w14:paraId="3FF7CF1D" w14:textId="77777777" w:rsidR="00CF3397" w:rsidRDefault="00CF3397" w:rsidP="00DC42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888"/>
    <w:multiLevelType w:val="hybridMultilevel"/>
    <w:tmpl w:val="7794D29A"/>
    <w:lvl w:ilvl="0" w:tplc="36920C2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D71CF"/>
    <w:multiLevelType w:val="multilevel"/>
    <w:tmpl w:val="D72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30F5"/>
    <w:multiLevelType w:val="multilevel"/>
    <w:tmpl w:val="CF5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07267"/>
    <w:multiLevelType w:val="hybridMultilevel"/>
    <w:tmpl w:val="162AB736"/>
    <w:lvl w:ilvl="0" w:tplc="355C81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18687C"/>
    <w:multiLevelType w:val="hybridMultilevel"/>
    <w:tmpl w:val="43D80790"/>
    <w:lvl w:ilvl="0" w:tplc="1326E1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BDB630F"/>
    <w:multiLevelType w:val="multilevel"/>
    <w:tmpl w:val="FDA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54888"/>
    <w:multiLevelType w:val="hybridMultilevel"/>
    <w:tmpl w:val="88A80B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40E726D"/>
    <w:multiLevelType w:val="hybridMultilevel"/>
    <w:tmpl w:val="3000EF90"/>
    <w:lvl w:ilvl="0" w:tplc="645CA71C">
      <w:start w:val="1"/>
      <w:numFmt w:val="bullet"/>
      <w:lvlText w:val="•"/>
      <w:lvlJc w:val="left"/>
      <w:pPr>
        <w:ind w:left="440" w:hanging="440"/>
      </w:pPr>
      <w:rPr>
        <w:rFonts w:ascii="Arial" w:hAnsi="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341549DA"/>
    <w:multiLevelType w:val="hybridMultilevel"/>
    <w:tmpl w:val="EDA67CDA"/>
    <w:lvl w:ilvl="0" w:tplc="42FE98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AEC31CF"/>
    <w:multiLevelType w:val="multilevel"/>
    <w:tmpl w:val="1FCE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16C68"/>
    <w:multiLevelType w:val="multilevel"/>
    <w:tmpl w:val="511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30BB0"/>
    <w:multiLevelType w:val="hybridMultilevel"/>
    <w:tmpl w:val="2F4A8D6C"/>
    <w:lvl w:ilvl="0" w:tplc="2DE4F28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5F36FA8"/>
    <w:multiLevelType w:val="multilevel"/>
    <w:tmpl w:val="824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53C12"/>
    <w:multiLevelType w:val="hybridMultilevel"/>
    <w:tmpl w:val="44CEE388"/>
    <w:lvl w:ilvl="0" w:tplc="B01C93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D63213"/>
    <w:multiLevelType w:val="hybridMultilevel"/>
    <w:tmpl w:val="13A60B54"/>
    <w:lvl w:ilvl="0" w:tplc="2DE4F28C">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1649356499">
    <w:abstractNumId w:val="4"/>
  </w:num>
  <w:num w:numId="2" w16cid:durableId="1485664244">
    <w:abstractNumId w:val="6"/>
  </w:num>
  <w:num w:numId="3" w16cid:durableId="589966012">
    <w:abstractNumId w:val="7"/>
  </w:num>
  <w:num w:numId="4" w16cid:durableId="922379304">
    <w:abstractNumId w:val="14"/>
  </w:num>
  <w:num w:numId="5" w16cid:durableId="55319666">
    <w:abstractNumId w:val="5"/>
  </w:num>
  <w:num w:numId="6" w16cid:durableId="654261316">
    <w:abstractNumId w:val="10"/>
  </w:num>
  <w:num w:numId="7" w16cid:durableId="1077702687">
    <w:abstractNumId w:val="2"/>
  </w:num>
  <w:num w:numId="8" w16cid:durableId="1464885698">
    <w:abstractNumId w:val="1"/>
  </w:num>
  <w:num w:numId="9" w16cid:durableId="1864588865">
    <w:abstractNumId w:val="12"/>
  </w:num>
  <w:num w:numId="10" w16cid:durableId="620915251">
    <w:abstractNumId w:val="9"/>
  </w:num>
  <w:num w:numId="11" w16cid:durableId="1770202940">
    <w:abstractNumId w:val="11"/>
  </w:num>
  <w:num w:numId="12" w16cid:durableId="704059503">
    <w:abstractNumId w:val="3"/>
  </w:num>
  <w:num w:numId="13" w16cid:durableId="68697073">
    <w:abstractNumId w:val="13"/>
  </w:num>
  <w:num w:numId="14" w16cid:durableId="1141581282">
    <w:abstractNumId w:val="0"/>
  </w:num>
  <w:num w:numId="15" w16cid:durableId="1120605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AE"/>
    <w:rsid w:val="00035E61"/>
    <w:rsid w:val="00037214"/>
    <w:rsid w:val="0005197C"/>
    <w:rsid w:val="00055BF1"/>
    <w:rsid w:val="00061D60"/>
    <w:rsid w:val="00093542"/>
    <w:rsid w:val="000A14DD"/>
    <w:rsid w:val="000A2ABA"/>
    <w:rsid w:val="000B2BE8"/>
    <w:rsid w:val="000B5190"/>
    <w:rsid w:val="000C7A28"/>
    <w:rsid w:val="000E67A1"/>
    <w:rsid w:val="001034E7"/>
    <w:rsid w:val="0013155B"/>
    <w:rsid w:val="00132E9F"/>
    <w:rsid w:val="00137EE7"/>
    <w:rsid w:val="0014043F"/>
    <w:rsid w:val="001413C4"/>
    <w:rsid w:val="00151F53"/>
    <w:rsid w:val="001842A9"/>
    <w:rsid w:val="001961C1"/>
    <w:rsid w:val="001A4E3F"/>
    <w:rsid w:val="001C7101"/>
    <w:rsid w:val="001D6815"/>
    <w:rsid w:val="001F5E59"/>
    <w:rsid w:val="001F6388"/>
    <w:rsid w:val="00223486"/>
    <w:rsid w:val="00224B3E"/>
    <w:rsid w:val="0022637E"/>
    <w:rsid w:val="00231C0D"/>
    <w:rsid w:val="0024086A"/>
    <w:rsid w:val="002437CF"/>
    <w:rsid w:val="00256E02"/>
    <w:rsid w:val="00260D5F"/>
    <w:rsid w:val="002B56D5"/>
    <w:rsid w:val="002C1782"/>
    <w:rsid w:val="002D72A2"/>
    <w:rsid w:val="002F264D"/>
    <w:rsid w:val="002F5B90"/>
    <w:rsid w:val="00304B22"/>
    <w:rsid w:val="00306F45"/>
    <w:rsid w:val="00312103"/>
    <w:rsid w:val="0034592E"/>
    <w:rsid w:val="00364FAC"/>
    <w:rsid w:val="003751EC"/>
    <w:rsid w:val="003778AB"/>
    <w:rsid w:val="00392CAC"/>
    <w:rsid w:val="003B2418"/>
    <w:rsid w:val="003C143D"/>
    <w:rsid w:val="003C2C1B"/>
    <w:rsid w:val="003E1E88"/>
    <w:rsid w:val="003E4435"/>
    <w:rsid w:val="003E5325"/>
    <w:rsid w:val="003F4F68"/>
    <w:rsid w:val="00412EBE"/>
    <w:rsid w:val="00413121"/>
    <w:rsid w:val="00471312"/>
    <w:rsid w:val="00481827"/>
    <w:rsid w:val="00481BF1"/>
    <w:rsid w:val="0048724B"/>
    <w:rsid w:val="004876DB"/>
    <w:rsid w:val="00494C1A"/>
    <w:rsid w:val="004A2A1C"/>
    <w:rsid w:val="004B7E03"/>
    <w:rsid w:val="004C7388"/>
    <w:rsid w:val="004D048A"/>
    <w:rsid w:val="004F4746"/>
    <w:rsid w:val="004F63D8"/>
    <w:rsid w:val="0052737E"/>
    <w:rsid w:val="00534807"/>
    <w:rsid w:val="00580977"/>
    <w:rsid w:val="00580F4F"/>
    <w:rsid w:val="005813CD"/>
    <w:rsid w:val="005907A0"/>
    <w:rsid w:val="00592837"/>
    <w:rsid w:val="005B3268"/>
    <w:rsid w:val="005C2B01"/>
    <w:rsid w:val="005C7A47"/>
    <w:rsid w:val="00603155"/>
    <w:rsid w:val="00610D67"/>
    <w:rsid w:val="00616FF3"/>
    <w:rsid w:val="00617E99"/>
    <w:rsid w:val="006317D3"/>
    <w:rsid w:val="006349C7"/>
    <w:rsid w:val="0064130A"/>
    <w:rsid w:val="0064652C"/>
    <w:rsid w:val="006973BD"/>
    <w:rsid w:val="00697613"/>
    <w:rsid w:val="006C2BEA"/>
    <w:rsid w:val="006E6857"/>
    <w:rsid w:val="006F599B"/>
    <w:rsid w:val="00701A7F"/>
    <w:rsid w:val="00704557"/>
    <w:rsid w:val="00704CAE"/>
    <w:rsid w:val="00727324"/>
    <w:rsid w:val="00773672"/>
    <w:rsid w:val="007B727B"/>
    <w:rsid w:val="007C5FCE"/>
    <w:rsid w:val="007D2C60"/>
    <w:rsid w:val="007F5EB4"/>
    <w:rsid w:val="008048E3"/>
    <w:rsid w:val="00830ADD"/>
    <w:rsid w:val="008513A9"/>
    <w:rsid w:val="00877AE6"/>
    <w:rsid w:val="00877C45"/>
    <w:rsid w:val="008927A4"/>
    <w:rsid w:val="00892BE3"/>
    <w:rsid w:val="00893B6D"/>
    <w:rsid w:val="0089722E"/>
    <w:rsid w:val="008A2F43"/>
    <w:rsid w:val="008F58D0"/>
    <w:rsid w:val="00912E4F"/>
    <w:rsid w:val="00921ECA"/>
    <w:rsid w:val="00927C48"/>
    <w:rsid w:val="0093156E"/>
    <w:rsid w:val="00943778"/>
    <w:rsid w:val="009626FB"/>
    <w:rsid w:val="00972D20"/>
    <w:rsid w:val="009C4788"/>
    <w:rsid w:val="009D1CD4"/>
    <w:rsid w:val="009F6903"/>
    <w:rsid w:val="00A06A64"/>
    <w:rsid w:val="00A20D05"/>
    <w:rsid w:val="00A266CD"/>
    <w:rsid w:val="00A303AC"/>
    <w:rsid w:val="00A54F3A"/>
    <w:rsid w:val="00A56E93"/>
    <w:rsid w:val="00A762F0"/>
    <w:rsid w:val="00A837C2"/>
    <w:rsid w:val="00A91997"/>
    <w:rsid w:val="00A92E71"/>
    <w:rsid w:val="00A94599"/>
    <w:rsid w:val="00AA77BF"/>
    <w:rsid w:val="00AC52E6"/>
    <w:rsid w:val="00AD3921"/>
    <w:rsid w:val="00AF2399"/>
    <w:rsid w:val="00AF5CAF"/>
    <w:rsid w:val="00B15F00"/>
    <w:rsid w:val="00B66C9C"/>
    <w:rsid w:val="00B70650"/>
    <w:rsid w:val="00B77CCD"/>
    <w:rsid w:val="00B80022"/>
    <w:rsid w:val="00B93E62"/>
    <w:rsid w:val="00BA199D"/>
    <w:rsid w:val="00BA6D9D"/>
    <w:rsid w:val="00BB14C9"/>
    <w:rsid w:val="00BB2F14"/>
    <w:rsid w:val="00BB50B0"/>
    <w:rsid w:val="00BD5019"/>
    <w:rsid w:val="00BE4494"/>
    <w:rsid w:val="00BF0425"/>
    <w:rsid w:val="00C11552"/>
    <w:rsid w:val="00C459F6"/>
    <w:rsid w:val="00C54596"/>
    <w:rsid w:val="00C55B4F"/>
    <w:rsid w:val="00C64536"/>
    <w:rsid w:val="00C66ED6"/>
    <w:rsid w:val="00C671E8"/>
    <w:rsid w:val="00C87D4D"/>
    <w:rsid w:val="00CA473C"/>
    <w:rsid w:val="00CD7F4F"/>
    <w:rsid w:val="00CF3397"/>
    <w:rsid w:val="00D04E10"/>
    <w:rsid w:val="00D22B25"/>
    <w:rsid w:val="00D64044"/>
    <w:rsid w:val="00D7029D"/>
    <w:rsid w:val="00D81836"/>
    <w:rsid w:val="00D8342F"/>
    <w:rsid w:val="00D84EDB"/>
    <w:rsid w:val="00D9123A"/>
    <w:rsid w:val="00DA0FE9"/>
    <w:rsid w:val="00DC0CD2"/>
    <w:rsid w:val="00DC425C"/>
    <w:rsid w:val="00DD03E6"/>
    <w:rsid w:val="00DD39F7"/>
    <w:rsid w:val="00E016CB"/>
    <w:rsid w:val="00E01E63"/>
    <w:rsid w:val="00E04E7C"/>
    <w:rsid w:val="00E12E13"/>
    <w:rsid w:val="00E12F33"/>
    <w:rsid w:val="00E31B76"/>
    <w:rsid w:val="00E36907"/>
    <w:rsid w:val="00E40B35"/>
    <w:rsid w:val="00E54307"/>
    <w:rsid w:val="00E55D26"/>
    <w:rsid w:val="00E6086F"/>
    <w:rsid w:val="00E93CBA"/>
    <w:rsid w:val="00E9655B"/>
    <w:rsid w:val="00EA5875"/>
    <w:rsid w:val="00EB241C"/>
    <w:rsid w:val="00EB2D14"/>
    <w:rsid w:val="00EB5224"/>
    <w:rsid w:val="00EE4D72"/>
    <w:rsid w:val="00F117E4"/>
    <w:rsid w:val="00F27595"/>
    <w:rsid w:val="00F31FE8"/>
    <w:rsid w:val="00F37C62"/>
    <w:rsid w:val="00F46CB0"/>
    <w:rsid w:val="00F53871"/>
    <w:rsid w:val="00F74C1F"/>
    <w:rsid w:val="00F82049"/>
    <w:rsid w:val="00F94A99"/>
    <w:rsid w:val="00FC4CE7"/>
    <w:rsid w:val="00FE4B8D"/>
    <w:rsid w:val="00FF6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DF980"/>
  <w15:chartTrackingRefBased/>
  <w15:docId w15:val="{9BD4D8B6-44FA-4C63-81DA-BFF6B2BF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3C4"/>
    <w:pPr>
      <w:widowControl w:val="0"/>
      <w:jc w:val="both"/>
    </w:pPr>
  </w:style>
  <w:style w:type="paragraph" w:styleId="1">
    <w:name w:val="heading 1"/>
    <w:basedOn w:val="a"/>
    <w:next w:val="a"/>
    <w:link w:val="10"/>
    <w:uiPriority w:val="9"/>
    <w:qFormat/>
    <w:rsid w:val="00C459F6"/>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1C710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425C"/>
    <w:pPr>
      <w:tabs>
        <w:tab w:val="center" w:pos="4153"/>
        <w:tab w:val="right" w:pos="8306"/>
      </w:tabs>
      <w:snapToGrid w:val="0"/>
      <w:jc w:val="center"/>
    </w:pPr>
    <w:rPr>
      <w:sz w:val="18"/>
      <w:szCs w:val="18"/>
    </w:rPr>
  </w:style>
  <w:style w:type="character" w:customStyle="1" w:styleId="a4">
    <w:name w:val="页眉 字符"/>
    <w:basedOn w:val="a0"/>
    <w:link w:val="a3"/>
    <w:uiPriority w:val="99"/>
    <w:rsid w:val="00DC425C"/>
    <w:rPr>
      <w:sz w:val="18"/>
      <w:szCs w:val="18"/>
    </w:rPr>
  </w:style>
  <w:style w:type="paragraph" w:styleId="a5">
    <w:name w:val="footer"/>
    <w:basedOn w:val="a"/>
    <w:link w:val="a6"/>
    <w:uiPriority w:val="99"/>
    <w:unhideWhenUsed/>
    <w:rsid w:val="00DC425C"/>
    <w:pPr>
      <w:tabs>
        <w:tab w:val="center" w:pos="4153"/>
        <w:tab w:val="right" w:pos="8306"/>
      </w:tabs>
      <w:snapToGrid w:val="0"/>
      <w:jc w:val="left"/>
    </w:pPr>
    <w:rPr>
      <w:sz w:val="18"/>
      <w:szCs w:val="18"/>
    </w:rPr>
  </w:style>
  <w:style w:type="character" w:customStyle="1" w:styleId="a6">
    <w:name w:val="页脚 字符"/>
    <w:basedOn w:val="a0"/>
    <w:link w:val="a5"/>
    <w:uiPriority w:val="99"/>
    <w:rsid w:val="00DC425C"/>
    <w:rPr>
      <w:sz w:val="18"/>
      <w:szCs w:val="18"/>
    </w:rPr>
  </w:style>
  <w:style w:type="paragraph" w:styleId="a7">
    <w:name w:val="caption"/>
    <w:basedOn w:val="a"/>
    <w:next w:val="a"/>
    <w:uiPriority w:val="35"/>
    <w:unhideWhenUsed/>
    <w:qFormat/>
    <w:rsid w:val="00DC425C"/>
    <w:rPr>
      <w:rFonts w:asciiTheme="majorHAnsi" w:eastAsia="黑体" w:hAnsiTheme="majorHAnsi" w:cstheme="majorBidi"/>
      <w:sz w:val="20"/>
      <w:szCs w:val="20"/>
    </w:rPr>
  </w:style>
  <w:style w:type="paragraph" w:styleId="a8">
    <w:name w:val="List Paragraph"/>
    <w:basedOn w:val="a"/>
    <w:uiPriority w:val="34"/>
    <w:qFormat/>
    <w:rsid w:val="00FE4B8D"/>
    <w:pPr>
      <w:ind w:firstLineChars="200" w:firstLine="420"/>
    </w:pPr>
  </w:style>
  <w:style w:type="character" w:styleId="a9">
    <w:name w:val="Hyperlink"/>
    <w:basedOn w:val="a0"/>
    <w:uiPriority w:val="99"/>
    <w:unhideWhenUsed/>
    <w:rsid w:val="00DA0FE9"/>
    <w:rPr>
      <w:color w:val="0563C1" w:themeColor="hyperlink"/>
      <w:u w:val="single"/>
    </w:rPr>
  </w:style>
  <w:style w:type="character" w:styleId="aa">
    <w:name w:val="FollowedHyperlink"/>
    <w:basedOn w:val="a0"/>
    <w:uiPriority w:val="99"/>
    <w:semiHidden/>
    <w:unhideWhenUsed/>
    <w:rsid w:val="00DA0FE9"/>
    <w:rPr>
      <w:color w:val="954F72" w:themeColor="followedHyperlink"/>
      <w:u w:val="single"/>
    </w:rPr>
  </w:style>
  <w:style w:type="character" w:styleId="ab">
    <w:name w:val="annotation reference"/>
    <w:basedOn w:val="a0"/>
    <w:uiPriority w:val="99"/>
    <w:semiHidden/>
    <w:unhideWhenUsed/>
    <w:rsid w:val="00F27595"/>
    <w:rPr>
      <w:sz w:val="16"/>
      <w:szCs w:val="16"/>
    </w:rPr>
  </w:style>
  <w:style w:type="paragraph" w:styleId="ac">
    <w:name w:val="annotation text"/>
    <w:basedOn w:val="a"/>
    <w:link w:val="ad"/>
    <w:uiPriority w:val="99"/>
    <w:unhideWhenUsed/>
    <w:rsid w:val="00F27595"/>
    <w:pPr>
      <w:widowControl/>
      <w:jc w:val="left"/>
    </w:pPr>
    <w:rPr>
      <w:rFonts w:ascii="Times New Roman" w:eastAsia="Times New Roman" w:hAnsi="Times New Roman" w:cs="Times New Roman"/>
      <w:kern w:val="0"/>
      <w:sz w:val="20"/>
      <w:szCs w:val="20"/>
    </w:rPr>
  </w:style>
  <w:style w:type="character" w:customStyle="1" w:styleId="ad">
    <w:name w:val="批注文字 字符"/>
    <w:basedOn w:val="a0"/>
    <w:link w:val="ac"/>
    <w:uiPriority w:val="99"/>
    <w:rsid w:val="00F27595"/>
    <w:rPr>
      <w:rFonts w:ascii="Times New Roman" w:eastAsia="Times New Roman" w:hAnsi="Times New Roman" w:cs="Times New Roman"/>
      <w:kern w:val="0"/>
      <w:sz w:val="20"/>
      <w:szCs w:val="20"/>
    </w:rPr>
  </w:style>
  <w:style w:type="paragraph" w:customStyle="1" w:styleId="paragraph">
    <w:name w:val="paragraph"/>
    <w:basedOn w:val="a"/>
    <w:link w:val="paragraph0"/>
    <w:semiHidden/>
    <w:qFormat/>
    <w:rsid w:val="00F27595"/>
    <w:pPr>
      <w:widowControl/>
      <w:spacing w:before="100" w:beforeAutospacing="1" w:after="100" w:afterAutospacing="1"/>
      <w:jc w:val="left"/>
    </w:pPr>
    <w:rPr>
      <w:rFonts w:ascii="等线" w:eastAsia="等线" w:hAnsi="等线" w:cs="Times New Roman"/>
      <w:kern w:val="0"/>
      <w:sz w:val="24"/>
      <w:szCs w:val="24"/>
      <w:lang w:val="en-SG"/>
    </w:rPr>
  </w:style>
  <w:style w:type="character" w:customStyle="1" w:styleId="paragraph0">
    <w:name w:val="paragraph 字符"/>
    <w:basedOn w:val="a0"/>
    <w:link w:val="paragraph"/>
    <w:semiHidden/>
    <w:qFormat/>
    <w:rsid w:val="00F27595"/>
    <w:rPr>
      <w:rFonts w:ascii="等线" w:eastAsia="等线" w:hAnsi="等线" w:cs="Times New Roman"/>
      <w:kern w:val="0"/>
      <w:sz w:val="24"/>
      <w:szCs w:val="24"/>
      <w:lang w:val="en-SG"/>
    </w:rPr>
  </w:style>
  <w:style w:type="table" w:styleId="ae">
    <w:name w:val="Table Grid"/>
    <w:basedOn w:val="a1"/>
    <w:uiPriority w:val="39"/>
    <w:qFormat/>
    <w:rsid w:val="00F27595"/>
    <w:rPr>
      <w:kern w:val="0"/>
      <w:sz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1C7101"/>
    <w:rPr>
      <w:b/>
      <w:bCs/>
      <w:sz w:val="32"/>
      <w:szCs w:val="32"/>
    </w:rPr>
  </w:style>
  <w:style w:type="character" w:styleId="af">
    <w:name w:val="Strong"/>
    <w:basedOn w:val="a0"/>
    <w:uiPriority w:val="22"/>
    <w:qFormat/>
    <w:rsid w:val="00B15F00"/>
    <w:rPr>
      <w:b/>
      <w:bCs/>
    </w:rPr>
  </w:style>
  <w:style w:type="character" w:styleId="af0">
    <w:name w:val="line number"/>
    <w:basedOn w:val="a0"/>
    <w:uiPriority w:val="99"/>
    <w:semiHidden/>
    <w:unhideWhenUsed/>
    <w:rsid w:val="00FC4CE7"/>
  </w:style>
  <w:style w:type="character" w:customStyle="1" w:styleId="10">
    <w:name w:val="标题 1 字符"/>
    <w:basedOn w:val="a0"/>
    <w:link w:val="1"/>
    <w:uiPriority w:val="9"/>
    <w:rsid w:val="00C459F6"/>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199">
      <w:bodyDiv w:val="1"/>
      <w:marLeft w:val="0"/>
      <w:marRight w:val="0"/>
      <w:marTop w:val="0"/>
      <w:marBottom w:val="0"/>
      <w:divBdr>
        <w:top w:val="none" w:sz="0" w:space="0" w:color="auto"/>
        <w:left w:val="none" w:sz="0" w:space="0" w:color="auto"/>
        <w:bottom w:val="none" w:sz="0" w:space="0" w:color="auto"/>
        <w:right w:val="none" w:sz="0" w:space="0" w:color="auto"/>
      </w:divBdr>
    </w:div>
    <w:div w:id="25104080">
      <w:bodyDiv w:val="1"/>
      <w:marLeft w:val="0"/>
      <w:marRight w:val="0"/>
      <w:marTop w:val="0"/>
      <w:marBottom w:val="0"/>
      <w:divBdr>
        <w:top w:val="none" w:sz="0" w:space="0" w:color="auto"/>
        <w:left w:val="none" w:sz="0" w:space="0" w:color="auto"/>
        <w:bottom w:val="none" w:sz="0" w:space="0" w:color="auto"/>
        <w:right w:val="none" w:sz="0" w:space="0" w:color="auto"/>
      </w:divBdr>
    </w:div>
    <w:div w:id="40636208">
      <w:bodyDiv w:val="1"/>
      <w:marLeft w:val="0"/>
      <w:marRight w:val="0"/>
      <w:marTop w:val="0"/>
      <w:marBottom w:val="0"/>
      <w:divBdr>
        <w:top w:val="none" w:sz="0" w:space="0" w:color="auto"/>
        <w:left w:val="none" w:sz="0" w:space="0" w:color="auto"/>
        <w:bottom w:val="none" w:sz="0" w:space="0" w:color="auto"/>
        <w:right w:val="none" w:sz="0" w:space="0" w:color="auto"/>
      </w:divBdr>
    </w:div>
    <w:div w:id="103773278">
      <w:bodyDiv w:val="1"/>
      <w:marLeft w:val="0"/>
      <w:marRight w:val="0"/>
      <w:marTop w:val="0"/>
      <w:marBottom w:val="0"/>
      <w:divBdr>
        <w:top w:val="none" w:sz="0" w:space="0" w:color="auto"/>
        <w:left w:val="none" w:sz="0" w:space="0" w:color="auto"/>
        <w:bottom w:val="none" w:sz="0" w:space="0" w:color="auto"/>
        <w:right w:val="none" w:sz="0" w:space="0" w:color="auto"/>
      </w:divBdr>
    </w:div>
    <w:div w:id="132990489">
      <w:bodyDiv w:val="1"/>
      <w:marLeft w:val="0"/>
      <w:marRight w:val="0"/>
      <w:marTop w:val="0"/>
      <w:marBottom w:val="0"/>
      <w:divBdr>
        <w:top w:val="none" w:sz="0" w:space="0" w:color="auto"/>
        <w:left w:val="none" w:sz="0" w:space="0" w:color="auto"/>
        <w:bottom w:val="none" w:sz="0" w:space="0" w:color="auto"/>
        <w:right w:val="none" w:sz="0" w:space="0" w:color="auto"/>
      </w:divBdr>
    </w:div>
    <w:div w:id="178281469">
      <w:bodyDiv w:val="1"/>
      <w:marLeft w:val="0"/>
      <w:marRight w:val="0"/>
      <w:marTop w:val="0"/>
      <w:marBottom w:val="0"/>
      <w:divBdr>
        <w:top w:val="none" w:sz="0" w:space="0" w:color="auto"/>
        <w:left w:val="none" w:sz="0" w:space="0" w:color="auto"/>
        <w:bottom w:val="none" w:sz="0" w:space="0" w:color="auto"/>
        <w:right w:val="none" w:sz="0" w:space="0" w:color="auto"/>
      </w:divBdr>
    </w:div>
    <w:div w:id="181016962">
      <w:bodyDiv w:val="1"/>
      <w:marLeft w:val="0"/>
      <w:marRight w:val="0"/>
      <w:marTop w:val="0"/>
      <w:marBottom w:val="0"/>
      <w:divBdr>
        <w:top w:val="none" w:sz="0" w:space="0" w:color="auto"/>
        <w:left w:val="none" w:sz="0" w:space="0" w:color="auto"/>
        <w:bottom w:val="none" w:sz="0" w:space="0" w:color="auto"/>
        <w:right w:val="none" w:sz="0" w:space="0" w:color="auto"/>
      </w:divBdr>
    </w:div>
    <w:div w:id="188298420">
      <w:bodyDiv w:val="1"/>
      <w:marLeft w:val="0"/>
      <w:marRight w:val="0"/>
      <w:marTop w:val="0"/>
      <w:marBottom w:val="0"/>
      <w:divBdr>
        <w:top w:val="none" w:sz="0" w:space="0" w:color="auto"/>
        <w:left w:val="none" w:sz="0" w:space="0" w:color="auto"/>
        <w:bottom w:val="none" w:sz="0" w:space="0" w:color="auto"/>
        <w:right w:val="none" w:sz="0" w:space="0" w:color="auto"/>
      </w:divBdr>
    </w:div>
    <w:div w:id="195973198">
      <w:bodyDiv w:val="1"/>
      <w:marLeft w:val="0"/>
      <w:marRight w:val="0"/>
      <w:marTop w:val="0"/>
      <w:marBottom w:val="0"/>
      <w:divBdr>
        <w:top w:val="none" w:sz="0" w:space="0" w:color="auto"/>
        <w:left w:val="none" w:sz="0" w:space="0" w:color="auto"/>
        <w:bottom w:val="none" w:sz="0" w:space="0" w:color="auto"/>
        <w:right w:val="none" w:sz="0" w:space="0" w:color="auto"/>
      </w:divBdr>
    </w:div>
    <w:div w:id="198322660">
      <w:bodyDiv w:val="1"/>
      <w:marLeft w:val="0"/>
      <w:marRight w:val="0"/>
      <w:marTop w:val="0"/>
      <w:marBottom w:val="0"/>
      <w:divBdr>
        <w:top w:val="none" w:sz="0" w:space="0" w:color="auto"/>
        <w:left w:val="none" w:sz="0" w:space="0" w:color="auto"/>
        <w:bottom w:val="none" w:sz="0" w:space="0" w:color="auto"/>
        <w:right w:val="none" w:sz="0" w:space="0" w:color="auto"/>
      </w:divBdr>
    </w:div>
    <w:div w:id="223830492">
      <w:bodyDiv w:val="1"/>
      <w:marLeft w:val="0"/>
      <w:marRight w:val="0"/>
      <w:marTop w:val="0"/>
      <w:marBottom w:val="0"/>
      <w:divBdr>
        <w:top w:val="none" w:sz="0" w:space="0" w:color="auto"/>
        <w:left w:val="none" w:sz="0" w:space="0" w:color="auto"/>
        <w:bottom w:val="none" w:sz="0" w:space="0" w:color="auto"/>
        <w:right w:val="none" w:sz="0" w:space="0" w:color="auto"/>
      </w:divBdr>
    </w:div>
    <w:div w:id="230891187">
      <w:bodyDiv w:val="1"/>
      <w:marLeft w:val="0"/>
      <w:marRight w:val="0"/>
      <w:marTop w:val="0"/>
      <w:marBottom w:val="0"/>
      <w:divBdr>
        <w:top w:val="none" w:sz="0" w:space="0" w:color="auto"/>
        <w:left w:val="none" w:sz="0" w:space="0" w:color="auto"/>
        <w:bottom w:val="none" w:sz="0" w:space="0" w:color="auto"/>
        <w:right w:val="none" w:sz="0" w:space="0" w:color="auto"/>
      </w:divBdr>
    </w:div>
    <w:div w:id="231935386">
      <w:bodyDiv w:val="1"/>
      <w:marLeft w:val="0"/>
      <w:marRight w:val="0"/>
      <w:marTop w:val="0"/>
      <w:marBottom w:val="0"/>
      <w:divBdr>
        <w:top w:val="none" w:sz="0" w:space="0" w:color="auto"/>
        <w:left w:val="none" w:sz="0" w:space="0" w:color="auto"/>
        <w:bottom w:val="none" w:sz="0" w:space="0" w:color="auto"/>
        <w:right w:val="none" w:sz="0" w:space="0" w:color="auto"/>
      </w:divBdr>
    </w:div>
    <w:div w:id="314337216">
      <w:bodyDiv w:val="1"/>
      <w:marLeft w:val="0"/>
      <w:marRight w:val="0"/>
      <w:marTop w:val="0"/>
      <w:marBottom w:val="0"/>
      <w:divBdr>
        <w:top w:val="none" w:sz="0" w:space="0" w:color="auto"/>
        <w:left w:val="none" w:sz="0" w:space="0" w:color="auto"/>
        <w:bottom w:val="none" w:sz="0" w:space="0" w:color="auto"/>
        <w:right w:val="none" w:sz="0" w:space="0" w:color="auto"/>
      </w:divBdr>
    </w:div>
    <w:div w:id="324867372">
      <w:bodyDiv w:val="1"/>
      <w:marLeft w:val="0"/>
      <w:marRight w:val="0"/>
      <w:marTop w:val="0"/>
      <w:marBottom w:val="0"/>
      <w:divBdr>
        <w:top w:val="none" w:sz="0" w:space="0" w:color="auto"/>
        <w:left w:val="none" w:sz="0" w:space="0" w:color="auto"/>
        <w:bottom w:val="none" w:sz="0" w:space="0" w:color="auto"/>
        <w:right w:val="none" w:sz="0" w:space="0" w:color="auto"/>
      </w:divBdr>
    </w:div>
    <w:div w:id="338194408">
      <w:bodyDiv w:val="1"/>
      <w:marLeft w:val="0"/>
      <w:marRight w:val="0"/>
      <w:marTop w:val="0"/>
      <w:marBottom w:val="0"/>
      <w:divBdr>
        <w:top w:val="none" w:sz="0" w:space="0" w:color="auto"/>
        <w:left w:val="none" w:sz="0" w:space="0" w:color="auto"/>
        <w:bottom w:val="none" w:sz="0" w:space="0" w:color="auto"/>
        <w:right w:val="none" w:sz="0" w:space="0" w:color="auto"/>
      </w:divBdr>
    </w:div>
    <w:div w:id="345056225">
      <w:bodyDiv w:val="1"/>
      <w:marLeft w:val="0"/>
      <w:marRight w:val="0"/>
      <w:marTop w:val="0"/>
      <w:marBottom w:val="0"/>
      <w:divBdr>
        <w:top w:val="none" w:sz="0" w:space="0" w:color="auto"/>
        <w:left w:val="none" w:sz="0" w:space="0" w:color="auto"/>
        <w:bottom w:val="none" w:sz="0" w:space="0" w:color="auto"/>
        <w:right w:val="none" w:sz="0" w:space="0" w:color="auto"/>
      </w:divBdr>
    </w:div>
    <w:div w:id="439491770">
      <w:bodyDiv w:val="1"/>
      <w:marLeft w:val="0"/>
      <w:marRight w:val="0"/>
      <w:marTop w:val="0"/>
      <w:marBottom w:val="0"/>
      <w:divBdr>
        <w:top w:val="none" w:sz="0" w:space="0" w:color="auto"/>
        <w:left w:val="none" w:sz="0" w:space="0" w:color="auto"/>
        <w:bottom w:val="none" w:sz="0" w:space="0" w:color="auto"/>
        <w:right w:val="none" w:sz="0" w:space="0" w:color="auto"/>
      </w:divBdr>
    </w:div>
    <w:div w:id="465590303">
      <w:bodyDiv w:val="1"/>
      <w:marLeft w:val="0"/>
      <w:marRight w:val="0"/>
      <w:marTop w:val="0"/>
      <w:marBottom w:val="0"/>
      <w:divBdr>
        <w:top w:val="none" w:sz="0" w:space="0" w:color="auto"/>
        <w:left w:val="none" w:sz="0" w:space="0" w:color="auto"/>
        <w:bottom w:val="none" w:sz="0" w:space="0" w:color="auto"/>
        <w:right w:val="none" w:sz="0" w:space="0" w:color="auto"/>
      </w:divBdr>
    </w:div>
    <w:div w:id="472455665">
      <w:bodyDiv w:val="1"/>
      <w:marLeft w:val="0"/>
      <w:marRight w:val="0"/>
      <w:marTop w:val="0"/>
      <w:marBottom w:val="0"/>
      <w:divBdr>
        <w:top w:val="none" w:sz="0" w:space="0" w:color="auto"/>
        <w:left w:val="none" w:sz="0" w:space="0" w:color="auto"/>
        <w:bottom w:val="none" w:sz="0" w:space="0" w:color="auto"/>
        <w:right w:val="none" w:sz="0" w:space="0" w:color="auto"/>
      </w:divBdr>
    </w:div>
    <w:div w:id="495927418">
      <w:bodyDiv w:val="1"/>
      <w:marLeft w:val="0"/>
      <w:marRight w:val="0"/>
      <w:marTop w:val="0"/>
      <w:marBottom w:val="0"/>
      <w:divBdr>
        <w:top w:val="none" w:sz="0" w:space="0" w:color="auto"/>
        <w:left w:val="none" w:sz="0" w:space="0" w:color="auto"/>
        <w:bottom w:val="none" w:sz="0" w:space="0" w:color="auto"/>
        <w:right w:val="none" w:sz="0" w:space="0" w:color="auto"/>
      </w:divBdr>
    </w:div>
    <w:div w:id="521935717">
      <w:bodyDiv w:val="1"/>
      <w:marLeft w:val="0"/>
      <w:marRight w:val="0"/>
      <w:marTop w:val="0"/>
      <w:marBottom w:val="0"/>
      <w:divBdr>
        <w:top w:val="none" w:sz="0" w:space="0" w:color="auto"/>
        <w:left w:val="none" w:sz="0" w:space="0" w:color="auto"/>
        <w:bottom w:val="none" w:sz="0" w:space="0" w:color="auto"/>
        <w:right w:val="none" w:sz="0" w:space="0" w:color="auto"/>
      </w:divBdr>
    </w:div>
    <w:div w:id="523522778">
      <w:bodyDiv w:val="1"/>
      <w:marLeft w:val="0"/>
      <w:marRight w:val="0"/>
      <w:marTop w:val="0"/>
      <w:marBottom w:val="0"/>
      <w:divBdr>
        <w:top w:val="none" w:sz="0" w:space="0" w:color="auto"/>
        <w:left w:val="none" w:sz="0" w:space="0" w:color="auto"/>
        <w:bottom w:val="none" w:sz="0" w:space="0" w:color="auto"/>
        <w:right w:val="none" w:sz="0" w:space="0" w:color="auto"/>
      </w:divBdr>
    </w:div>
    <w:div w:id="545726474">
      <w:bodyDiv w:val="1"/>
      <w:marLeft w:val="0"/>
      <w:marRight w:val="0"/>
      <w:marTop w:val="0"/>
      <w:marBottom w:val="0"/>
      <w:divBdr>
        <w:top w:val="none" w:sz="0" w:space="0" w:color="auto"/>
        <w:left w:val="none" w:sz="0" w:space="0" w:color="auto"/>
        <w:bottom w:val="none" w:sz="0" w:space="0" w:color="auto"/>
        <w:right w:val="none" w:sz="0" w:space="0" w:color="auto"/>
      </w:divBdr>
    </w:div>
    <w:div w:id="615211220">
      <w:bodyDiv w:val="1"/>
      <w:marLeft w:val="0"/>
      <w:marRight w:val="0"/>
      <w:marTop w:val="0"/>
      <w:marBottom w:val="0"/>
      <w:divBdr>
        <w:top w:val="none" w:sz="0" w:space="0" w:color="auto"/>
        <w:left w:val="none" w:sz="0" w:space="0" w:color="auto"/>
        <w:bottom w:val="none" w:sz="0" w:space="0" w:color="auto"/>
        <w:right w:val="none" w:sz="0" w:space="0" w:color="auto"/>
      </w:divBdr>
    </w:div>
    <w:div w:id="628168294">
      <w:bodyDiv w:val="1"/>
      <w:marLeft w:val="0"/>
      <w:marRight w:val="0"/>
      <w:marTop w:val="0"/>
      <w:marBottom w:val="0"/>
      <w:divBdr>
        <w:top w:val="none" w:sz="0" w:space="0" w:color="auto"/>
        <w:left w:val="none" w:sz="0" w:space="0" w:color="auto"/>
        <w:bottom w:val="none" w:sz="0" w:space="0" w:color="auto"/>
        <w:right w:val="none" w:sz="0" w:space="0" w:color="auto"/>
      </w:divBdr>
    </w:div>
    <w:div w:id="637536493">
      <w:bodyDiv w:val="1"/>
      <w:marLeft w:val="0"/>
      <w:marRight w:val="0"/>
      <w:marTop w:val="0"/>
      <w:marBottom w:val="0"/>
      <w:divBdr>
        <w:top w:val="none" w:sz="0" w:space="0" w:color="auto"/>
        <w:left w:val="none" w:sz="0" w:space="0" w:color="auto"/>
        <w:bottom w:val="none" w:sz="0" w:space="0" w:color="auto"/>
        <w:right w:val="none" w:sz="0" w:space="0" w:color="auto"/>
      </w:divBdr>
    </w:div>
    <w:div w:id="663825143">
      <w:bodyDiv w:val="1"/>
      <w:marLeft w:val="0"/>
      <w:marRight w:val="0"/>
      <w:marTop w:val="0"/>
      <w:marBottom w:val="0"/>
      <w:divBdr>
        <w:top w:val="none" w:sz="0" w:space="0" w:color="auto"/>
        <w:left w:val="none" w:sz="0" w:space="0" w:color="auto"/>
        <w:bottom w:val="none" w:sz="0" w:space="0" w:color="auto"/>
        <w:right w:val="none" w:sz="0" w:space="0" w:color="auto"/>
      </w:divBdr>
    </w:div>
    <w:div w:id="688029512">
      <w:bodyDiv w:val="1"/>
      <w:marLeft w:val="0"/>
      <w:marRight w:val="0"/>
      <w:marTop w:val="0"/>
      <w:marBottom w:val="0"/>
      <w:divBdr>
        <w:top w:val="none" w:sz="0" w:space="0" w:color="auto"/>
        <w:left w:val="none" w:sz="0" w:space="0" w:color="auto"/>
        <w:bottom w:val="none" w:sz="0" w:space="0" w:color="auto"/>
        <w:right w:val="none" w:sz="0" w:space="0" w:color="auto"/>
      </w:divBdr>
    </w:div>
    <w:div w:id="695155170">
      <w:bodyDiv w:val="1"/>
      <w:marLeft w:val="0"/>
      <w:marRight w:val="0"/>
      <w:marTop w:val="0"/>
      <w:marBottom w:val="0"/>
      <w:divBdr>
        <w:top w:val="none" w:sz="0" w:space="0" w:color="auto"/>
        <w:left w:val="none" w:sz="0" w:space="0" w:color="auto"/>
        <w:bottom w:val="none" w:sz="0" w:space="0" w:color="auto"/>
        <w:right w:val="none" w:sz="0" w:space="0" w:color="auto"/>
      </w:divBdr>
    </w:div>
    <w:div w:id="755630674">
      <w:bodyDiv w:val="1"/>
      <w:marLeft w:val="0"/>
      <w:marRight w:val="0"/>
      <w:marTop w:val="0"/>
      <w:marBottom w:val="0"/>
      <w:divBdr>
        <w:top w:val="none" w:sz="0" w:space="0" w:color="auto"/>
        <w:left w:val="none" w:sz="0" w:space="0" w:color="auto"/>
        <w:bottom w:val="none" w:sz="0" w:space="0" w:color="auto"/>
        <w:right w:val="none" w:sz="0" w:space="0" w:color="auto"/>
      </w:divBdr>
    </w:div>
    <w:div w:id="766273991">
      <w:bodyDiv w:val="1"/>
      <w:marLeft w:val="0"/>
      <w:marRight w:val="0"/>
      <w:marTop w:val="0"/>
      <w:marBottom w:val="0"/>
      <w:divBdr>
        <w:top w:val="none" w:sz="0" w:space="0" w:color="auto"/>
        <w:left w:val="none" w:sz="0" w:space="0" w:color="auto"/>
        <w:bottom w:val="none" w:sz="0" w:space="0" w:color="auto"/>
        <w:right w:val="none" w:sz="0" w:space="0" w:color="auto"/>
      </w:divBdr>
    </w:div>
    <w:div w:id="822890625">
      <w:bodyDiv w:val="1"/>
      <w:marLeft w:val="0"/>
      <w:marRight w:val="0"/>
      <w:marTop w:val="0"/>
      <w:marBottom w:val="0"/>
      <w:divBdr>
        <w:top w:val="none" w:sz="0" w:space="0" w:color="auto"/>
        <w:left w:val="none" w:sz="0" w:space="0" w:color="auto"/>
        <w:bottom w:val="none" w:sz="0" w:space="0" w:color="auto"/>
        <w:right w:val="none" w:sz="0" w:space="0" w:color="auto"/>
      </w:divBdr>
      <w:divsChild>
        <w:div w:id="733308733">
          <w:marLeft w:val="0"/>
          <w:marRight w:val="0"/>
          <w:marTop w:val="0"/>
          <w:marBottom w:val="0"/>
          <w:divBdr>
            <w:top w:val="none" w:sz="0" w:space="0" w:color="auto"/>
            <w:left w:val="none" w:sz="0" w:space="0" w:color="auto"/>
            <w:bottom w:val="none" w:sz="0" w:space="0" w:color="auto"/>
            <w:right w:val="none" w:sz="0" w:space="0" w:color="auto"/>
          </w:divBdr>
          <w:divsChild>
            <w:div w:id="3470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3203">
      <w:bodyDiv w:val="1"/>
      <w:marLeft w:val="0"/>
      <w:marRight w:val="0"/>
      <w:marTop w:val="0"/>
      <w:marBottom w:val="0"/>
      <w:divBdr>
        <w:top w:val="none" w:sz="0" w:space="0" w:color="auto"/>
        <w:left w:val="none" w:sz="0" w:space="0" w:color="auto"/>
        <w:bottom w:val="none" w:sz="0" w:space="0" w:color="auto"/>
        <w:right w:val="none" w:sz="0" w:space="0" w:color="auto"/>
      </w:divBdr>
    </w:div>
    <w:div w:id="925767436">
      <w:bodyDiv w:val="1"/>
      <w:marLeft w:val="0"/>
      <w:marRight w:val="0"/>
      <w:marTop w:val="0"/>
      <w:marBottom w:val="0"/>
      <w:divBdr>
        <w:top w:val="none" w:sz="0" w:space="0" w:color="auto"/>
        <w:left w:val="none" w:sz="0" w:space="0" w:color="auto"/>
        <w:bottom w:val="none" w:sz="0" w:space="0" w:color="auto"/>
        <w:right w:val="none" w:sz="0" w:space="0" w:color="auto"/>
      </w:divBdr>
    </w:div>
    <w:div w:id="1019039705">
      <w:bodyDiv w:val="1"/>
      <w:marLeft w:val="0"/>
      <w:marRight w:val="0"/>
      <w:marTop w:val="0"/>
      <w:marBottom w:val="0"/>
      <w:divBdr>
        <w:top w:val="none" w:sz="0" w:space="0" w:color="auto"/>
        <w:left w:val="none" w:sz="0" w:space="0" w:color="auto"/>
        <w:bottom w:val="none" w:sz="0" w:space="0" w:color="auto"/>
        <w:right w:val="none" w:sz="0" w:space="0" w:color="auto"/>
      </w:divBdr>
    </w:div>
    <w:div w:id="1045711604">
      <w:bodyDiv w:val="1"/>
      <w:marLeft w:val="0"/>
      <w:marRight w:val="0"/>
      <w:marTop w:val="0"/>
      <w:marBottom w:val="0"/>
      <w:divBdr>
        <w:top w:val="none" w:sz="0" w:space="0" w:color="auto"/>
        <w:left w:val="none" w:sz="0" w:space="0" w:color="auto"/>
        <w:bottom w:val="none" w:sz="0" w:space="0" w:color="auto"/>
        <w:right w:val="none" w:sz="0" w:space="0" w:color="auto"/>
      </w:divBdr>
    </w:div>
    <w:div w:id="1048646528">
      <w:bodyDiv w:val="1"/>
      <w:marLeft w:val="0"/>
      <w:marRight w:val="0"/>
      <w:marTop w:val="0"/>
      <w:marBottom w:val="0"/>
      <w:divBdr>
        <w:top w:val="none" w:sz="0" w:space="0" w:color="auto"/>
        <w:left w:val="none" w:sz="0" w:space="0" w:color="auto"/>
        <w:bottom w:val="none" w:sz="0" w:space="0" w:color="auto"/>
        <w:right w:val="none" w:sz="0" w:space="0" w:color="auto"/>
      </w:divBdr>
    </w:div>
    <w:div w:id="1078406078">
      <w:bodyDiv w:val="1"/>
      <w:marLeft w:val="0"/>
      <w:marRight w:val="0"/>
      <w:marTop w:val="0"/>
      <w:marBottom w:val="0"/>
      <w:divBdr>
        <w:top w:val="none" w:sz="0" w:space="0" w:color="auto"/>
        <w:left w:val="none" w:sz="0" w:space="0" w:color="auto"/>
        <w:bottom w:val="none" w:sz="0" w:space="0" w:color="auto"/>
        <w:right w:val="none" w:sz="0" w:space="0" w:color="auto"/>
      </w:divBdr>
    </w:div>
    <w:div w:id="1123571160">
      <w:bodyDiv w:val="1"/>
      <w:marLeft w:val="0"/>
      <w:marRight w:val="0"/>
      <w:marTop w:val="0"/>
      <w:marBottom w:val="0"/>
      <w:divBdr>
        <w:top w:val="none" w:sz="0" w:space="0" w:color="auto"/>
        <w:left w:val="none" w:sz="0" w:space="0" w:color="auto"/>
        <w:bottom w:val="none" w:sz="0" w:space="0" w:color="auto"/>
        <w:right w:val="none" w:sz="0" w:space="0" w:color="auto"/>
      </w:divBdr>
    </w:div>
    <w:div w:id="1133400601">
      <w:bodyDiv w:val="1"/>
      <w:marLeft w:val="0"/>
      <w:marRight w:val="0"/>
      <w:marTop w:val="0"/>
      <w:marBottom w:val="0"/>
      <w:divBdr>
        <w:top w:val="none" w:sz="0" w:space="0" w:color="auto"/>
        <w:left w:val="none" w:sz="0" w:space="0" w:color="auto"/>
        <w:bottom w:val="none" w:sz="0" w:space="0" w:color="auto"/>
        <w:right w:val="none" w:sz="0" w:space="0" w:color="auto"/>
      </w:divBdr>
    </w:div>
    <w:div w:id="1194852473">
      <w:bodyDiv w:val="1"/>
      <w:marLeft w:val="0"/>
      <w:marRight w:val="0"/>
      <w:marTop w:val="0"/>
      <w:marBottom w:val="0"/>
      <w:divBdr>
        <w:top w:val="none" w:sz="0" w:space="0" w:color="auto"/>
        <w:left w:val="none" w:sz="0" w:space="0" w:color="auto"/>
        <w:bottom w:val="none" w:sz="0" w:space="0" w:color="auto"/>
        <w:right w:val="none" w:sz="0" w:space="0" w:color="auto"/>
      </w:divBdr>
    </w:div>
    <w:div w:id="1205602638">
      <w:bodyDiv w:val="1"/>
      <w:marLeft w:val="0"/>
      <w:marRight w:val="0"/>
      <w:marTop w:val="0"/>
      <w:marBottom w:val="0"/>
      <w:divBdr>
        <w:top w:val="none" w:sz="0" w:space="0" w:color="auto"/>
        <w:left w:val="none" w:sz="0" w:space="0" w:color="auto"/>
        <w:bottom w:val="none" w:sz="0" w:space="0" w:color="auto"/>
        <w:right w:val="none" w:sz="0" w:space="0" w:color="auto"/>
      </w:divBdr>
    </w:div>
    <w:div w:id="1249734412">
      <w:bodyDiv w:val="1"/>
      <w:marLeft w:val="0"/>
      <w:marRight w:val="0"/>
      <w:marTop w:val="0"/>
      <w:marBottom w:val="0"/>
      <w:divBdr>
        <w:top w:val="none" w:sz="0" w:space="0" w:color="auto"/>
        <w:left w:val="none" w:sz="0" w:space="0" w:color="auto"/>
        <w:bottom w:val="none" w:sz="0" w:space="0" w:color="auto"/>
        <w:right w:val="none" w:sz="0" w:space="0" w:color="auto"/>
      </w:divBdr>
    </w:div>
    <w:div w:id="1267034872">
      <w:bodyDiv w:val="1"/>
      <w:marLeft w:val="0"/>
      <w:marRight w:val="0"/>
      <w:marTop w:val="0"/>
      <w:marBottom w:val="0"/>
      <w:divBdr>
        <w:top w:val="none" w:sz="0" w:space="0" w:color="auto"/>
        <w:left w:val="none" w:sz="0" w:space="0" w:color="auto"/>
        <w:bottom w:val="none" w:sz="0" w:space="0" w:color="auto"/>
        <w:right w:val="none" w:sz="0" w:space="0" w:color="auto"/>
      </w:divBdr>
    </w:div>
    <w:div w:id="1267736660">
      <w:bodyDiv w:val="1"/>
      <w:marLeft w:val="0"/>
      <w:marRight w:val="0"/>
      <w:marTop w:val="0"/>
      <w:marBottom w:val="0"/>
      <w:divBdr>
        <w:top w:val="none" w:sz="0" w:space="0" w:color="auto"/>
        <w:left w:val="none" w:sz="0" w:space="0" w:color="auto"/>
        <w:bottom w:val="none" w:sz="0" w:space="0" w:color="auto"/>
        <w:right w:val="none" w:sz="0" w:space="0" w:color="auto"/>
      </w:divBdr>
    </w:div>
    <w:div w:id="1313289805">
      <w:bodyDiv w:val="1"/>
      <w:marLeft w:val="0"/>
      <w:marRight w:val="0"/>
      <w:marTop w:val="0"/>
      <w:marBottom w:val="0"/>
      <w:divBdr>
        <w:top w:val="none" w:sz="0" w:space="0" w:color="auto"/>
        <w:left w:val="none" w:sz="0" w:space="0" w:color="auto"/>
        <w:bottom w:val="none" w:sz="0" w:space="0" w:color="auto"/>
        <w:right w:val="none" w:sz="0" w:space="0" w:color="auto"/>
      </w:divBdr>
    </w:div>
    <w:div w:id="1343312762">
      <w:bodyDiv w:val="1"/>
      <w:marLeft w:val="0"/>
      <w:marRight w:val="0"/>
      <w:marTop w:val="0"/>
      <w:marBottom w:val="0"/>
      <w:divBdr>
        <w:top w:val="none" w:sz="0" w:space="0" w:color="auto"/>
        <w:left w:val="none" w:sz="0" w:space="0" w:color="auto"/>
        <w:bottom w:val="none" w:sz="0" w:space="0" w:color="auto"/>
        <w:right w:val="none" w:sz="0" w:space="0" w:color="auto"/>
      </w:divBdr>
    </w:div>
    <w:div w:id="1343818920">
      <w:bodyDiv w:val="1"/>
      <w:marLeft w:val="0"/>
      <w:marRight w:val="0"/>
      <w:marTop w:val="0"/>
      <w:marBottom w:val="0"/>
      <w:divBdr>
        <w:top w:val="none" w:sz="0" w:space="0" w:color="auto"/>
        <w:left w:val="none" w:sz="0" w:space="0" w:color="auto"/>
        <w:bottom w:val="none" w:sz="0" w:space="0" w:color="auto"/>
        <w:right w:val="none" w:sz="0" w:space="0" w:color="auto"/>
      </w:divBdr>
    </w:div>
    <w:div w:id="1384065983">
      <w:bodyDiv w:val="1"/>
      <w:marLeft w:val="0"/>
      <w:marRight w:val="0"/>
      <w:marTop w:val="0"/>
      <w:marBottom w:val="0"/>
      <w:divBdr>
        <w:top w:val="none" w:sz="0" w:space="0" w:color="auto"/>
        <w:left w:val="none" w:sz="0" w:space="0" w:color="auto"/>
        <w:bottom w:val="none" w:sz="0" w:space="0" w:color="auto"/>
        <w:right w:val="none" w:sz="0" w:space="0" w:color="auto"/>
      </w:divBdr>
    </w:div>
    <w:div w:id="1405684517">
      <w:bodyDiv w:val="1"/>
      <w:marLeft w:val="0"/>
      <w:marRight w:val="0"/>
      <w:marTop w:val="0"/>
      <w:marBottom w:val="0"/>
      <w:divBdr>
        <w:top w:val="none" w:sz="0" w:space="0" w:color="auto"/>
        <w:left w:val="none" w:sz="0" w:space="0" w:color="auto"/>
        <w:bottom w:val="none" w:sz="0" w:space="0" w:color="auto"/>
        <w:right w:val="none" w:sz="0" w:space="0" w:color="auto"/>
      </w:divBdr>
    </w:div>
    <w:div w:id="1439377178">
      <w:bodyDiv w:val="1"/>
      <w:marLeft w:val="0"/>
      <w:marRight w:val="0"/>
      <w:marTop w:val="0"/>
      <w:marBottom w:val="0"/>
      <w:divBdr>
        <w:top w:val="none" w:sz="0" w:space="0" w:color="auto"/>
        <w:left w:val="none" w:sz="0" w:space="0" w:color="auto"/>
        <w:bottom w:val="none" w:sz="0" w:space="0" w:color="auto"/>
        <w:right w:val="none" w:sz="0" w:space="0" w:color="auto"/>
      </w:divBdr>
    </w:div>
    <w:div w:id="1440643954">
      <w:bodyDiv w:val="1"/>
      <w:marLeft w:val="0"/>
      <w:marRight w:val="0"/>
      <w:marTop w:val="0"/>
      <w:marBottom w:val="0"/>
      <w:divBdr>
        <w:top w:val="none" w:sz="0" w:space="0" w:color="auto"/>
        <w:left w:val="none" w:sz="0" w:space="0" w:color="auto"/>
        <w:bottom w:val="none" w:sz="0" w:space="0" w:color="auto"/>
        <w:right w:val="none" w:sz="0" w:space="0" w:color="auto"/>
      </w:divBdr>
    </w:div>
    <w:div w:id="1460877988">
      <w:bodyDiv w:val="1"/>
      <w:marLeft w:val="0"/>
      <w:marRight w:val="0"/>
      <w:marTop w:val="0"/>
      <w:marBottom w:val="0"/>
      <w:divBdr>
        <w:top w:val="none" w:sz="0" w:space="0" w:color="auto"/>
        <w:left w:val="none" w:sz="0" w:space="0" w:color="auto"/>
        <w:bottom w:val="none" w:sz="0" w:space="0" w:color="auto"/>
        <w:right w:val="none" w:sz="0" w:space="0" w:color="auto"/>
      </w:divBdr>
    </w:div>
    <w:div w:id="1477796161">
      <w:bodyDiv w:val="1"/>
      <w:marLeft w:val="0"/>
      <w:marRight w:val="0"/>
      <w:marTop w:val="0"/>
      <w:marBottom w:val="0"/>
      <w:divBdr>
        <w:top w:val="none" w:sz="0" w:space="0" w:color="auto"/>
        <w:left w:val="none" w:sz="0" w:space="0" w:color="auto"/>
        <w:bottom w:val="none" w:sz="0" w:space="0" w:color="auto"/>
        <w:right w:val="none" w:sz="0" w:space="0" w:color="auto"/>
      </w:divBdr>
    </w:div>
    <w:div w:id="1566258627">
      <w:bodyDiv w:val="1"/>
      <w:marLeft w:val="0"/>
      <w:marRight w:val="0"/>
      <w:marTop w:val="0"/>
      <w:marBottom w:val="0"/>
      <w:divBdr>
        <w:top w:val="none" w:sz="0" w:space="0" w:color="auto"/>
        <w:left w:val="none" w:sz="0" w:space="0" w:color="auto"/>
        <w:bottom w:val="none" w:sz="0" w:space="0" w:color="auto"/>
        <w:right w:val="none" w:sz="0" w:space="0" w:color="auto"/>
      </w:divBdr>
    </w:div>
    <w:div w:id="1578435848">
      <w:bodyDiv w:val="1"/>
      <w:marLeft w:val="0"/>
      <w:marRight w:val="0"/>
      <w:marTop w:val="0"/>
      <w:marBottom w:val="0"/>
      <w:divBdr>
        <w:top w:val="none" w:sz="0" w:space="0" w:color="auto"/>
        <w:left w:val="none" w:sz="0" w:space="0" w:color="auto"/>
        <w:bottom w:val="none" w:sz="0" w:space="0" w:color="auto"/>
        <w:right w:val="none" w:sz="0" w:space="0" w:color="auto"/>
      </w:divBdr>
    </w:div>
    <w:div w:id="1630430467">
      <w:bodyDiv w:val="1"/>
      <w:marLeft w:val="0"/>
      <w:marRight w:val="0"/>
      <w:marTop w:val="0"/>
      <w:marBottom w:val="0"/>
      <w:divBdr>
        <w:top w:val="none" w:sz="0" w:space="0" w:color="auto"/>
        <w:left w:val="none" w:sz="0" w:space="0" w:color="auto"/>
        <w:bottom w:val="none" w:sz="0" w:space="0" w:color="auto"/>
        <w:right w:val="none" w:sz="0" w:space="0" w:color="auto"/>
      </w:divBdr>
    </w:div>
    <w:div w:id="1644893467">
      <w:bodyDiv w:val="1"/>
      <w:marLeft w:val="0"/>
      <w:marRight w:val="0"/>
      <w:marTop w:val="0"/>
      <w:marBottom w:val="0"/>
      <w:divBdr>
        <w:top w:val="none" w:sz="0" w:space="0" w:color="auto"/>
        <w:left w:val="none" w:sz="0" w:space="0" w:color="auto"/>
        <w:bottom w:val="none" w:sz="0" w:space="0" w:color="auto"/>
        <w:right w:val="none" w:sz="0" w:space="0" w:color="auto"/>
      </w:divBdr>
    </w:div>
    <w:div w:id="1668248857">
      <w:bodyDiv w:val="1"/>
      <w:marLeft w:val="0"/>
      <w:marRight w:val="0"/>
      <w:marTop w:val="0"/>
      <w:marBottom w:val="0"/>
      <w:divBdr>
        <w:top w:val="none" w:sz="0" w:space="0" w:color="auto"/>
        <w:left w:val="none" w:sz="0" w:space="0" w:color="auto"/>
        <w:bottom w:val="none" w:sz="0" w:space="0" w:color="auto"/>
        <w:right w:val="none" w:sz="0" w:space="0" w:color="auto"/>
      </w:divBdr>
      <w:divsChild>
        <w:div w:id="1443039825">
          <w:marLeft w:val="0"/>
          <w:marRight w:val="0"/>
          <w:marTop w:val="0"/>
          <w:marBottom w:val="0"/>
          <w:divBdr>
            <w:top w:val="none" w:sz="0" w:space="0" w:color="auto"/>
            <w:left w:val="none" w:sz="0" w:space="0" w:color="auto"/>
            <w:bottom w:val="none" w:sz="0" w:space="0" w:color="auto"/>
            <w:right w:val="none" w:sz="0" w:space="0" w:color="auto"/>
          </w:divBdr>
          <w:divsChild>
            <w:div w:id="5654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1592">
      <w:bodyDiv w:val="1"/>
      <w:marLeft w:val="0"/>
      <w:marRight w:val="0"/>
      <w:marTop w:val="0"/>
      <w:marBottom w:val="0"/>
      <w:divBdr>
        <w:top w:val="none" w:sz="0" w:space="0" w:color="auto"/>
        <w:left w:val="none" w:sz="0" w:space="0" w:color="auto"/>
        <w:bottom w:val="none" w:sz="0" w:space="0" w:color="auto"/>
        <w:right w:val="none" w:sz="0" w:space="0" w:color="auto"/>
      </w:divBdr>
    </w:div>
    <w:div w:id="1774324292">
      <w:bodyDiv w:val="1"/>
      <w:marLeft w:val="0"/>
      <w:marRight w:val="0"/>
      <w:marTop w:val="0"/>
      <w:marBottom w:val="0"/>
      <w:divBdr>
        <w:top w:val="none" w:sz="0" w:space="0" w:color="auto"/>
        <w:left w:val="none" w:sz="0" w:space="0" w:color="auto"/>
        <w:bottom w:val="none" w:sz="0" w:space="0" w:color="auto"/>
        <w:right w:val="none" w:sz="0" w:space="0" w:color="auto"/>
      </w:divBdr>
    </w:div>
    <w:div w:id="1801265343">
      <w:bodyDiv w:val="1"/>
      <w:marLeft w:val="0"/>
      <w:marRight w:val="0"/>
      <w:marTop w:val="0"/>
      <w:marBottom w:val="0"/>
      <w:divBdr>
        <w:top w:val="none" w:sz="0" w:space="0" w:color="auto"/>
        <w:left w:val="none" w:sz="0" w:space="0" w:color="auto"/>
        <w:bottom w:val="none" w:sz="0" w:space="0" w:color="auto"/>
        <w:right w:val="none" w:sz="0" w:space="0" w:color="auto"/>
      </w:divBdr>
    </w:div>
    <w:div w:id="1848250679">
      <w:bodyDiv w:val="1"/>
      <w:marLeft w:val="0"/>
      <w:marRight w:val="0"/>
      <w:marTop w:val="0"/>
      <w:marBottom w:val="0"/>
      <w:divBdr>
        <w:top w:val="none" w:sz="0" w:space="0" w:color="auto"/>
        <w:left w:val="none" w:sz="0" w:space="0" w:color="auto"/>
        <w:bottom w:val="none" w:sz="0" w:space="0" w:color="auto"/>
        <w:right w:val="none" w:sz="0" w:space="0" w:color="auto"/>
      </w:divBdr>
    </w:div>
    <w:div w:id="1885558113">
      <w:bodyDiv w:val="1"/>
      <w:marLeft w:val="0"/>
      <w:marRight w:val="0"/>
      <w:marTop w:val="0"/>
      <w:marBottom w:val="0"/>
      <w:divBdr>
        <w:top w:val="none" w:sz="0" w:space="0" w:color="auto"/>
        <w:left w:val="none" w:sz="0" w:space="0" w:color="auto"/>
        <w:bottom w:val="none" w:sz="0" w:space="0" w:color="auto"/>
        <w:right w:val="none" w:sz="0" w:space="0" w:color="auto"/>
      </w:divBdr>
    </w:div>
    <w:div w:id="1898318811">
      <w:bodyDiv w:val="1"/>
      <w:marLeft w:val="0"/>
      <w:marRight w:val="0"/>
      <w:marTop w:val="0"/>
      <w:marBottom w:val="0"/>
      <w:divBdr>
        <w:top w:val="none" w:sz="0" w:space="0" w:color="auto"/>
        <w:left w:val="none" w:sz="0" w:space="0" w:color="auto"/>
        <w:bottom w:val="none" w:sz="0" w:space="0" w:color="auto"/>
        <w:right w:val="none" w:sz="0" w:space="0" w:color="auto"/>
      </w:divBdr>
    </w:div>
    <w:div w:id="1923491462">
      <w:bodyDiv w:val="1"/>
      <w:marLeft w:val="0"/>
      <w:marRight w:val="0"/>
      <w:marTop w:val="0"/>
      <w:marBottom w:val="0"/>
      <w:divBdr>
        <w:top w:val="none" w:sz="0" w:space="0" w:color="auto"/>
        <w:left w:val="none" w:sz="0" w:space="0" w:color="auto"/>
        <w:bottom w:val="none" w:sz="0" w:space="0" w:color="auto"/>
        <w:right w:val="none" w:sz="0" w:space="0" w:color="auto"/>
      </w:divBdr>
    </w:div>
    <w:div w:id="1947615624">
      <w:bodyDiv w:val="1"/>
      <w:marLeft w:val="0"/>
      <w:marRight w:val="0"/>
      <w:marTop w:val="0"/>
      <w:marBottom w:val="0"/>
      <w:divBdr>
        <w:top w:val="none" w:sz="0" w:space="0" w:color="auto"/>
        <w:left w:val="none" w:sz="0" w:space="0" w:color="auto"/>
        <w:bottom w:val="none" w:sz="0" w:space="0" w:color="auto"/>
        <w:right w:val="none" w:sz="0" w:space="0" w:color="auto"/>
      </w:divBdr>
    </w:div>
    <w:div w:id="1982881251">
      <w:bodyDiv w:val="1"/>
      <w:marLeft w:val="0"/>
      <w:marRight w:val="0"/>
      <w:marTop w:val="0"/>
      <w:marBottom w:val="0"/>
      <w:divBdr>
        <w:top w:val="none" w:sz="0" w:space="0" w:color="auto"/>
        <w:left w:val="none" w:sz="0" w:space="0" w:color="auto"/>
        <w:bottom w:val="none" w:sz="0" w:space="0" w:color="auto"/>
        <w:right w:val="none" w:sz="0" w:space="0" w:color="auto"/>
      </w:divBdr>
    </w:div>
    <w:div w:id="1986228974">
      <w:bodyDiv w:val="1"/>
      <w:marLeft w:val="0"/>
      <w:marRight w:val="0"/>
      <w:marTop w:val="0"/>
      <w:marBottom w:val="0"/>
      <w:divBdr>
        <w:top w:val="none" w:sz="0" w:space="0" w:color="auto"/>
        <w:left w:val="none" w:sz="0" w:space="0" w:color="auto"/>
        <w:bottom w:val="none" w:sz="0" w:space="0" w:color="auto"/>
        <w:right w:val="none" w:sz="0" w:space="0" w:color="auto"/>
      </w:divBdr>
    </w:div>
    <w:div w:id="2055959140">
      <w:bodyDiv w:val="1"/>
      <w:marLeft w:val="0"/>
      <w:marRight w:val="0"/>
      <w:marTop w:val="0"/>
      <w:marBottom w:val="0"/>
      <w:divBdr>
        <w:top w:val="none" w:sz="0" w:space="0" w:color="auto"/>
        <w:left w:val="none" w:sz="0" w:space="0" w:color="auto"/>
        <w:bottom w:val="none" w:sz="0" w:space="0" w:color="auto"/>
        <w:right w:val="none" w:sz="0" w:space="0" w:color="auto"/>
      </w:divBdr>
    </w:div>
    <w:div w:id="20599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A2868-5A5F-47B5-BCFB-861F6D5C8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3817</TotalTime>
  <Pages>7</Pages>
  <Words>2195</Words>
  <Characters>12516</Characters>
  <Application>Microsoft Office Word</Application>
  <DocSecurity>0</DocSecurity>
  <Lines>104</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dc:creator>
  <cp:keywords/>
  <dc:description/>
  <cp:lastModifiedBy>yang Yang</cp:lastModifiedBy>
  <cp:revision>16</cp:revision>
  <dcterms:created xsi:type="dcterms:W3CDTF">2024-01-03T02:36:00Z</dcterms:created>
  <dcterms:modified xsi:type="dcterms:W3CDTF">2026-06-05T15:43:00Z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id="KfudAojX"/&gt;&lt;style id="http://www.zotero.org/styles/elsevier-harvard" hasBibliography="1" bibliographyStyleHasBeenSet="0"/&gt;&lt;prefs&gt;&lt;pref name="fieldType" value="Field"/&gt;&lt;/prefs&gt;&lt;/data&gt;</vt:lpwstr>
  </property>
</Properties>
</file>