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智能硬件产品线 2026 年 Q1 项目进展报告</w:t>
      </w:r>
    </w:p>
    <w:p>
      <w:r>
        <w:t>报告编号：RPT-PM-2026-Q1-07    编制部门：项目管理部    密级：内部</w:t>
      </w:r>
    </w:p>
    <w:p>
      <w:pPr>
        <w:pStyle w:val="Heading2"/>
      </w:pPr>
      <w:r>
        <w:t>一、项目总体进展</w:t>
      </w:r>
    </w:p>
    <w:p>
      <w:r>
        <w:t>本季度共推进 6 个重点项目，其中 4 个按计划推进，1 个存在延期风险（X5 Pro 海量生产准备），1 个已完成结项（一代产品退市切换）。整体进度达成率 87%。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计划完成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实际进度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责任人</w:t>
            </w:r>
          </w:p>
        </w:tc>
      </w:tr>
      <w:tr>
        <w:tc>
          <w:tcPr>
            <w:tcW w:type="dxa" w:w="1728"/>
          </w:tcPr>
          <w:p>
            <w:r>
              <w:t>X5 Pro 量产导入</w:t>
            </w:r>
          </w:p>
        </w:tc>
        <w:tc>
          <w:tcPr>
            <w:tcW w:type="dxa" w:w="1728"/>
          </w:tcPr>
          <w:p>
            <w:r>
              <w:t>2026-05-30</w:t>
            </w:r>
          </w:p>
        </w:tc>
        <w:tc>
          <w:tcPr>
            <w:tcW w:type="dxa" w:w="1728"/>
          </w:tcPr>
          <w:p>
            <w:r>
              <w:t>72%</w:t>
            </w:r>
          </w:p>
        </w:tc>
        <w:tc>
          <w:tcPr>
            <w:tcW w:type="dxa" w:w="1728"/>
          </w:tcPr>
          <w:p>
            <w:r>
              <w:t>风险</w:t>
            </w:r>
          </w:p>
        </w:tc>
        <w:tc>
          <w:tcPr>
            <w:tcW w:type="dxa" w:w="1728"/>
          </w:tcPr>
          <w:p>
            <w:r>
              <w:t>王强</w:t>
            </w:r>
          </w:p>
        </w:tc>
      </w:tr>
      <w:tr>
        <w:tc>
          <w:tcPr>
            <w:tcW w:type="dxa" w:w="1728"/>
          </w:tcPr>
          <w:p>
            <w:r>
              <w:t>激光雷达模组二代</w:t>
            </w:r>
          </w:p>
        </w:tc>
        <w:tc>
          <w:tcPr>
            <w:tcW w:type="dxa" w:w="1728"/>
          </w:tcPr>
          <w:p>
            <w:r>
              <w:t>2026-08-15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赵磊</w:t>
            </w:r>
          </w:p>
        </w:tc>
      </w:tr>
      <w:tr>
        <w:tc>
          <w:tcPr>
            <w:tcW w:type="dxa" w:w="1728"/>
          </w:tcPr>
          <w:p>
            <w:r>
              <w:t>海外认证（CE/FCC）</w:t>
            </w:r>
          </w:p>
        </w:tc>
        <w:tc>
          <w:tcPr>
            <w:tcW w:type="dxa" w:w="1728"/>
          </w:tcPr>
          <w:p>
            <w:r>
              <w:t>2026-06-20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刘洋</w:t>
            </w:r>
          </w:p>
        </w:tc>
      </w:tr>
      <w:tr>
        <w:tc>
          <w:tcPr>
            <w:tcW w:type="dxa" w:w="1728"/>
          </w:tcPr>
          <w:p>
            <w:r>
              <w:t>基站热风烘干优化</w:t>
            </w:r>
          </w:p>
        </w:tc>
        <w:tc>
          <w:tcPr>
            <w:tcW w:type="dxa" w:w="1728"/>
          </w:tcPr>
          <w:p>
            <w:r>
              <w:t>2026-04-30</w:t>
            </w:r>
          </w:p>
        </w:tc>
        <w:tc>
          <w:tcPr>
            <w:tcW w:type="dxa" w:w="1728"/>
          </w:tcPr>
          <w:p>
            <w:r>
              <w:t>90%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张明</w:t>
            </w:r>
          </w:p>
        </w:tc>
      </w:tr>
      <w:tr>
        <w:tc>
          <w:tcPr>
            <w:tcW w:type="dxa" w:w="1728"/>
          </w:tcPr>
          <w:p>
            <w:r>
              <w:t>包装降本专项</w:t>
            </w:r>
          </w:p>
        </w:tc>
        <w:tc>
          <w:tcPr>
            <w:tcW w:type="dxa" w:w="1728"/>
          </w:tcPr>
          <w:p>
            <w:r>
              <w:t>2026-03-31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已结项</w:t>
            </w:r>
          </w:p>
        </w:tc>
        <w:tc>
          <w:tcPr>
            <w:tcW w:type="dxa" w:w="1728"/>
          </w:tcPr>
          <w:p>
            <w:r>
              <w:t>李敏</w:t>
            </w:r>
          </w:p>
        </w:tc>
      </w:tr>
    </w:tbl>
    <w:p>
      <w:pPr>
        <w:pStyle w:val="Heading2"/>
      </w:pPr>
      <w:r>
        <w:t>二、重点风险与应对</w:t>
      </w:r>
    </w:p>
    <w:p>
      <w:pPr>
        <w:pStyle w:val="ListBullet"/>
      </w:pPr>
      <w:r>
        <w:t>X5 Pro 量产导入：伺服电机模组来料不良率 2.1%，已推动供应商增加全检工序；</w:t>
      </w:r>
    </w:p>
    <w:p>
      <w:pPr>
        <w:pStyle w:val="ListBullet"/>
      </w:pPr>
      <w:r>
        <w:t>海外认证：FCC 电磁兼容测试首次未通过，整改后预计 5 月上旬复测；</w:t>
      </w:r>
    </w:p>
    <w:p>
      <w:pPr>
        <w:pStyle w:val="ListBullet"/>
      </w:pPr>
      <w:r>
        <w:t>芯片供应：主控芯片交期由 21 天延长至 35 天，安全库存已提升至 400 片。</w:t>
      </w:r>
    </w:p>
    <w:p>
      <w:pPr>
        <w:pStyle w:val="Heading2"/>
      </w:pPr>
      <w:r>
        <w:t>三、下季度工作计划</w:t>
      </w:r>
    </w:p>
    <w:p>
      <w:r>
        <w:t>1. 完成 X5 Pro 试产 500 台并启动小批量发货；2. 完成激光雷达模组二代 EVT 验证；3. 取得 CE 证书并启动欧洲渠道铺货。</w:t>
      </w:r>
    </w:p>
    <w:p>
      <w:r>
        <w:t>编制人：李敏        审核人：陈立        日期：2026-04-10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