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设备采购合同</w:t>
      </w:r>
    </w:p>
    <w:p>
      <w:r>
        <w:t>合同编号：NW-PUR-2026-0417            签订地点：上海市浦东新区</w:t>
      </w:r>
    </w:p>
    <w:p>
      <w:pPr>
        <w:pStyle w:val="Heading2"/>
      </w:pPr>
      <w:r>
        <w:t>甲方（需方）</w:t>
      </w:r>
    </w:p>
    <w:p>
      <w:r>
        <w:t>名称：北风机器人股份有限公司</w:t>
        <w:br/>
        <w:t>统一社会信用代码：91310000MA1FL8K73R</w:t>
        <w:br/>
        <w:t>地址：上海市浦东新区张江路 88 号</w:t>
        <w:br/>
        <w:t>法定代表人：陈立</w:t>
        <w:br/>
        <w:t>联系电话：021-5896 8877</w:t>
      </w:r>
    </w:p>
    <w:p>
      <w:pPr>
        <w:pStyle w:val="Heading2"/>
      </w:pPr>
      <w:r>
        <w:t>乙方（供方）</w:t>
      </w:r>
    </w:p>
    <w:p>
      <w:r>
        <w:t>名称：苏州精铸机械制造有限公司</w:t>
        <w:br/>
        <w:t>统一社会信用代码：91320500MA1WX2P45Q</w:t>
        <w:br/>
        <w:t>地址：江苏省苏州市工业园区星湖街 218 号</w:t>
        <w:br/>
        <w:t>法定代表人：黄振宇</w:t>
        <w:br/>
        <w:t>联系电话：0512-6688 9900</w:t>
      </w:r>
    </w:p>
    <w:p>
      <w:pPr>
        <w:pStyle w:val="Heading2"/>
      </w:pPr>
      <w:r>
        <w:t>第一条  合同标的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货物名称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规格型号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单价（元）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伺服电机模组</w:t>
            </w:r>
          </w:p>
        </w:tc>
        <w:tc>
          <w:tcPr>
            <w:tcW w:type="dxa" w:w="1234"/>
          </w:tcPr>
          <w:p>
            <w:r>
              <w:t>SM-3800</w:t>
            </w:r>
          </w:p>
        </w:tc>
        <w:tc>
          <w:tcPr>
            <w:tcW w:type="dxa" w:w="1234"/>
          </w:tcPr>
          <w:p>
            <w:r>
              <w:t>台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1,850.00</w:t>
            </w:r>
          </w:p>
        </w:tc>
        <w:tc>
          <w:tcPr>
            <w:tcW w:type="dxa" w:w="1234"/>
          </w:tcPr>
          <w:p>
            <w:r>
              <w:t>370,000.00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谐波减速器</w:t>
            </w:r>
          </w:p>
        </w:tc>
        <w:tc>
          <w:tcPr>
            <w:tcW w:type="dxa" w:w="1234"/>
          </w:tcPr>
          <w:p>
            <w:r>
              <w:t>HD-120</w:t>
            </w:r>
          </w:p>
        </w:tc>
        <w:tc>
          <w:tcPr>
            <w:tcW w:type="dxa" w:w="1234"/>
          </w:tcPr>
          <w:p>
            <w:r>
              <w:t>套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980.00</w:t>
            </w:r>
          </w:p>
        </w:tc>
        <w:tc>
          <w:tcPr>
            <w:tcW w:type="dxa" w:w="1234"/>
          </w:tcPr>
          <w:p>
            <w:r>
              <w:t>196,000.00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控制器主板</w:t>
            </w:r>
          </w:p>
        </w:tc>
        <w:tc>
          <w:tcPr>
            <w:tcW w:type="dxa" w:w="1234"/>
          </w:tcPr>
          <w:p>
            <w:r>
              <w:t>CB-X5</w:t>
            </w:r>
          </w:p>
        </w:tc>
        <w:tc>
          <w:tcPr>
            <w:tcW w:type="dxa" w:w="1234"/>
          </w:tcPr>
          <w:p>
            <w:r>
              <w:t>片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460.00</w:t>
            </w:r>
          </w:p>
        </w:tc>
        <w:tc>
          <w:tcPr>
            <w:tcW w:type="dxa" w:w="1234"/>
          </w:tcPr>
          <w:p>
            <w:r>
              <w:t>138,000.00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激光雷达模组</w:t>
            </w:r>
          </w:p>
        </w:tc>
        <w:tc>
          <w:tcPr>
            <w:tcW w:type="dxa" w:w="1234"/>
          </w:tcPr>
          <w:p>
            <w:r>
              <w:t>LD-Mini</w:t>
            </w:r>
          </w:p>
        </w:tc>
        <w:tc>
          <w:tcPr>
            <w:tcW w:type="dxa" w:w="1234"/>
          </w:tcPr>
          <w:p>
            <w:r>
              <w:t>只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320.00</w:t>
            </w:r>
          </w:p>
        </w:tc>
        <w:tc>
          <w:tcPr>
            <w:tcW w:type="dxa" w:w="1234"/>
          </w:tcPr>
          <w:p>
            <w:r>
              <w:t>160,000.00</w:t>
            </w:r>
          </w:p>
        </w:tc>
      </w:tr>
      <w:tr>
        <w:tc>
          <w:tcPr>
            <w:tcW w:type="dxa" w:w="1234"/>
          </w:tcPr>
          <w:p>
            <w:r>
              <w:t>合计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864,000.00</w:t>
            </w:r>
          </w:p>
        </w:tc>
      </w:tr>
    </w:tbl>
    <w:p>
      <w:pPr>
        <w:pStyle w:val="Heading2"/>
      </w:pPr>
      <w:r>
        <w:t>第二条  合同金额与税费</w:t>
      </w:r>
    </w:p>
    <w:p>
      <w:r>
        <w:t>本合同总金额为人民币捌拾陆万肆仟元整（￥864,000.00），含 13% 增值税专用发票税额。上述金额已包含包装、运输、装卸及安装调试费用。</w:t>
      </w:r>
    </w:p>
    <w:p>
      <w:pPr>
        <w:pStyle w:val="Heading2"/>
      </w:pPr>
      <w:r>
        <w:t>第三条  付款方式</w:t>
      </w:r>
    </w:p>
    <w:p>
      <w:r>
        <w:t>1. 合同签订后 5 个工作日内，甲方向乙方支付合同总金额的 30% 作为预付款，计人民币 259,200.00 元；</w:t>
        <w:br/>
        <w:t>2. 全部货物到货并验收合格后 30 日内，甲方支付合同总金额的 60%，计人民币 518,400.00 元；</w:t>
        <w:br/>
        <w:t>3. 剩余 10% 作为质量保证金，计人民币 86,400.00 元，于质保期满且无质量问题后 15 日内一次性无息支付。</w:t>
      </w:r>
    </w:p>
    <w:p>
      <w:pPr>
        <w:pStyle w:val="Heading2"/>
      </w:pPr>
      <w:r>
        <w:t>第四条  交付期限与地点</w:t>
      </w:r>
    </w:p>
    <w:p>
      <w:r>
        <w:t>乙方应于 2026 年 6 月 30 日前将全部货物交付至甲方指定地点：上海市浦东新区张江路 88 号北风机器人股份有限公司一号仓库。运输费用及运输途中的货损风险由乙方承担。</w:t>
      </w:r>
    </w:p>
    <w:p>
      <w:pPr>
        <w:pStyle w:val="Heading2"/>
      </w:pPr>
      <w:r>
        <w:t>第五条  质量标准与质保期</w:t>
      </w:r>
    </w:p>
    <w:p>
      <w:r>
        <w:t>货物质量应符合国家标准 GB/T 19001-2016 及本合同附件《技术规格书》的要求。质保期为自甲方验收合格之日起 24 个月，质保期内因产品质量问题导致的维修、更换费用由乙方承担。</w:t>
      </w:r>
    </w:p>
    <w:p>
      <w:pPr>
        <w:pStyle w:val="Heading2"/>
      </w:pPr>
      <w:r>
        <w:t>第六条  验收标准</w:t>
      </w:r>
    </w:p>
    <w:p>
      <w:r>
        <w:t>甲方应在货物到达后 10 个工作日内完成验收。验收依据为：数量清点无误、外观无破损、随机技术文件齐全、抽检性能指标符合附件约定。验收不合格的，乙方应在 15 日内更换或补足。</w:t>
      </w:r>
    </w:p>
    <w:p>
      <w:pPr>
        <w:pStyle w:val="Heading2"/>
      </w:pPr>
      <w:r>
        <w:t>第七条  违约责任</w:t>
      </w:r>
    </w:p>
    <w:p>
      <w:r>
        <w:t>乙方逾期交付的，每逾期一日应按合同总金额的 0.05% 向甲方支付违约金，违约金总额不超过合同总金额的 5%；逾期超过 30 日的，甲方有权单方解除合同并要求乙方赔偿实际损失。甲方逾期付款的，按同等标准向乙方支付违约金。</w:t>
      </w:r>
    </w:p>
    <w:p>
      <w:pPr>
        <w:pStyle w:val="Heading2"/>
      </w:pPr>
      <w:r>
        <w:t>第八条  争议解决</w:t>
      </w:r>
    </w:p>
    <w:p>
      <w:r>
        <w:t>本合同履行过程中发生争议的，双方应友好协商解决；协商不成的，任何一方均可向上海国际经济贸易仲裁委员会（上海国际仲裁中心）申请仲裁，仲裁裁决为终局裁决。</w:t>
      </w:r>
    </w:p>
    <w:p>
      <w:pPr>
        <w:pStyle w:val="Heading2"/>
      </w:pPr>
      <w:r>
        <w:t>第九条  其他约定</w:t>
      </w:r>
    </w:p>
    <w:p>
      <w:r>
        <w:t>本合同自双方授权代表签字并加盖公章之日起生效，有效期至 2028 年 6 月 30 日。本合同一式肆份，甲乙双方各执贰份，具有同等法律效力。</w:t>
      </w:r>
    </w:p>
    <w:p>
      <w:r>
        <w:t>甲方（盖章）：北风机器人股份有限公司        乙方（盖章）：苏州精铸机械制造有限公司</w:t>
      </w:r>
    </w:p>
    <w:p>
      <w:r>
        <w:t>授权代表：陈立                            授权代表：黄振宇</w:t>
      </w:r>
    </w:p>
    <w:p>
      <w:r>
        <w:t>签订日期：2026 年 4 月 17 日              签订日期：2026 年 4 月 17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