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“数数权限申请”流程优化-需求文档-优化版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 优化目标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主要目标是增强数据安全性和提高审批流程的效率，确保敏感数据仅对授权人员开放，并让对应项目负责人清楚地知道谁获得了该项目权限。特别关注项目组和市场中部分敏感数据的保密性。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2. 现有流程分析</w:t>
      </w:r>
      <w:bookmarkEnd w:id="1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当前流程中，员工仅需得到部门负责人的审批即可获得权限。此流程简化了审批程序，但在数据安全性方面存在不足。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3. 优化方案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申请流程调整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申请数数权限时，员工需要明确选择项目和</w:t>
      </w:r>
      <w:r>
        <w:rPr>
          <w:rFonts w:eastAsia="等线" w:ascii="Arial" w:cs="Arial" w:hAnsi="Arial"/>
          <w:sz w:val="22"/>
        </w:rPr>
        <w:t>看板</w:t>
      </w:r>
      <w:r>
        <w:rPr>
          <w:rFonts w:eastAsia="等线" w:ascii="Arial" w:cs="Arial" w:hAnsi="Arial"/>
          <w:sz w:val="22"/>
        </w:rPr>
        <w:t>类型（公共、项目组私有、市场私有等）。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审批流程更新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在直属领导审批的基础上，新增额外审批步骤。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对于公共和项目组私有</w:t>
      </w:r>
      <w:r>
        <w:rPr>
          <w:rFonts w:eastAsia="等线" w:ascii="Arial" w:cs="Arial" w:hAnsi="Arial"/>
          <w:sz w:val="22"/>
        </w:rPr>
        <w:t>看板</w:t>
      </w:r>
      <w:r>
        <w:rPr>
          <w:rFonts w:eastAsia="等线" w:ascii="Arial" w:cs="Arial" w:hAnsi="Arial"/>
          <w:sz w:val="22"/>
        </w:rPr>
        <w:t>，需要项目制作人的审批。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对于市场私有</w:t>
      </w:r>
      <w:r>
        <w:rPr>
          <w:rFonts w:eastAsia="等线" w:ascii="Arial" w:cs="Arial" w:hAnsi="Arial"/>
          <w:sz w:val="22"/>
        </w:rPr>
        <w:t>看板</w:t>
      </w:r>
      <w:r>
        <w:rPr>
          <w:rFonts w:eastAsia="等线" w:ascii="Arial" w:cs="Arial" w:hAnsi="Arial"/>
          <w:sz w:val="22"/>
        </w:rPr>
        <w:t>，需市场负责人的审批。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对于平台型部门，则不需要制作人和市场负责人审批，周知即可。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现有平台型部门名单：法务部、管理部、财务部、项目管理部、投资部、审计部、商务部、人力资源部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批量申请功能说明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如遇项目换新包等需要大范围人员申请新数数项目的问题时，可有项管直接于“申请权限内容说明”里填写需要申请的人员名单，并统一发起申请流程，后续会按照名单内容统一开通数数权限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4. 影响评估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此优化方案将显著提高项目组和市场敏感数据的安全性，并增强对数据访问的控制。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5. 实施计划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OA</w:t>
      </w:r>
      <w:r>
        <w:rPr>
          <w:rFonts w:eastAsia="等线" w:ascii="Arial" w:cs="Arial" w:hAnsi="Arial"/>
          <w:sz w:val="22"/>
        </w:rPr>
        <w:t>部分权限调整。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各项目</w:t>
      </w:r>
      <w:r>
        <w:rPr>
          <w:rFonts w:eastAsia="等线" w:ascii="Arial" w:cs="Arial" w:hAnsi="Arial"/>
          <w:sz w:val="22"/>
        </w:rPr>
        <w:t>数据分析</w:t>
      </w:r>
      <w:r>
        <w:rPr>
          <w:rFonts w:eastAsia="等线" w:ascii="Arial" w:cs="Arial" w:hAnsi="Arial"/>
          <w:sz w:val="22"/>
        </w:rPr>
        <w:t>看板</w:t>
      </w:r>
      <w:r>
        <w:rPr>
          <w:rFonts w:eastAsia="等线" w:ascii="Arial" w:cs="Arial" w:hAnsi="Arial"/>
          <w:sz w:val="22"/>
        </w:rPr>
        <w:t>由数据分析师与各项目负责人沟通分配，区分“公共”、“项目组私有”、“市场私有”等。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6. 培训与支持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向所有项目制作人和市场负责人传达新流程的信息，确保了解额外的审批任务。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7. 附录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包括相关流程图、联系人名单等附加信息。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23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8. 其他注意事项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所有项目均默认给叶总开通权限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134">
    <w:lvl>
      <w:numFmt w:val="bullet"/>
      <w:suff w:val="tab"/>
      <w:lvlText w:val="•"/>
      <w:rPr>
        <w:color w:val="3370ff"/>
      </w:rPr>
    </w:lvl>
  </w:abstractNum>
  <w:abstractNum w:abstractNumId="74135">
    <w:lvl>
      <w:numFmt w:val="bullet"/>
      <w:suff w:val="tab"/>
      <w:lvlText w:val="•"/>
      <w:rPr>
        <w:color w:val="3370ff"/>
      </w:rPr>
    </w:lvl>
  </w:abstractNum>
  <w:abstractNum w:abstractNumId="74136">
    <w:lvl>
      <w:numFmt w:val="bullet"/>
      <w:suff w:val="tab"/>
      <w:lvlText w:val="•"/>
      <w:rPr>
        <w:color w:val="3370ff"/>
      </w:rPr>
    </w:lvl>
  </w:abstractNum>
  <w:abstractNum w:abstractNumId="74137">
    <w:lvl>
      <w:numFmt w:val="bullet"/>
      <w:suff w:val="tab"/>
      <w:lvlText w:val="￮"/>
      <w:rPr>
        <w:color w:val="3370ff"/>
      </w:rPr>
    </w:lvl>
  </w:abstractNum>
  <w:abstractNum w:abstractNumId="74138">
    <w:lvl>
      <w:numFmt w:val="bullet"/>
      <w:suff w:val="tab"/>
      <w:lvlText w:val="•"/>
      <w:rPr>
        <w:color w:val="3370ff"/>
      </w:rPr>
    </w:lvl>
  </w:abstractNum>
  <w:abstractNum w:abstractNumId="74139">
    <w:lvl>
      <w:numFmt w:val="bullet"/>
      <w:suff w:val="tab"/>
      <w:lvlText w:val="￮"/>
      <w:rPr>
        <w:color w:val="3370ff"/>
      </w:rPr>
    </w:lvl>
  </w:abstractNum>
  <w:abstractNum w:abstractNumId="74140">
    <w:lvl>
      <w:numFmt w:val="bullet"/>
      <w:suff w:val="tab"/>
      <w:lvlText w:val="▪"/>
      <w:rPr>
        <w:color w:val="3370ff"/>
        <w:sz w:val="11"/>
      </w:rPr>
    </w:lvl>
  </w:abstractNum>
  <w:abstractNum w:abstractNumId="74141">
    <w:lvl>
      <w:numFmt w:val="bullet"/>
      <w:suff w:val="tab"/>
      <w:lvlText w:val="▪"/>
      <w:rPr>
        <w:color w:val="3370ff"/>
        <w:sz w:val="11"/>
      </w:rPr>
    </w:lvl>
  </w:abstractNum>
  <w:abstractNum w:abstractNumId="74142">
    <w:lvl>
      <w:numFmt w:val="bullet"/>
      <w:suff w:val="tab"/>
      <w:lvlText w:val="￮"/>
      <w:rPr>
        <w:color w:val="3370ff"/>
      </w:rPr>
    </w:lvl>
  </w:abstractNum>
  <w:abstractNum w:abstractNumId="74143">
    <w:lvl>
      <w:numFmt w:val="bullet"/>
      <w:suff w:val="tab"/>
      <w:lvlText w:val="▪"/>
      <w:rPr>
        <w:color w:val="3370ff"/>
        <w:sz w:val="11"/>
      </w:rPr>
    </w:lvl>
  </w:abstractNum>
  <w:abstractNum w:abstractNumId="74144">
    <w:lvl>
      <w:numFmt w:val="bullet"/>
      <w:suff w:val="tab"/>
      <w:lvlText w:val="•"/>
      <w:rPr>
        <w:color w:val="3370ff"/>
      </w:rPr>
    </w:lvl>
  </w:abstractNum>
  <w:abstractNum w:abstractNumId="74145">
    <w:lvl>
      <w:numFmt w:val="bullet"/>
      <w:suff w:val="tab"/>
      <w:lvlText w:val="￮"/>
      <w:rPr>
        <w:color w:val="3370ff"/>
      </w:rPr>
    </w:lvl>
  </w:abstractNum>
  <w:abstractNum w:abstractNumId="74146">
    <w:lvl>
      <w:numFmt w:val="bullet"/>
      <w:suff w:val="tab"/>
      <w:lvlText w:val="•"/>
      <w:rPr>
        <w:color w:val="3370ff"/>
      </w:rPr>
    </w:lvl>
  </w:abstractNum>
  <w:abstractNum w:abstractNumId="74147">
    <w:lvl>
      <w:numFmt w:val="bullet"/>
      <w:suff w:val="tab"/>
      <w:lvlText w:val="•"/>
      <w:rPr>
        <w:color w:val="3370ff"/>
      </w:rPr>
    </w:lvl>
  </w:abstractNum>
  <w:abstractNum w:abstractNumId="74148">
    <w:lvl>
      <w:numFmt w:val="bullet"/>
      <w:suff w:val="tab"/>
      <w:lvlText w:val="•"/>
      <w:rPr>
        <w:color w:val="3370ff"/>
      </w:rPr>
    </w:lvl>
  </w:abstractNum>
  <w:abstractNum w:abstractNumId="74149">
    <w:lvl>
      <w:numFmt w:val="bullet"/>
      <w:suff w:val="tab"/>
      <w:lvlText w:val="•"/>
      <w:rPr>
        <w:color w:val="3370ff"/>
      </w:rPr>
    </w:lvl>
  </w:abstractNum>
  <w:abstractNum w:abstractNumId="74150">
    <w:lvl>
      <w:numFmt w:val="bullet"/>
      <w:suff w:val="tab"/>
      <w:lvlText w:val="•"/>
      <w:rPr>
        <w:color w:val="3370ff"/>
      </w:rPr>
    </w:lvl>
  </w:abstractNum>
  <w:abstractNum w:abstractNumId="74151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74134"/>
  </w:num>
  <w:num w:numId="2">
    <w:abstractNumId w:val="74135"/>
  </w:num>
  <w:num w:numId="3">
    <w:abstractNumId w:val="74136"/>
  </w:num>
  <w:num w:numId="4">
    <w:abstractNumId w:val="74137"/>
  </w:num>
  <w:num w:numId="5">
    <w:abstractNumId w:val="74138"/>
  </w:num>
  <w:num w:numId="6">
    <w:abstractNumId w:val="74139"/>
  </w:num>
  <w:num w:numId="7">
    <w:abstractNumId w:val="74140"/>
  </w:num>
  <w:num w:numId="8">
    <w:abstractNumId w:val="74141"/>
  </w:num>
  <w:num w:numId="9">
    <w:abstractNumId w:val="74142"/>
  </w:num>
  <w:num w:numId="10">
    <w:abstractNumId w:val="74143"/>
  </w:num>
  <w:num w:numId="11">
    <w:abstractNumId w:val="74144"/>
  </w:num>
  <w:num w:numId="12">
    <w:abstractNumId w:val="74145"/>
  </w:num>
  <w:num w:numId="13">
    <w:abstractNumId w:val="74146"/>
  </w:num>
  <w:num w:numId="14">
    <w:abstractNumId w:val="74147"/>
  </w:num>
  <w:num w:numId="15">
    <w:abstractNumId w:val="74148"/>
  </w:num>
  <w:num w:numId="16">
    <w:abstractNumId w:val="74149"/>
  </w:num>
  <w:num w:numId="17">
    <w:abstractNumId w:val="74150"/>
  </w:num>
  <w:num w:numId="18">
    <w:abstractNumId w:val="741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2025-06-11T04:22:09Z</dcterms:created>
  <dc:creator>Apache POI</dc:creator>
</cp:coreProperties>
</file>