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left"/>
      </w:pPr>
      <w:r>
        <w:rPr>
          <w:rFonts w:ascii="Calibri" w:hAnsi="Calibri" w:eastAsia="Microsoft YaHei"/>
          <w:b/>
          <w:color w:val="2E74B5"/>
          <w:sz w:val="44"/>
        </w:rPr>
        <w:t>项目当前阶段与期中后进展说明</w:t>
      </w:r>
    </w:p>
    <w:p>
      <w:pPr>
        <w:spacing w:after="240"/>
      </w:pPr>
      <w:r>
        <w:rPr>
          <w:rFonts w:ascii="Calibri" w:hAnsi="Calibri" w:eastAsia="Microsoft YaHei"/>
          <w:b w:val="0"/>
          <w:color w:val="555555"/>
          <w:sz w:val="21"/>
        </w:rPr>
        <w:t>Alicona 显微纹理图像 -&gt; 三维表面高度预测 | 2026-08-31</w:t>
      </w:r>
    </w:p>
    <w:p>
      <w:r>
        <w:rPr>
          <w:rFonts w:ascii="Calibri" w:hAnsi="Calibri" w:eastAsia="Microsoft YaHei"/>
          <w:b w:val="0"/>
          <w:color w:val="222222"/>
          <w:sz w:val="22"/>
        </w:rPr>
        <w:t>日期：2026-08-31</w:t>
      </w:r>
    </w:p>
    <w:p>
      <w:pPr>
        <w:pStyle w:val="Heading1"/>
        <w:keepNext/>
      </w:pPr>
      <w:r>
        <w:t>1. 现在项目处于什么阶段</w:t>
      </w:r>
    </w:p>
    <w:p>
      <w:r>
        <w:rPr>
          <w:rFonts w:ascii="Calibri" w:hAnsi="Calibri" w:eastAsia="Microsoft YaHei"/>
          <w:b w:val="0"/>
          <w:color w:val="222222"/>
          <w:sz w:val="22"/>
        </w:rPr>
        <w:t>我们现在已经完成了从原始 Alicona 数据到模型训练、模型比较、完整显微图预测、误差统计和结果可视化的一整套流程。现在的工作重点已经从“能不能训练一个模型”转向“模型效果是否可靠、不同设置之间有什么差别、结果能不能用于正式汇报”。</w:t>
      </w:r>
    </w:p>
    <w:p>
      <w:r>
        <w:rPr>
          <w:rFonts w:ascii="Calibri" w:hAnsi="Calibri" w:eastAsia="Microsoft YaHei"/>
          <w:b w:val="0"/>
          <w:color w:val="222222"/>
          <w:sz w:val="22"/>
        </w:rPr>
        <w:t>可以把当前阶段概括为：</w:t>
      </w:r>
    </w:p>
    <w:p>
      <w:pPr>
        <w:spacing w:before="80" w:after="160" w:line="252" w:lineRule="auto"/>
        <w:ind w:left="259" w:right="259"/>
        <w:shd w:fill="F4F6F9"/>
      </w:pPr>
      <w:r>
        <w:rPr>
          <w:rFonts w:ascii="Consolas" w:hAnsi="Consolas" w:eastAsia="Consolas"/>
          <w:b w:val="0"/>
          <w:color w:val="222222"/>
          <w:sz w:val="18"/>
        </w:rPr>
        <w:t>数据读取和清洗已完成</w:t>
      </w:r>
      <w:r>
        <w:br/>
      </w:r>
      <w:r>
        <w:rPr>
          <w:rFonts w:ascii="Consolas" w:hAnsi="Consolas" w:eastAsia="Consolas"/>
          <w:b w:val="0"/>
          <w:color w:val="222222"/>
          <w:sz w:val="18"/>
        </w:rPr>
        <w:t>-&gt; 数据集划分已完成</w:t>
      </w:r>
      <w:r>
        <w:br/>
      </w:r>
      <w:r>
        <w:rPr>
          <w:rFonts w:ascii="Consolas" w:hAnsi="Consolas" w:eastAsia="Consolas"/>
          <w:b w:val="0"/>
          <w:color w:val="222222"/>
          <w:sz w:val="18"/>
        </w:rPr>
        <w:t>-&gt; 多个模型训练已完成</w:t>
      </w:r>
      <w:r>
        <w:br/>
      </w:r>
      <w:r>
        <w:rPr>
          <w:rFonts w:ascii="Consolas" w:hAnsi="Consolas" w:eastAsia="Consolas"/>
          <w:b w:val="0"/>
          <w:color w:val="222222"/>
          <w:sz w:val="18"/>
        </w:rPr>
        <w:t>-&gt; patch-level 测试评估已完成</w:t>
      </w:r>
      <w:r>
        <w:br/>
      </w:r>
      <w:r>
        <w:rPr>
          <w:rFonts w:ascii="Consolas" w:hAnsi="Consolas" w:eastAsia="Consolas"/>
          <w:b w:val="0"/>
          <w:color w:val="222222"/>
          <w:sz w:val="18"/>
        </w:rPr>
        <w:t>-&gt; 完整显微图预测已完成</w:t>
      </w:r>
      <w:r>
        <w:br/>
      </w:r>
      <w:r>
        <w:rPr>
          <w:rFonts w:ascii="Consolas" w:hAnsi="Consolas" w:eastAsia="Consolas"/>
          <w:b w:val="0"/>
          <w:color w:val="222222"/>
          <w:sz w:val="18"/>
        </w:rPr>
        <w:t>-&gt; 结果图和指标表已整理</w:t>
      </w:r>
    </w:p>
    <w:p>
      <w:pPr>
        <w:pStyle w:val="Heading1"/>
        <w:keepNext/>
      </w:pPr>
      <w:r>
        <w:t>2. 已经完成的主要成果</w:t>
      </w:r>
    </w:p>
    <w:p>
      <w:pPr>
        <w:pStyle w:val="Heading2"/>
        <w:keepNext/>
      </w:pPr>
      <w:r>
        <w:t>2.1 数据处理流程</w:t>
      </w:r>
    </w:p>
    <w:p>
      <w:r>
        <w:rPr>
          <w:rFonts w:ascii="Calibri" w:hAnsi="Calibri" w:eastAsia="Microsoft YaHei"/>
          <w:b w:val="0"/>
          <w:color w:val="222222"/>
          <w:sz w:val="22"/>
        </w:rPr>
        <w:t xml:space="preserve">我们重新检查并修正了 Alicona 高度文件 </w:t>
      </w:r>
      <w:r>
        <w:rPr>
          <w:rFonts w:ascii="Consolas" w:hAnsi="Consolas" w:eastAsia="Consolas"/>
          <w:b w:val="0"/>
          <w:color w:val="222222"/>
          <w:sz w:val="21"/>
        </w:rPr>
        <w:t>.al3d</w:t>
      </w:r>
      <w:r>
        <w:rPr>
          <w:rFonts w:ascii="Calibri" w:hAnsi="Calibri" w:eastAsia="Microsoft YaHei"/>
          <w:b w:val="0"/>
          <w:color w:val="222222"/>
          <w:sz w:val="22"/>
        </w:rPr>
        <w:t xml:space="preserve"> 的读取方式。现在的代码会根据文件 header 中的 </w:t>
      </w:r>
      <w:r>
        <w:rPr>
          <w:rFonts w:ascii="Consolas" w:hAnsi="Consolas" w:eastAsia="Consolas"/>
          <w:b w:val="0"/>
          <w:color w:val="222222"/>
          <w:sz w:val="21"/>
        </w:rPr>
        <w:t>DepthImageOffset</w:t>
      </w:r>
      <w:r>
        <w:rPr>
          <w:rFonts w:ascii="Calibri" w:hAnsi="Calibri" w:eastAsia="Microsoft YaHei"/>
          <w:b w:val="0"/>
          <w:color w:val="222222"/>
          <w:sz w:val="22"/>
        </w:rPr>
        <w:t xml:space="preserve"> 读取真实高度矩阵，并过滤明显无效的高度值。</w:t>
      </w:r>
    </w:p>
    <w:p>
      <w:r>
        <w:rPr>
          <w:rFonts w:ascii="Calibri" w:hAnsi="Calibri" w:eastAsia="Microsoft YaHei"/>
          <w:b w:val="0"/>
          <w:color w:val="222222"/>
          <w:sz w:val="22"/>
        </w:rPr>
        <w:t xml:space="preserve">原始数据来自 </w:t>
      </w:r>
      <w:r>
        <w:rPr>
          <w:rFonts w:ascii="Consolas" w:hAnsi="Consolas" w:eastAsia="Consolas"/>
          <w:b w:val="0"/>
          <w:color w:val="222222"/>
          <w:sz w:val="21"/>
        </w:rPr>
        <w:t>Versuchsreihe2_B91$prj</w:t>
      </w:r>
      <w:r>
        <w:rPr>
          <w:rFonts w:ascii="Calibri" w:hAnsi="Calibri" w:eastAsia="Microsoft YaHei"/>
          <w:b w:val="0"/>
          <w:color w:val="222222"/>
          <w:sz w:val="22"/>
        </w:rPr>
        <w:t>，共 174 个完整 Alicona 样本。每个样本主要包含：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文件</w:t>
            </w:r>
          </w:p>
        </w:tc>
        <w:tc>
          <w:tcPr>
            <w:tcW w:type="dxa" w:w="684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作用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texture.bmp</w:t>
            </w:r>
          </w:p>
        </w:tc>
        <w:tc>
          <w:tcPr>
            <w:tcW w:type="dxa" w:w="684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二维显微纹理图，作为模型输入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dem.al3d</w:t>
            </w:r>
          </w:p>
        </w:tc>
        <w:tc>
          <w:tcPr>
            <w:tcW w:type="dxa" w:w="684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三维高度图，作为模型预测目标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qualitymap.bmp</w:t>
            </w:r>
          </w:p>
        </w:tc>
        <w:tc>
          <w:tcPr>
            <w:tcW w:type="dxa" w:w="684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质量图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info.xml</w:t>
            </w:r>
          </w:p>
        </w:tc>
        <w:tc>
          <w:tcPr>
            <w:tcW w:type="dxa" w:w="684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元数据</w:t>
            </w:r>
          </w:p>
        </w:tc>
      </w:tr>
    </w:tbl>
    <w:p/>
    <w:p>
      <w:r>
        <w:rPr>
          <w:rFonts w:ascii="Calibri" w:hAnsi="Calibri" w:eastAsia="Microsoft YaHei"/>
          <w:b w:val="0"/>
          <w:color w:val="222222"/>
          <w:sz w:val="22"/>
        </w:rPr>
        <w:t>数据集已经按完整显微图片划分为：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944"/>
        <w:gridCol w:w="2520"/>
        <w:gridCol w:w="2232"/>
        <w:gridCol w:w="2664"/>
      </w:tblGrid>
      <w:tr>
        <w:trPr>
          <w:tblHeader w:val="true"/>
        </w:trPr>
        <w:tc>
          <w:tcPr>
            <w:tcW w:type="dxa" w:w="1944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Split</w:t>
            </w:r>
          </w:p>
        </w:tc>
        <w:tc>
          <w:tcPr>
            <w:tcW w:type="dxa" w:w="252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完整显微图数量</w:t>
            </w:r>
          </w:p>
        </w:tc>
        <w:tc>
          <w:tcPr>
            <w:tcW w:type="dxa" w:w="2232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样本范围</w:t>
            </w:r>
          </w:p>
        </w:tc>
        <w:tc>
          <w:tcPr>
            <w:tcW w:type="dxa" w:w="2664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用途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Train</w:t>
            </w:r>
          </w:p>
        </w:tc>
        <w:tc>
          <w:tcPr>
            <w:tcW w:type="dxa" w:w="252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120</w:t>
            </w:r>
          </w:p>
        </w:tc>
        <w:tc>
          <w:tcPr>
            <w:tcW w:type="dxa" w:w="2232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V1-V20</w:t>
            </w:r>
          </w:p>
        </w:tc>
        <w:tc>
          <w:tcPr>
            <w:tcW w:type="dxa" w:w="2664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模型训练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24</w:t>
            </w:r>
          </w:p>
        </w:tc>
        <w:tc>
          <w:tcPr>
            <w:tcW w:type="dxa" w:w="2232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V21-V24</w:t>
            </w:r>
          </w:p>
        </w:tc>
        <w:tc>
          <w:tcPr>
            <w:tcW w:type="dxa" w:w="2664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选择 best checkpoint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Test</w:t>
            </w:r>
          </w:p>
        </w:tc>
        <w:tc>
          <w:tcPr>
            <w:tcW w:type="dxa" w:w="252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30</w:t>
            </w:r>
          </w:p>
        </w:tc>
        <w:tc>
          <w:tcPr>
            <w:tcW w:type="dxa" w:w="2232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V25-V29</w:t>
            </w:r>
          </w:p>
        </w:tc>
        <w:tc>
          <w:tcPr>
            <w:tcW w:type="dxa" w:w="2664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最终测试和泛化评估</w:t>
            </w:r>
          </w:p>
        </w:tc>
      </w:tr>
    </w:tbl>
    <w:p/>
    <w:p>
      <w:r>
        <w:rPr>
          <w:rFonts w:ascii="Calibri" w:hAnsi="Calibri" w:eastAsia="Microsoft YaHei"/>
          <w:b w:val="0"/>
          <w:color w:val="222222"/>
          <w:sz w:val="22"/>
        </w:rPr>
        <w:t>这个划分比期中阶段更严谨，因为它避免了同一张显微图的 patch 同时出现在训练集和测试集中。</w:t>
      </w:r>
    </w:p>
    <w:p>
      <w:pPr>
        <w:pStyle w:val="Heading2"/>
        <w:keepNext/>
      </w:pPr>
      <w:r>
        <w:t>2.2 模型训练与比较</w:t>
      </w:r>
    </w:p>
    <w:p>
      <w:r>
        <w:rPr>
          <w:rFonts w:ascii="Calibri" w:hAnsi="Calibri" w:eastAsia="Microsoft YaHei"/>
          <w:b w:val="0"/>
          <w:color w:val="222222"/>
          <w:sz w:val="22"/>
        </w:rPr>
        <w:t>目前已经完成了三个模型的训练和测试：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440"/>
        <w:gridCol w:w="1800"/>
        <w:gridCol w:w="2015"/>
        <w:gridCol w:w="2015"/>
        <w:gridCol w:w="2088"/>
      </w:tblGrid>
      <w:tr>
        <w:trPr>
          <w:tblHeader w:val="true"/>
        </w:trPr>
        <w:tc>
          <w:tcPr>
            <w:tcW w:type="dxa" w:w="144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Model</w:t>
            </w:r>
          </w:p>
        </w:tc>
        <w:tc>
          <w:tcPr>
            <w:tcW w:type="dxa" w:w="180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作用</w:t>
            </w:r>
          </w:p>
        </w:tc>
        <w:tc>
          <w:tcPr>
            <w:tcW w:type="dxa" w:w="2015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Test MAE_norm</w:t>
            </w:r>
          </w:p>
        </w:tc>
        <w:tc>
          <w:tcPr>
            <w:tcW w:type="dxa" w:w="2015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Test MSE_norm</w:t>
            </w:r>
          </w:p>
        </w:tc>
        <w:tc>
          <w:tcPr>
            <w:tcW w:type="dxa" w:w="2088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Test RMSE_norm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SimpleCNN</w:t>
            </w:r>
          </w:p>
        </w:tc>
        <w:tc>
          <w:tcPr>
            <w:tcW w:type="dxa" w:w="180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基础 baseline</w:t>
            </w:r>
          </w:p>
        </w:tc>
        <w:tc>
          <w:tcPr>
            <w:tcW w:type="dxa" w:w="2015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0.0966449065</w:t>
            </w:r>
          </w:p>
        </w:tc>
        <w:tc>
          <w:tcPr>
            <w:tcW w:type="dxa" w:w="2015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0.0161155819</w:t>
            </w:r>
          </w:p>
        </w:tc>
        <w:tc>
          <w:tcPr>
            <w:tcW w:type="dxa" w:w="2088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0.1269471617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TransUNet-lite</w:t>
            </w:r>
          </w:p>
        </w:tc>
        <w:tc>
          <w:tcPr>
            <w:tcW w:type="dxa" w:w="180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尝试加入 Transformer 思路</w:t>
            </w:r>
          </w:p>
        </w:tc>
        <w:tc>
          <w:tcPr>
            <w:tcW w:type="dxa" w:w="2015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0.0899855863</w:t>
            </w:r>
          </w:p>
        </w:tc>
        <w:tc>
          <w:tcPr>
            <w:tcW w:type="dxa" w:w="2015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0.0149214596</w:t>
            </w:r>
          </w:p>
        </w:tc>
        <w:tc>
          <w:tcPr>
            <w:tcW w:type="dxa" w:w="2088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0.1221534265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Small U-Net</w:t>
            </w:r>
          </w:p>
        </w:tc>
        <w:tc>
          <w:tcPr>
            <w:tcW w:type="dxa" w:w="180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当前主要模型</w:t>
            </w:r>
          </w:p>
        </w:tc>
        <w:tc>
          <w:tcPr>
            <w:tcW w:type="dxa" w:w="2015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0.0852922367</w:t>
            </w:r>
          </w:p>
        </w:tc>
        <w:tc>
          <w:tcPr>
            <w:tcW w:type="dxa" w:w="2015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0.0128995686</w:t>
            </w:r>
          </w:p>
        </w:tc>
        <w:tc>
          <w:tcPr>
            <w:tcW w:type="dxa" w:w="2088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0.1135762678</w:t>
            </w:r>
          </w:p>
        </w:tc>
      </w:tr>
    </w:tbl>
    <w:p/>
    <w:p>
      <w:r>
        <w:rPr>
          <w:rFonts w:ascii="Calibri" w:hAnsi="Calibri" w:eastAsia="Microsoft YaHei"/>
          <w:b w:val="0"/>
          <w:color w:val="222222"/>
          <w:sz w:val="22"/>
        </w:rPr>
        <w:t xml:space="preserve">从结果看，当前表现最好的是 </w:t>
      </w:r>
      <w:r>
        <w:rPr>
          <w:rFonts w:ascii="Calibri" w:hAnsi="Calibri" w:eastAsia="Microsoft YaHei"/>
          <w:b/>
          <w:color w:val="222222"/>
          <w:sz w:val="22"/>
        </w:rPr>
        <w:t>Small U-Net</w:t>
      </w:r>
      <w:r>
        <w:rPr>
          <w:rFonts w:ascii="Calibri" w:hAnsi="Calibri" w:eastAsia="Microsoft YaHei"/>
          <w:b w:val="0"/>
          <w:color w:val="222222"/>
          <w:sz w:val="22"/>
        </w:rPr>
        <w:t>。TransUNet-lite 比 SimpleCNN 更好，说明加入更大范围的上下文建模是有帮助的；但它还没有超过 Small U-Net，可能和我们现在使用的是轻量实现、数据量有限、任务类型是高度回归有关。CHEN J, LU Y, YU Q, et al. TransUNet: Transformers make strong encoders for medical image segmentation[EB/OL]. arXiv:2102.04306, 2021.</w:t>
      </w:r>
    </w:p>
    <w:p>
      <w:pPr>
        <w:pStyle w:val="Heading2"/>
        <w:keepNext/>
      </w:pPr>
      <w:r>
        <w:t>2.3 不同 patch 分辨率实验</w:t>
      </w:r>
    </w:p>
    <w:p>
      <w:r>
        <w:rPr>
          <w:rFonts w:ascii="Calibri" w:hAnsi="Calibri" w:eastAsia="Microsoft YaHei"/>
          <w:b w:val="0"/>
          <w:color w:val="222222"/>
          <w:sz w:val="22"/>
        </w:rPr>
        <w:t>我们还比较了 64、128、256 三种 patch size。结果如下：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440"/>
        <w:gridCol w:w="1800"/>
        <w:gridCol w:w="2015"/>
        <w:gridCol w:w="2015"/>
        <w:gridCol w:w="2088"/>
      </w:tblGrid>
      <w:tr>
        <w:trPr>
          <w:tblHeader w:val="true"/>
        </w:trPr>
        <w:tc>
          <w:tcPr>
            <w:tcW w:type="dxa" w:w="144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Patch size</w:t>
            </w:r>
          </w:p>
        </w:tc>
        <w:tc>
          <w:tcPr>
            <w:tcW w:type="dxa" w:w="180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Test patches</w:t>
            </w:r>
          </w:p>
        </w:tc>
        <w:tc>
          <w:tcPr>
            <w:tcW w:type="dxa" w:w="2015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MAE_norm</w:t>
            </w:r>
          </w:p>
        </w:tc>
        <w:tc>
          <w:tcPr>
            <w:tcW w:type="dxa" w:w="2015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MSE_norm</w:t>
            </w:r>
          </w:p>
        </w:tc>
        <w:tc>
          <w:tcPr>
            <w:tcW w:type="dxa" w:w="2088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RMSE_norm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64</w:t>
            </w:r>
          </w:p>
        </w:tc>
        <w:tc>
          <w:tcPr>
            <w:tcW w:type="dxa" w:w="180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30,720</w:t>
            </w:r>
          </w:p>
        </w:tc>
        <w:tc>
          <w:tcPr>
            <w:tcW w:type="dxa" w:w="2015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0.0872558418</w:t>
            </w:r>
          </w:p>
        </w:tc>
        <w:tc>
          <w:tcPr>
            <w:tcW w:type="dxa" w:w="2015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0.0133066573</w:t>
            </w:r>
          </w:p>
        </w:tc>
        <w:tc>
          <w:tcPr>
            <w:tcW w:type="dxa" w:w="2088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0.1153544853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128</w:t>
            </w:r>
          </w:p>
        </w:tc>
        <w:tc>
          <w:tcPr>
            <w:tcW w:type="dxa" w:w="180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7,680</w:t>
            </w:r>
          </w:p>
        </w:tc>
        <w:tc>
          <w:tcPr>
            <w:tcW w:type="dxa" w:w="2015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0.0852922367</w:t>
            </w:r>
          </w:p>
        </w:tc>
        <w:tc>
          <w:tcPr>
            <w:tcW w:type="dxa" w:w="2015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0.0128995686</w:t>
            </w:r>
          </w:p>
        </w:tc>
        <w:tc>
          <w:tcPr>
            <w:tcW w:type="dxa" w:w="2088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0.1135762678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256</w:t>
            </w:r>
          </w:p>
        </w:tc>
        <w:tc>
          <w:tcPr>
            <w:tcW w:type="dxa" w:w="180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1,920</w:t>
            </w:r>
          </w:p>
        </w:tc>
        <w:tc>
          <w:tcPr>
            <w:tcW w:type="dxa" w:w="2015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0.0861126906</w:t>
            </w:r>
          </w:p>
        </w:tc>
        <w:tc>
          <w:tcPr>
            <w:tcW w:type="dxa" w:w="2015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0.0128414407</w:t>
            </w:r>
          </w:p>
        </w:tc>
        <w:tc>
          <w:tcPr>
            <w:tcW w:type="dxa" w:w="2088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0.1133200807</w:t>
            </w:r>
          </w:p>
        </w:tc>
      </w:tr>
    </w:tbl>
    <w:p/>
    <w:p>
      <w:r>
        <w:rPr>
          <w:rFonts w:ascii="Calibri" w:hAnsi="Calibri" w:eastAsia="Microsoft YaHei"/>
          <w:b w:val="0"/>
          <w:color w:val="222222"/>
          <w:sz w:val="22"/>
        </w:rPr>
        <w:t>目前综合来看，128x128 patch 的 MAE 最低，整体比较稳定；256x256 的 RMSE 接近最好，但 MAE 略高；64x64 虽然 patch 数量更多，但上下文范围更小，最终效果略差。</w:t>
      </w:r>
    </w:p>
    <w:p>
      <w:pPr>
        <w:pStyle w:val="Heading2"/>
        <w:keepNext/>
      </w:pPr>
      <w:r>
        <w:t>2.4 完整显微图片预测</w:t>
      </w:r>
    </w:p>
    <w:p>
      <w:r>
        <w:rPr>
          <w:rFonts w:ascii="Calibri" w:hAnsi="Calibri" w:eastAsia="Microsoft YaHei"/>
          <w:b w:val="0"/>
          <w:color w:val="222222"/>
          <w:sz w:val="22"/>
        </w:rPr>
        <w:t>期中时我们主要关注 patch 或单张示例图。现在已经实现了对完整显微图片的预测：</w:t>
      </w:r>
    </w:p>
    <w:p>
      <w:pPr>
        <w:spacing w:before="80" w:after="160" w:line="252" w:lineRule="auto"/>
        <w:ind w:left="259" w:right="259"/>
        <w:shd w:fill="F4F6F9"/>
      </w:pPr>
      <w:r>
        <w:rPr>
          <w:rFonts w:ascii="Consolas" w:hAnsi="Consolas" w:eastAsia="Consolas"/>
          <w:b w:val="0"/>
          <w:color w:val="222222"/>
          <w:sz w:val="18"/>
        </w:rPr>
        <w:t>读取完整 texture.bmp</w:t>
      </w:r>
      <w:r>
        <w:br/>
      </w:r>
      <w:r>
        <w:rPr>
          <w:rFonts w:ascii="Consolas" w:hAnsi="Consolas" w:eastAsia="Consolas"/>
          <w:b w:val="0"/>
          <w:color w:val="222222"/>
          <w:sz w:val="18"/>
        </w:rPr>
        <w:t>-&gt; 按 patch size 和 stride 切片</w:t>
      </w:r>
      <w:r>
        <w:br/>
      </w:r>
      <w:r>
        <w:rPr>
          <w:rFonts w:ascii="Consolas" w:hAnsi="Consolas" w:eastAsia="Consolas"/>
          <w:b w:val="0"/>
          <w:color w:val="222222"/>
          <w:sz w:val="18"/>
        </w:rPr>
        <w:t>-&gt; 每个 patch 输入模型预测高度</w:t>
      </w:r>
      <w:r>
        <w:br/>
      </w:r>
      <w:r>
        <w:rPr>
          <w:rFonts w:ascii="Consolas" w:hAnsi="Consolas" w:eastAsia="Consolas"/>
          <w:b w:val="0"/>
          <w:color w:val="222222"/>
          <w:sz w:val="18"/>
        </w:rPr>
        <w:t>-&gt; 将预测结果放回完整图位置</w:t>
      </w:r>
      <w:r>
        <w:br/>
      </w:r>
      <w:r>
        <w:rPr>
          <w:rFonts w:ascii="Consolas" w:hAnsi="Consolas" w:eastAsia="Consolas"/>
          <w:b w:val="0"/>
          <w:color w:val="222222"/>
          <w:sz w:val="18"/>
        </w:rPr>
        <w:t>-&gt; 对重叠区域融合</w:t>
      </w:r>
      <w:r>
        <w:br/>
      </w:r>
      <w:r>
        <w:rPr>
          <w:rFonts w:ascii="Consolas" w:hAnsi="Consolas" w:eastAsia="Consolas"/>
          <w:b w:val="0"/>
          <w:color w:val="222222"/>
          <w:sz w:val="18"/>
        </w:rPr>
        <w:t>-&gt; 输出完整 predicted height 和 absolute error</w:t>
      </w:r>
    </w:p>
    <w:p>
      <w:r>
        <w:rPr>
          <w:rFonts w:ascii="Calibri" w:hAnsi="Calibri" w:eastAsia="Microsoft YaHei"/>
          <w:b w:val="0"/>
          <w:color w:val="222222"/>
          <w:sz w:val="22"/>
        </w:rPr>
        <w:t>我们已经对 test split 的 30 张完整显微图全部做了预测。当前最好设置是：</w:t>
      </w:r>
    </w:p>
    <w:p>
      <w:pPr>
        <w:spacing w:before="80" w:after="160" w:line="252" w:lineRule="auto"/>
        <w:ind w:left="259" w:right="259"/>
        <w:shd w:fill="F4F6F9"/>
      </w:pPr>
      <w:r>
        <w:rPr>
          <w:rFonts w:ascii="Consolas" w:hAnsi="Consolas" w:eastAsia="Consolas"/>
          <w:b w:val="0"/>
          <w:color w:val="222222"/>
          <w:sz w:val="18"/>
        </w:rPr>
        <w:t>Model: Small U-Net</w:t>
      </w:r>
      <w:r>
        <w:br/>
      </w:r>
      <w:r>
        <w:rPr>
          <w:rFonts w:ascii="Consolas" w:hAnsi="Consolas" w:eastAsia="Consolas"/>
          <w:b w:val="0"/>
          <w:color w:val="222222"/>
          <w:sz w:val="18"/>
        </w:rPr>
        <w:t>Patch size: 128</w:t>
      </w:r>
      <w:r>
        <w:br/>
      </w:r>
      <w:r>
        <w:rPr>
          <w:rFonts w:ascii="Consolas" w:hAnsi="Consolas" w:eastAsia="Consolas"/>
          <w:b w:val="0"/>
          <w:color w:val="222222"/>
          <w:sz w:val="18"/>
        </w:rPr>
        <w:t>Prediction stride: 64</w:t>
      </w:r>
      <w:r>
        <w:br/>
      </w:r>
      <w:r>
        <w:rPr>
          <w:rFonts w:ascii="Consolas" w:hAnsi="Consolas" w:eastAsia="Consolas"/>
          <w:b w:val="0"/>
          <w:color w:val="222222"/>
          <w:sz w:val="18"/>
        </w:rPr>
        <w:t>Blend: Gaussian overlap</w:t>
      </w:r>
    </w:p>
    <w:p>
      <w:r>
        <w:rPr>
          <w:rFonts w:ascii="Calibri" w:hAnsi="Calibri" w:eastAsia="Microsoft YaHei"/>
          <w:b w:val="0"/>
          <w:color w:val="222222"/>
          <w:sz w:val="22"/>
        </w:rPr>
        <w:t>30 张完整测试图的平均结果为：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944"/>
        <w:gridCol w:w="2520"/>
        <w:gridCol w:w="2232"/>
        <w:gridCol w:w="2664"/>
      </w:tblGrid>
      <w:tr>
        <w:trPr>
          <w:tblHeader w:val="true"/>
        </w:trPr>
        <w:tc>
          <w:tcPr>
            <w:tcW w:type="dxa" w:w="1944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Setting</w:t>
            </w:r>
          </w:p>
        </w:tc>
        <w:tc>
          <w:tcPr>
            <w:tcW w:type="dxa" w:w="252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Mean MAE_norm</w:t>
            </w:r>
          </w:p>
        </w:tc>
        <w:tc>
          <w:tcPr>
            <w:tcW w:type="dxa" w:w="2232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Mean MSE_norm</w:t>
            </w:r>
          </w:p>
        </w:tc>
        <w:tc>
          <w:tcPr>
            <w:tcW w:type="dxa" w:w="2664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Mean RMSE_norm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Small U-Net, 128 patch, stride 64, Gaussian overlap</w:t>
            </w:r>
          </w:p>
        </w:tc>
        <w:tc>
          <w:tcPr>
            <w:tcW w:type="dxa" w:w="252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0.0846515231</w:t>
            </w:r>
          </w:p>
        </w:tc>
        <w:tc>
          <w:tcPr>
            <w:tcW w:type="dxa" w:w="2232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0.0127101013</w:t>
            </w:r>
          </w:p>
        </w:tc>
        <w:tc>
          <w:tcPr>
            <w:tcW w:type="dxa" w:w="2664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0.1117579066</w:t>
            </w:r>
          </w:p>
        </w:tc>
      </w:tr>
    </w:tbl>
    <w:p/>
    <w:p>
      <w:r>
        <w:rPr>
          <w:rFonts w:ascii="Calibri" w:hAnsi="Calibri" w:eastAsia="Microsoft YaHei"/>
          <w:b w:val="0"/>
          <w:color w:val="222222"/>
          <w:sz w:val="22"/>
        </w:rPr>
        <w:t>这说明模型已经可以从单个 patch 预测扩展到完整显微图预测。</w:t>
      </w:r>
    </w:p>
    <w:p>
      <w:pPr>
        <w:pStyle w:val="Heading2"/>
        <w:keepNext/>
      </w:pPr>
      <w:r>
        <w:t>2.5 拼接和马赛克感改进</w:t>
      </w:r>
    </w:p>
    <w:p>
      <w:r>
        <w:rPr>
          <w:rFonts w:ascii="Calibri" w:hAnsi="Calibri" w:eastAsia="Microsoft YaHei"/>
          <w:b w:val="0"/>
          <w:color w:val="222222"/>
          <w:sz w:val="22"/>
        </w:rPr>
        <w:t>为了减少 patch 拼接后出现的块状感，我们比较了三种完整图拼接方式：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440"/>
        <w:gridCol w:w="1800"/>
        <w:gridCol w:w="2015"/>
        <w:gridCol w:w="2015"/>
        <w:gridCol w:w="2088"/>
      </w:tblGrid>
      <w:tr>
        <w:trPr>
          <w:tblHeader w:val="true"/>
        </w:trPr>
        <w:tc>
          <w:tcPr>
            <w:tcW w:type="dxa" w:w="144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拼接方式</w:t>
            </w:r>
          </w:p>
        </w:tc>
        <w:tc>
          <w:tcPr>
            <w:tcW w:type="dxa" w:w="180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Patch size</w:t>
            </w:r>
          </w:p>
        </w:tc>
        <w:tc>
          <w:tcPr>
            <w:tcW w:type="dxa" w:w="2015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Stride</w:t>
            </w:r>
          </w:p>
        </w:tc>
        <w:tc>
          <w:tcPr>
            <w:tcW w:type="dxa" w:w="2015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Mean MAE_norm</w:t>
            </w:r>
          </w:p>
        </w:tc>
        <w:tc>
          <w:tcPr>
            <w:tcW w:type="dxa" w:w="2088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Mean RMSE_norm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No overlap</w:t>
            </w:r>
          </w:p>
        </w:tc>
        <w:tc>
          <w:tcPr>
            <w:tcW w:type="dxa" w:w="180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128</w:t>
            </w:r>
          </w:p>
        </w:tc>
        <w:tc>
          <w:tcPr>
            <w:tcW w:type="dxa" w:w="2015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128</w:t>
            </w:r>
          </w:p>
        </w:tc>
        <w:tc>
          <w:tcPr>
            <w:tcW w:type="dxa" w:w="2015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0.0852090585</w:t>
            </w:r>
          </w:p>
        </w:tc>
        <w:tc>
          <w:tcPr>
            <w:tcW w:type="dxa" w:w="2088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0.1124974950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Uniform overlap</w:t>
            </w:r>
          </w:p>
        </w:tc>
        <w:tc>
          <w:tcPr>
            <w:tcW w:type="dxa" w:w="180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128</w:t>
            </w:r>
          </w:p>
        </w:tc>
        <w:tc>
          <w:tcPr>
            <w:tcW w:type="dxa" w:w="2015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64</w:t>
            </w:r>
          </w:p>
        </w:tc>
        <w:tc>
          <w:tcPr>
            <w:tcW w:type="dxa" w:w="2015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0.0848604908</w:t>
            </w:r>
          </w:p>
        </w:tc>
        <w:tc>
          <w:tcPr>
            <w:tcW w:type="dxa" w:w="2088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0.1120548095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Gaussian overlap</w:t>
            </w:r>
          </w:p>
        </w:tc>
        <w:tc>
          <w:tcPr>
            <w:tcW w:type="dxa" w:w="180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128</w:t>
            </w:r>
          </w:p>
        </w:tc>
        <w:tc>
          <w:tcPr>
            <w:tcW w:type="dxa" w:w="2015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64</w:t>
            </w:r>
          </w:p>
        </w:tc>
        <w:tc>
          <w:tcPr>
            <w:tcW w:type="dxa" w:w="2015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0.0846515231</w:t>
            </w:r>
          </w:p>
        </w:tc>
        <w:tc>
          <w:tcPr>
            <w:tcW w:type="dxa" w:w="2088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0.1117579066</w:t>
            </w:r>
          </w:p>
        </w:tc>
      </w:tr>
    </w:tbl>
    <w:p/>
    <w:p>
      <w:r>
        <w:rPr>
          <w:rFonts w:ascii="Calibri" w:hAnsi="Calibri" w:eastAsia="Microsoft YaHei"/>
          <w:b w:val="0"/>
          <w:color w:val="222222"/>
          <w:sz w:val="22"/>
        </w:rPr>
        <w:t>Gaussian overlap 的结果最好。它的作用是降低 patch 边缘的权重，让 patch 中心区域对最终结果贡献更多，因此能减弱边界造成的块状/马赛克感。</w:t>
      </w:r>
    </w:p>
    <w:p>
      <w:r>
        <w:rPr>
          <w:rFonts w:ascii="Calibri" w:hAnsi="Calibri" w:eastAsia="Microsoft YaHei"/>
          <w:b w:val="0"/>
          <w:color w:val="222222"/>
          <w:sz w:val="22"/>
        </w:rPr>
        <w:t xml:space="preserve">为了让这个变化更直观，我们补充了同一张测试显微图 </w:t>
      </w:r>
      <w:r>
        <w:rPr>
          <w:rFonts w:ascii="Consolas" w:hAnsi="Consolas" w:eastAsia="Consolas"/>
          <w:b w:val="0"/>
          <w:color w:val="222222"/>
          <w:sz w:val="21"/>
        </w:rPr>
        <w:t>V25_O_A$3D</w:t>
      </w:r>
      <w:r>
        <w:rPr>
          <w:rFonts w:ascii="Calibri" w:hAnsi="Calibri" w:eastAsia="Microsoft YaHei"/>
          <w:b w:val="0"/>
          <w:color w:val="222222"/>
          <w:sz w:val="22"/>
        </w:rPr>
        <w:t xml:space="preserve"> 的局部对比图。图中使用相同裁剪区域，分别展示 No overlap、Uniform overlap 和 Gaussian overlap 的预测高度局部以及绝对误差局部。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414677"/>
            <wp:docPr id="1" name="Picture 1" descr="Zoomed comparison of no overlap, uniform overlap, and Gaussian overlap stitching for sample V25_O_A." title="Stitching comparis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itching_comparison_p128_v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14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color w:val="555555"/>
          <w:sz w:val="18"/>
        </w:rPr>
        <w:t>图：同一测试样本 V25_O_A$3D 的拼接方式局部对比。</w:t>
      </w:r>
    </w:p>
    <w:p>
      <w:r>
        <w:rPr>
          <w:rFonts w:ascii="Calibri" w:hAnsi="Calibri" w:eastAsia="Microsoft YaHei"/>
          <w:b w:val="0"/>
          <w:color w:val="222222"/>
          <w:sz w:val="22"/>
        </w:rPr>
        <w:t>从图中可以看到，overlap 后预测和误差图中的硬边界会有所减弱；Gaussian overlap 的平均完整图误差最低，也是目前用于完整显微图预测的推荐拼接方式。</w:t>
      </w:r>
    </w:p>
    <w:p>
      <w:pPr>
        <w:pStyle w:val="Heading1"/>
        <w:keepNext/>
      </w:pPr>
      <w:r>
        <w:t>3. 代表性结果</w:t>
      </w:r>
    </w:p>
    <w:p>
      <w:r>
        <w:rPr>
          <w:rFonts w:ascii="Calibri" w:hAnsi="Calibri" w:eastAsia="Microsoft YaHei"/>
          <w:b w:val="0"/>
          <w:color w:val="222222"/>
          <w:sz w:val="22"/>
        </w:rPr>
        <w:t>展示的主结果图是：</w:t>
      </w:r>
    </w:p>
    <w:p>
      <w:pPr>
        <w:spacing w:before="80" w:after="160" w:line="252" w:lineRule="auto"/>
        <w:ind w:left="259" w:right="259"/>
        <w:shd w:fill="F4F6F9"/>
      </w:pPr>
      <w:r>
        <w:rPr>
          <w:rFonts w:ascii="Consolas" w:hAnsi="Consolas" w:eastAsia="Consolas"/>
          <w:b w:val="0"/>
          <w:color w:val="222222"/>
          <w:sz w:val="18"/>
        </w:rPr>
        <w:t>results/full_image_predictions/V25_O_A$3D_small_unet_p128_s64_gaussian/summary.png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1488266"/>
            <wp:docPr id="2" name="Picture 2" descr="Full-image prediction example showing input texture, true height, predicted height, and absolute error for sample V25_O_A." title="Full-image prediction summ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488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color w:val="555555"/>
          <w:sz w:val="18"/>
        </w:rPr>
        <w:t>图：V25_O_A$3D 完整显微图预测结果。</w:t>
      </w:r>
    </w:p>
    <w:p>
      <w:r>
        <w:rPr>
          <w:rFonts w:ascii="Calibri" w:hAnsi="Calibri" w:eastAsia="Microsoft YaHei"/>
          <w:b w:val="0"/>
          <w:color w:val="222222"/>
          <w:sz w:val="22"/>
        </w:rPr>
        <w:t>这张图包含四个部分：</w:t>
      </w:r>
    </w:p>
    <w:p>
      <w:pPr>
        <w:pStyle w:val="ListNumber"/>
      </w:pPr>
      <w:r>
        <w:rPr>
          <w:rFonts w:ascii="Calibri" w:hAnsi="Calibri" w:eastAsia="Microsoft YaHei"/>
          <w:b w:val="0"/>
          <w:color w:val="222222"/>
          <w:sz w:val="22"/>
        </w:rPr>
        <w:t>Input texture</w:t>
      </w:r>
    </w:p>
    <w:p>
      <w:pPr>
        <w:pStyle w:val="ListNumber"/>
      </w:pPr>
      <w:r>
        <w:rPr>
          <w:rFonts w:ascii="Calibri" w:hAnsi="Calibri" w:eastAsia="Microsoft YaHei"/>
          <w:b w:val="0"/>
          <w:color w:val="222222"/>
          <w:sz w:val="22"/>
        </w:rPr>
        <w:t>True height</w:t>
      </w:r>
    </w:p>
    <w:p>
      <w:pPr>
        <w:pStyle w:val="ListNumber"/>
      </w:pPr>
      <w:r>
        <w:rPr>
          <w:rFonts w:ascii="Calibri" w:hAnsi="Calibri" w:eastAsia="Microsoft YaHei"/>
          <w:b w:val="0"/>
          <w:color w:val="222222"/>
          <w:sz w:val="22"/>
        </w:rPr>
        <w:t>Predicted height</w:t>
      </w:r>
    </w:p>
    <w:p>
      <w:pPr>
        <w:pStyle w:val="ListNumber"/>
      </w:pPr>
      <w:r>
        <w:rPr>
          <w:rFonts w:ascii="Calibri" w:hAnsi="Calibri" w:eastAsia="Microsoft YaHei"/>
          <w:b w:val="0"/>
          <w:color w:val="222222"/>
          <w:sz w:val="22"/>
        </w:rPr>
        <w:t>Absolute error</w:t>
      </w:r>
    </w:p>
    <w:p>
      <w:r>
        <w:rPr>
          <w:rFonts w:ascii="Calibri" w:hAnsi="Calibri" w:eastAsia="Microsoft YaHei"/>
          <w:b w:val="0"/>
          <w:color w:val="222222"/>
          <w:sz w:val="22"/>
        </w:rPr>
        <w:t>从图中可以看出，模型已经能预测出主要的高度趋势，但预测结果仍然比真实高度图更平滑。误差主要出现在局部颗粒、孔洞和高度变化比较剧烈的区域。</w:t>
      </w:r>
    </w:p>
    <w:p>
      <w:pPr>
        <w:pStyle w:val="Heading2"/>
        <w:keepNext/>
      </w:pPr>
      <w:r>
        <w:t>3.1 不同测试样本的完整图预测示例</w:t>
      </w:r>
    </w:p>
    <w:p>
      <w:r>
        <w:rPr>
          <w:rFonts w:ascii="Calibri" w:hAnsi="Calibri" w:eastAsia="Microsoft YaHei"/>
          <w:b w:val="0"/>
          <w:color w:val="222222"/>
          <w:sz w:val="22"/>
        </w:rPr>
        <w:t>为了进一步展示模型在未参与训练的显微图上的表现，下面补充两个来自不同 test 分组的完整图预测示例，与上面的 V25_O_A$3D 主结果形成对照。每张图从左到右依次为输入纹理、真实高度、预测高度和绝对误差。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1488266"/>
            <wp:docPr id="3" name="Picture 3" descr="V26_U_I 完整图预测" title="V26_U_I 完整图预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488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color w:val="555555"/>
          <w:sz w:val="18"/>
        </w:rPr>
        <w:t>图：V26_U_I 完整图预测。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1488266"/>
            <wp:docPr id="4" name="Picture 4" descr="V29_U_M 完整图预测" title="V29_U_M 完整图预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488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color w:val="555555"/>
          <w:sz w:val="18"/>
        </w:rPr>
        <w:t>图：V29_U_M 完整图预测。</w:t>
      </w:r>
    </w:p>
    <w:p>
      <w:r>
        <w:rPr>
          <w:rFonts w:ascii="Calibri" w:hAnsi="Calibri" w:eastAsia="Microsoft YaHei"/>
          <w:b w:val="0"/>
          <w:color w:val="222222"/>
          <w:sz w:val="22"/>
        </w:rPr>
        <w:t>这些示例共同表明，模型在不同测试样本上都能恢复整体表面结构，但预测普遍存在一定程度的平滑化。绝对误差较大的区域通常对应细颗粒、孔洞、边缘或高度梯度较大的位置。</w:t>
      </w:r>
    </w:p>
    <w:p>
      <w:pPr>
        <w:pStyle w:val="Heading1"/>
        <w:keepNext/>
      </w:pPr>
      <w:r>
        <w:t>4. 与期中相比的主要改进</w:t>
      </w:r>
    </w:p>
    <w:p>
      <w:r>
        <w:rPr>
          <w:rFonts w:ascii="Calibri" w:hAnsi="Calibri" w:eastAsia="Microsoft YaHei"/>
          <w:b w:val="0"/>
          <w:color w:val="222222"/>
          <w:sz w:val="22"/>
        </w:rPr>
        <w:t>整体上，现在更接近“完成了一轮较完整的实验验证”。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880"/>
        <w:gridCol w:w="3240"/>
        <w:gridCol w:w="3240"/>
      </w:tblGrid>
      <w:tr>
        <w:trPr>
          <w:tblHeader w:val="true"/>
        </w:trPr>
        <w:tc>
          <w:tcPr>
            <w:tcW w:type="dxa" w:w="288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方面</w:t>
            </w:r>
          </w:p>
        </w:tc>
        <w:tc>
          <w:tcPr>
            <w:tcW w:type="dxa" w:w="324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期中阶段</w:t>
            </w:r>
          </w:p>
        </w:tc>
        <w:tc>
          <w:tcPr>
            <w:tcW w:type="dxa" w:w="324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现在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实验完整性</w:t>
            </w:r>
          </w:p>
        </w:tc>
        <w:tc>
          <w:tcPr>
            <w:tcW w:type="dxa" w:w="324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基础模型和单次示例为主</w:t>
            </w:r>
          </w:p>
        </w:tc>
        <w:tc>
          <w:tcPr>
            <w:tcW w:type="dxa" w:w="324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已完成数据处理、训练、评估、完整图预测和可视化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数据划分</w:t>
            </w:r>
          </w:p>
        </w:tc>
        <w:tc>
          <w:tcPr>
            <w:tcW w:type="dxa" w:w="324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没有清楚展示 train / validation / test</w:t>
            </w:r>
          </w:p>
        </w:tc>
        <w:tc>
          <w:tcPr>
            <w:tcW w:type="dxa" w:w="324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已按完整显微图划分 120 / 24 / 30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评估方式</w:t>
            </w:r>
          </w:p>
        </w:tc>
        <w:tc>
          <w:tcPr>
            <w:tcW w:type="dxa" w:w="324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有单图预测示例和 patch-level MAE / MSE / RMSE</w:t>
            </w:r>
          </w:p>
        </w:tc>
        <w:tc>
          <w:tcPr>
            <w:tcW w:type="dxa" w:w="324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有 patch-level 和 full-image-level 平均误差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模型数量</w:t>
            </w:r>
          </w:p>
        </w:tc>
        <w:tc>
          <w:tcPr>
            <w:tcW w:type="dxa" w:w="324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主要是一个 U-Net 流程</w:t>
            </w:r>
          </w:p>
        </w:tc>
        <w:tc>
          <w:tcPr>
            <w:tcW w:type="dxa" w:w="324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已比较 SimpleCNN、Small U-Net、TransUNet-lite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分辨率设置</w:t>
            </w:r>
          </w:p>
        </w:tc>
        <w:tc>
          <w:tcPr>
            <w:tcW w:type="dxa" w:w="324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单一 patch size</w:t>
            </w:r>
          </w:p>
        </w:tc>
        <w:tc>
          <w:tcPr>
            <w:tcW w:type="dxa" w:w="324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已比较 64、128、256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完整图预测</w:t>
            </w:r>
          </w:p>
        </w:tc>
        <w:tc>
          <w:tcPr>
            <w:tcW w:type="dxa" w:w="324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还没有形成完整流程</w:t>
            </w:r>
          </w:p>
        </w:tc>
        <w:tc>
          <w:tcPr>
            <w:tcW w:type="dxa" w:w="324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已完成先切片、再预测、再拼接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拼接效果</w:t>
            </w:r>
          </w:p>
        </w:tc>
        <w:tc>
          <w:tcPr>
            <w:tcW w:type="dxa" w:w="324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块状感没有系统处理</w:t>
            </w:r>
          </w:p>
        </w:tc>
        <w:tc>
          <w:tcPr>
            <w:tcW w:type="dxa" w:w="3240"/>
            <w:vAlign w:val="center"/>
            <w:tcBorders>
              <w:top w:val="single" w:sz="6" w:space="0" w:color="B7C4D1"/>
              <w:left w:val="single" w:sz="6" w:space="0" w:color="B7C4D1"/>
              <w:bottom w:val="single" w:sz="6" w:space="0" w:color="B7C4D1"/>
              <w:right w:val="single" w:sz="6" w:space="0" w:color="B7C4D1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已测试 overlap 和 Gaussian kernel</w:t>
            </w:r>
          </w:p>
        </w:tc>
      </w:tr>
    </w:tbl>
    <w:p/>
    <w:p>
      <w:pPr>
        <w:pStyle w:val="Heading1"/>
        <w:keepNext/>
      </w:pPr>
      <w:r>
        <w:t>5. 当前可以得出的结论</w:t>
      </w:r>
    </w:p>
    <w:p>
      <w:r>
        <w:rPr>
          <w:rFonts w:ascii="Calibri" w:hAnsi="Calibri" w:eastAsia="Microsoft YaHei"/>
          <w:b w:val="0"/>
          <w:color w:val="222222"/>
          <w:sz w:val="22"/>
        </w:rPr>
        <w:t>目前最可靠的结论是：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当前项目已经进入完整实验结果整理阶段，不再只是初步 demo。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Small U-Net 是目前最稳定、综合效果最好的模型。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128x128 patch 是目前最合适的分辨率设置。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对完整显微图片进行 sliding-window prediction 是可行的。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Gaussian overlap 能在一定程度上降低 patch 拼接造成的块状感。</w:t>
      </w:r>
    </w:p>
    <w:p>
      <w:pPr>
        <w:pStyle w:val="Heading1"/>
        <w:keepNext/>
      </w:pPr>
      <w:r>
        <w:t>6. 现在还没有完全解决的问题</w:t>
      </w:r>
    </w:p>
    <w:p>
      <w:r>
        <w:rPr>
          <w:rFonts w:ascii="Calibri" w:hAnsi="Calibri" w:eastAsia="Microsoft YaHei"/>
          <w:b w:val="0"/>
          <w:color w:val="222222"/>
          <w:sz w:val="22"/>
        </w:rPr>
        <w:t>虽然现在流程已经比较完整，但还不是最终版本。主要还可以继续改进：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预测结果仍然偏平滑，对细小颗粒和高度突变区域不够精细。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目前主要使用 normalized error，如果要解释成实际物理误差，还需要进一步确认 Alicona 高度单位和缩放关系。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TransUNet-lite 只是轻量化尝试，还不是完整论文版本的 TransUNet。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Gaussian overlap 已经改善拼接效果，但还可以继续测试更大的 overlap、不同 Gaussian kernel 和后处理滤波。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后续最终报告中还需要把实验流程、模型结构、结果图和失败/不足分析写得更完整。</w:t>
      </w:r>
    </w:p>
    <w:p>
      <w:pPr>
        <w:pStyle w:val="Heading1"/>
        <w:keepNext/>
      </w:pPr>
      <w:r>
        <w:t>7. 概括</w:t>
      </w:r>
    </w:p>
    <w:p>
      <w:r>
        <w:rPr>
          <w:rFonts w:ascii="Calibri" w:hAnsi="Calibri" w:eastAsia="Microsoft YaHei"/>
          <w:b w:val="0"/>
          <w:color w:val="222222"/>
          <w:sz w:val="22"/>
        </w:rPr>
        <w:t>可以简单这样说：</w:t>
      </w:r>
    </w:p>
    <w:p>
      <w:pPr>
        <w:spacing w:before="80" w:after="200" w:line="276" w:lineRule="auto"/>
        <w:ind w:left="173" w:right="173"/>
        <w:shd w:fill="F4F6F9"/>
      </w:pPr>
      <w:r>
        <w:rPr>
          <w:rFonts w:ascii="Calibri" w:hAnsi="Calibri" w:eastAsia="Microsoft YaHei"/>
          <w:b w:val="0"/>
          <w:color w:val="222222"/>
          <w:sz w:val="21"/>
        </w:rPr>
        <w:t>期中之后，我们把项目从一个基础 U-Net 示例扩展成了完整实验流程。现在已经完成了 Alicona 数据读取修正、按完整显微图划分训练/验证/测试集、多个模型对比、不同 patch 分辨率实验，以及完整显微图片的 sliding-window 预测。当前最好结果是 Small U-Net 使用 128x128 patch，并在完整图预测时使用 stride 64 和 Gaussian overlap。这个设置在 30 张完整测试显微图上取得了平均 MAE_norm 0.08465、RMSE_norm 0.11176。相比期中，现在结果不再只依赖单张图展示，而是有完整测试集的平均误差和对应可视化结果。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666666"/>
        <w:sz w:val="18"/>
      </w:rPr>
      <w:t>PT Projekt | 项目当前阶段说明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项目当前阶段与期中后进展说明</dc:title>
  <dc:subject>PT Projekt current stage report</dc:subject>
  <dc:creator>PT Projekt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