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rFonts w:ascii="Hiragino Sans GB" w:hAnsi="Hiragino Sans GB" w:eastAsia="Hiragino Sans GB"/>
          <w:b/>
          <w:color w:val="2E74B5"/>
          <w:sz w:val="20"/>
        </w:rPr>
        <w:t>PERFORMANCE &amp; CAPACITY</w:t>
      </w:r>
    </w:p>
    <w:p>
      <w:pPr>
        <w:pStyle w:val="Title"/>
      </w:pPr>
      <w:r>
        <w:t>系统容量评估报告</w:t>
      </w:r>
    </w:p>
    <w:p>
      <w:pPr>
        <w:pStyle w:val="Subtitle"/>
      </w:pPr>
      <w:r>
        <w:t>未来 12 个月业务增长与基础设施容量测算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667681"/>
          <w:sz w:val="19"/>
        </w:rPr>
        <w:t>报告范围：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生产集群容量模型（模拟）    </w:t>
      </w:r>
      <w:r>
        <w:rPr>
          <w:rFonts w:ascii="Hiragino Sans GB" w:hAnsi="Hiragino Sans GB" w:eastAsia="Hiragino Sans GB"/>
          <w:b/>
          <w:color w:val="667681"/>
          <w:sz w:val="19"/>
        </w:rPr>
        <w:t>报告版本：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V1.0 · 测试样例    </w:t>
      </w:r>
      <w:r>
        <w:rPr>
          <w:rFonts w:ascii="Hiragino Sans GB" w:hAnsi="Hiragino Sans GB" w:eastAsia="Hiragino Sans GB"/>
          <w:b/>
          <w:color w:val="667681"/>
          <w:sz w:val="19"/>
        </w:rPr>
        <w:t>生成日期：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2026-08-04    </w:t>
      </w:r>
      <w:r>
        <w:rPr>
          <w:rFonts w:ascii="Hiragino Sans GB" w:hAnsi="Hiragino Sans GB" w:eastAsia="Hiragino Sans GB"/>
          <w:b/>
          <w:color w:val="667681"/>
          <w:sz w:val="19"/>
        </w:rPr>
        <w:t>数据说明：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模拟数据，仅用于功能、性能与容量测试   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当前容量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安全容量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耗尽月份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建议扩容</w:t>
            </w:r>
          </w:p>
        </w:tc>
      </w:tr>
      <w:tr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5.6M req/day</w:t>
              <w:br/>
            </w:r>
            <w:r>
              <w:rPr>
                <w:rFonts w:ascii="Hiragino Sans GB" w:hAnsi="Hiragino Sans GB" w:eastAsia="Hiragino Sans GB"/>
                <w:b w:val="0"/>
                <w:color w:val="667681"/>
                <w:sz w:val="17"/>
              </w:rPr>
              <w:t>基线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7.4M req/day</w:t>
              <w:br/>
            </w:r>
            <w:r>
              <w:rPr>
                <w:rFonts w:ascii="Hiragino Sans GB" w:hAnsi="Hiragino Sans GB" w:eastAsia="Hiragino Sans GB"/>
                <w:b w:val="0"/>
                <w:color w:val="2D7D46"/>
                <w:sz w:val="17"/>
              </w:rPr>
              <w:t>余量 32%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第 8 月</w:t>
              <w:br/>
            </w:r>
            <w:r>
              <w:rPr>
                <w:rFonts w:ascii="Hiragino Sans GB" w:hAnsi="Hiragino Sans GB" w:eastAsia="Hiragino Sans GB"/>
                <w:b w:val="0"/>
                <w:color w:val="667681"/>
                <w:sz w:val="17"/>
              </w:rPr>
              <w:t>预测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+2 节点</w:t>
              <w:br/>
            </w:r>
            <w:r>
              <w:rPr>
                <w:rFonts w:ascii="Hiragino Sans GB" w:hAnsi="Hiragino Sans GB" w:eastAsia="Hiragino Sans GB"/>
                <w:b w:val="0"/>
                <w:color w:val="667681"/>
                <w:sz w:val="17"/>
              </w:rPr>
              <w:t>第 6 月</w:t>
            </w:r>
          </w:p>
        </w:tc>
      </w:tr>
    </w:tbl>
    <w:p>
      <w:pPr>
        <w:pStyle w:val="Heading1"/>
      </w:pPr>
      <w:r>
        <w:t>执行摘要</w:t>
      </w:r>
    </w:p>
    <w:p>
      <w:pPr>
        <w:spacing w:after="200"/>
      </w:pPr>
      <w:r>
        <w:rPr>
          <w:rFonts w:ascii="Hiragino Sans GB" w:hAnsi="Hiragino Sans GB" w:eastAsia="Hiragino Sans GB"/>
          <w:b w:val="0"/>
          <w:color w:val="24323D"/>
          <w:sz w:val="22"/>
        </w:rPr>
        <w:t>按月活跃用户增长 8%、峰值系数 2.4 测算，现有 6 节点集群可支撑至第 8 个月。若保持 30% 安全余量，应在第 6 个月前扩容 2 个应用节点，并同步提升缓存容量。</w:t>
      </w:r>
    </w:p>
    <w:p>
      <w:pPr>
        <w:pStyle w:val="IntenseQuote"/>
      </w:pPr>
      <w:r>
        <w:t>结论：当前结果可作为系统测试基线；正式决策前需使用生产等价环境复测。</w:t>
      </w:r>
    </w:p>
    <w:p>
      <w:pPr>
        <w:pStyle w:val="Heading1"/>
      </w:pPr>
      <w:r>
        <w:t>1. 测试目标与方法</w:t>
      </w:r>
    </w:p>
    <w:p>
      <w:r>
        <w:t>本报告用于验证系统在不同业务负载下的吞吐能力、响应时延、资源消耗和恢复能力，并形成可重复的容量判断依据。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测试环境：3 个应用节点、1 个主数据库、3 节点缓存集群。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流量模型：读写比 7:3，包含登录、查询、提交与批量任务。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判定口径：P95 &lt; 300 ms、错误率 &lt; 0.5%、CPU 稳态 &lt; 70%。</w:t>
      </w:r>
    </w:p>
    <w:p>
      <w:pPr>
        <w:pStyle w:val="Heading2"/>
      </w:pPr>
      <w:r>
        <w:t>测试限制</w:t>
      </w:r>
    </w:p>
    <w:p>
      <w:r>
        <w:t>样例报告中的业务量、资源配置与预算均为合成数据，主要用于验证 DOCX 上传、预览、检索、分页、图表渲染和容量处理能力。</w:t>
      </w:r>
    </w:p>
    <w:p>
      <w:r>
        <w:br w:type="page"/>
      </w:r>
    </w:p>
    <w:p>
      <w:pPr>
        <w:pStyle w:val="Heading1"/>
      </w:pPr>
      <w:r>
        <w:t>2. 核心测试结果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系统容量评估报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8"/>
        </w:rPr>
        <w:t>图 1  需求预测与安全容量边界</w:t>
      </w:r>
    </w:p>
    <w:p>
      <w:pPr>
        <w:pStyle w:val="Heading2"/>
      </w:pPr>
      <w:r>
        <w:t>测试数据明细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资源层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当前配置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当前利用率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安全上限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剩余余量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应用节点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6 × 8C16G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62%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70%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11%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第 6 月扩容</w:t>
            </w:r>
          </w:p>
        </w:tc>
      </w:tr>
      <w:tr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数据库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16C64G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55%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75%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27%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观察慢查询</w:t>
            </w:r>
          </w:p>
        </w:tc>
      </w:tr>
      <w:tr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Redis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3 × 16G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68%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75%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9%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优先扩容</w:t>
            </w:r>
          </w:p>
        </w:tc>
      </w:tr>
      <w:tr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消息队列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3 节点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43%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70%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39%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暂不调整</w:t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8"/>
        </w:rPr>
        <w:t>表 1  关键场景与容量指标（模拟数据）</w:t>
      </w:r>
    </w:p>
    <w:p>
      <w:pPr>
        <w:pStyle w:val="Heading1"/>
      </w:pPr>
      <w:r>
        <w:t>3. 主要发现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容量模型采用 30% 安全余量，避免只按平均负载规划。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Redis 内存余量最小，是最早需要处理的资源层。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扩容后应重复峰值压测，校准线性扩展假设。</w:t>
      </w:r>
    </w:p>
    <w:p>
      <w:pPr>
        <w:pStyle w:val="Heading2"/>
      </w:pPr>
      <w:r>
        <w:t>风险分级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处理时限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高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错误率 ≥ 1% 或服务不可用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立即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未触发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中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超标或余量 &lt; 20%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5 个工作日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需跟踪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低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指标轻微漂移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下个迭代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观察</w:t>
            </w:r>
          </w:p>
        </w:tc>
      </w:tr>
    </w:tbl>
    <w:p>
      <w:pPr>
        <w:pStyle w:val="Heading1"/>
      </w:pPr>
      <w:r>
        <w:t>4. 建议与行动计划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行动项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目标日期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验收指标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P0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复核关键压测脚本与流量模型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性能负责人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T+3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脚本覆盖率 100%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P1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优化应用热点与缓存策略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研发团队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T+14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降低 15%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P1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补充长稳与故障注入测试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SRE 团队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T+21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连续运行 24h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P2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建立月度容量复盘机制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架构组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每月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余量 ≥ 30%</w:t>
            </w:r>
          </w:p>
        </w:tc>
      </w:tr>
    </w:tbl>
    <w:p>
      <w:pPr>
        <w:pStyle w:val="Heading2"/>
      </w:pPr>
      <w:r>
        <w:t>验收清单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使用相同数据集和压测脚本完成复测。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导出监控快照、错误样本与资源利用率明细。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确认容量阈值、告警策略和回滚路径。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由研发、测试、SRE 三方共同签署结论。</w:t>
      </w:r>
    </w:p>
    <w:p>
      <w:pPr>
        <w:pStyle w:val="Heading1"/>
      </w:pPr>
      <w:r>
        <w:t>附录：指标定义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TPS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每秒成功完成的业务事务数。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95% 请求的响应时间不超过该值。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错误率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失败请求数占总请求数的比例。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安全余量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安全容量与预测峰值需求之间的可用空间。</w:t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7"/>
        </w:rPr>
        <w:t>文档结束 · 本文档为自动生成的测试样例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color w:val="667681"/>
        <w:sz w:val="17"/>
      </w:rPr>
      <w:t xml:space="preserve">内部测试样例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color w:val="667681"/>
        <w:sz w:val="17"/>
      </w:rPr>
      <w:t>性能与容量测试中心  |  系统容量评估报告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55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432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66768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