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</w:pPr>
      <w:r>
        <w:rPr>
          <w:rFonts w:ascii="Hiragino Sans GB" w:hAnsi="Hiragino Sans GB" w:eastAsia="Hiragino Sans GB"/>
          <w:b/>
          <w:color w:val="2E74B5"/>
          <w:sz w:val="20"/>
        </w:rPr>
        <w:t>PERFORMANCE &amp; CAPACITY</w:t>
      </w:r>
    </w:p>
    <w:p>
      <w:pPr>
        <w:pStyle w:val="Title"/>
      </w:pPr>
      <w:r>
        <w:t>压力与稳定性测试报告</w:t>
      </w:r>
    </w:p>
    <w:p>
      <w:pPr>
        <w:pStyle w:val="Subtitle"/>
      </w:pPr>
      <w:r>
        <w:t>8 小时稳态负载、突发流量与故障恢复验证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667681"/>
          <w:sz w:val="19"/>
        </w:rPr>
        <w:t>报告范围：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核心交易链路与依赖服务    </w:t>
      </w:r>
      <w:r>
        <w:rPr>
          <w:rFonts w:ascii="Hiragino Sans GB" w:hAnsi="Hiragino Sans GB" w:eastAsia="Hiragino Sans GB"/>
          <w:b/>
          <w:color w:val="667681"/>
          <w:sz w:val="19"/>
        </w:rPr>
        <w:t>报告版本：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V1.0 · 测试样例    </w:t>
      </w:r>
      <w:r>
        <w:rPr>
          <w:rFonts w:ascii="Hiragino Sans GB" w:hAnsi="Hiragino Sans GB" w:eastAsia="Hiragino Sans GB"/>
          <w:b/>
          <w:color w:val="667681"/>
          <w:sz w:val="19"/>
        </w:rPr>
        <w:t>生成日期：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2026-08-04    </w:t>
      </w:r>
      <w:r>
        <w:rPr>
          <w:rFonts w:ascii="Hiragino Sans GB" w:hAnsi="Hiragino Sans GB" w:eastAsia="Hiragino Sans GB"/>
          <w:b/>
          <w:color w:val="667681"/>
          <w:sz w:val="19"/>
        </w:rPr>
        <w:t>数据说明：</w:t>
      </w:r>
      <w:r>
        <w:rPr>
          <w:rFonts w:ascii="Hiragino Sans GB" w:hAnsi="Hiragino Sans GB" w:eastAsia="Hiragino Sans GB"/>
          <w:b w:val="0"/>
          <w:color w:val="24323D"/>
          <w:sz w:val="19"/>
        </w:rPr>
        <w:t xml:space="preserve">模拟数据，仅用于功能、性能与容量测试    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测试时长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累计请求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可用性</w:t>
            </w:r>
          </w:p>
        </w:tc>
        <w:tc>
          <w:tcPr>
            <w:tcW w:type="dxa" w:w="2340"/>
            <w:shd w:fill="24557A"/>
            <w:tcMar>
              <w:top w:w="100" w:type="dxa"/>
              <w:start w:w="100" w:type="dxa"/>
              <w:bottom w:w="7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恢复时间</w:t>
            </w:r>
          </w:p>
        </w:tc>
      </w:tr>
      <w:tr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8 h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连续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27.4M</w:t>
              <w:br/>
            </w:r>
            <w:r>
              <w:rPr>
                <w:rFonts w:ascii="Hiragino Sans GB" w:hAnsi="Hiragino Sans GB" w:eastAsia="Hiragino Sans GB"/>
                <w:b w:val="0"/>
                <w:color w:val="667681"/>
                <w:sz w:val="17"/>
              </w:rPr>
              <w:t>模拟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99.97%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达标</w:t>
            </w:r>
          </w:p>
        </w:tc>
        <w:tc>
          <w:tcPr>
            <w:tcW w:type="dxa" w:w="2340"/>
            <w:shd w:fill="F4F7FA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24557A"/>
                <w:sz w:val="30"/>
              </w:rPr>
              <w:t>96 s</w:t>
              <w:br/>
            </w:r>
            <w:r>
              <w:rPr>
                <w:rFonts w:ascii="Hiragino Sans GB" w:hAnsi="Hiragino Sans GB" w:eastAsia="Hiragino Sans GB"/>
                <w:b w:val="0"/>
                <w:color w:val="2D7D46"/>
                <w:sz w:val="17"/>
              </w:rPr>
              <w:t>达标</w:t>
            </w:r>
          </w:p>
        </w:tc>
      </w:tr>
    </w:tbl>
    <w:p>
      <w:pPr>
        <w:pStyle w:val="Heading1"/>
      </w:pPr>
      <w:r>
        <w:t>执行摘要</w:t>
      </w:r>
    </w:p>
    <w:p>
      <w:pPr>
        <w:spacing w:after="200"/>
      </w:pPr>
      <w:r>
        <w:rPr>
          <w:rFonts w:ascii="Hiragino Sans GB" w:hAnsi="Hiragino Sans GB" w:eastAsia="Hiragino Sans GB"/>
          <w:b w:val="0"/>
          <w:color w:val="24323D"/>
          <w:sz w:val="22"/>
        </w:rPr>
        <w:t>8 小时稳定性测试期间累计处理 27.4M 请求，无服务中断。内存由 58% 缓慢上升至 67%，Full GC 次数可控；突发流量阶段出现短时限流，但系统在 96 秒内恢复。</w:t>
      </w:r>
    </w:p>
    <w:p>
      <w:pPr>
        <w:pStyle w:val="IntenseQuote"/>
      </w:pPr>
      <w:r>
        <w:t>结论：当前结果可作为系统测试基线；正式决策前需使用生产等价环境复测。</w:t>
      </w:r>
    </w:p>
    <w:p>
      <w:pPr>
        <w:pStyle w:val="Heading1"/>
      </w:pPr>
      <w:r>
        <w:t>1. 测试目标与方法</w:t>
      </w:r>
    </w:p>
    <w:p>
      <w:r>
        <w:t>本报告用于验证系统在不同业务负载下的吞吐能力、响应时延、资源消耗和恢复能力，并形成可重复的容量判断依据。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测试环境：3 个应用节点、1 个主数据库、3 节点缓存集群。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流量模型：读写比 7:3，包含登录、查询、提交与批量任务。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判定口径：P95 &lt; 300 ms、错误率 &lt; 0.5%、CPU 稳态 &lt; 70%。</w:t>
      </w:r>
    </w:p>
    <w:p>
      <w:pPr>
        <w:pStyle w:val="Heading2"/>
      </w:pPr>
      <w:r>
        <w:t>测试限制</w:t>
      </w:r>
    </w:p>
    <w:p>
      <w:r>
        <w:t>样例报告中的业务量、资源配置与预算均为合成数据，主要用于验证 DOCX 上传、预览、检索、分页、图表渲染和容量处理能力。</w:t>
      </w:r>
    </w:p>
    <w:p>
      <w:r>
        <w:br w:type="page"/>
      </w:r>
    </w:p>
    <w:p>
      <w:pPr>
        <w:pStyle w:val="Heading1"/>
      </w:pPr>
      <w:r>
        <w:t>2. 核心测试结果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压力与稳定性测试报告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图 1  长稳测试资源利用率趋势</w:t>
      </w:r>
    </w:p>
    <w:p>
      <w:pPr>
        <w:pStyle w:val="Heading2"/>
      </w:pPr>
      <w:r>
        <w:t>测试数据明细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验证项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注入条件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业务影响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恢复时间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判定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持续负载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900 TPS / 8h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无中断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不适用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流量突增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30 秒内 +80%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0.6% 限流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96 秒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单节点下线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摘除 1 个应用节点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+42 ms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54 秒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通过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缓存抖动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命中率降至 72%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DB CPU +18%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128 秒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关注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8"/>
        </w:rPr>
        <w:t>表 1  关键场景与容量指标（模拟数据）</w:t>
      </w:r>
    </w:p>
    <w:p>
      <w:pPr>
        <w:pStyle w:val="Heading1"/>
      </w:pPr>
      <w:r>
        <w:t>3. 主要发现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稳态测试未发现明显吞吐衰减或线程池耗尽。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内存存在缓慢爬升，应继续执行 24 小时测试排除泄漏。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缓存命中率下降时数据库压力传导明显，需完善降级策略。</w:t>
      </w:r>
    </w:p>
    <w:p>
      <w:pPr>
        <w:pStyle w:val="Heading2"/>
      </w:pPr>
      <w:r>
        <w:t>风险分级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等级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触发条件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处理时限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当前状态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高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 ≥ 1% 或服务不可用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立即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未触发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中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超标或余量 &lt; 20%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5 个工作日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需跟踪</w:t>
            </w:r>
          </w:p>
        </w:tc>
      </w:tr>
      <w:tr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低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指标轻微漂移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下个迭代</w:t>
            </w:r>
          </w:p>
        </w:tc>
        <w:tc>
          <w:tcPr>
            <w:tcW w:type="dxa" w:w="23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观察</w:t>
            </w:r>
          </w:p>
        </w:tc>
      </w:tr>
    </w:tbl>
    <w:p>
      <w:pPr>
        <w:pStyle w:val="Heading1"/>
      </w:pPr>
      <w:r>
        <w:t>4. 建议与行动计划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优先级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行动项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目标日期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验收指标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P0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复核关键压测脚本与流量模型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性能负责人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T+3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脚本覆盖率 100%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优化应用热点与缓存策略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研发团队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T+14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 降低 15%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P1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补充长稳与故障注入测试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SRE 团队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T+21 天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连续运行 24h</w:t>
            </w:r>
          </w:p>
        </w:tc>
      </w:tr>
      <w:tr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P2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建立月度容量复盘机制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架构组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每月</w:t>
            </w:r>
          </w:p>
        </w:tc>
        <w:tc>
          <w:tcPr>
            <w:tcW w:type="dxa" w:w="187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余量 ≥ 30%</w:t>
            </w:r>
          </w:p>
        </w:tc>
      </w:tr>
    </w:tbl>
    <w:p>
      <w:pPr>
        <w:pStyle w:val="Heading2"/>
      </w:pPr>
      <w:r>
        <w:t>验收清单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使用相同数据集和压测脚本完成复测。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导出监控快照、错误样本与资源利用率明细。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确认容量阈值、告警策略和回滚路径。</w:t>
      </w:r>
    </w:p>
    <w:p>
      <w:pPr>
        <w:pStyle w:val="ListBullet"/>
        <w:spacing w:after="80"/>
        <w:ind w:left="720" w:hanging="360"/>
      </w:pPr>
      <w:r>
        <w:rPr>
          <w:rFonts w:ascii="Hiragino Sans GB" w:hAnsi="Hiragino Sans GB" w:eastAsia="Hiragino Sans GB"/>
          <w:b w:val="0"/>
          <w:color w:val="24323D"/>
          <w:sz w:val="21"/>
        </w:rPr>
        <w:t>☐ 由研发、测试、SRE 三方共同签署结论。</w:t>
      </w:r>
    </w:p>
    <w:p>
      <w:pPr>
        <w:pStyle w:val="Heading1"/>
      </w:pPr>
      <w:r>
        <w:t>附录：指标定义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24557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定义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TPS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每秒成功完成的业务事务数。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P95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95% 请求的响应时间不超过该值。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错误率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失败请求数占总请求数的比例。</w:t>
            </w:r>
          </w:p>
        </w:tc>
      </w:tr>
      <w:tr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left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安全余量</w:t>
            </w:r>
          </w:p>
        </w:tc>
        <w:tc>
          <w:tcPr>
            <w:tcW w:type="dxa" w:w="46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  <w:shd w:fill="F4F7FA"/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 w:val="0"/>
                <w:color w:val="24323D"/>
                <w:sz w:val="17"/>
              </w:rPr>
              <w:t>安全容量与预测峰值需求之间的可用空间。</w:t>
            </w:r>
          </w:p>
        </w:tc>
      </w:tr>
    </w:tbl>
    <w:p>
      <w:pPr>
        <w:jc w:val="center"/>
      </w:pPr>
      <w:r>
        <w:rPr>
          <w:rFonts w:ascii="Hiragino Sans GB" w:hAnsi="Hiragino Sans GB" w:eastAsia="Hiragino Sans GB"/>
          <w:b w:val="0"/>
          <w:color w:val="667681"/>
          <w:sz w:val="17"/>
        </w:rPr>
        <w:t>文档结束 · 本文档为自动生成的测试样例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b w:val="0"/>
        <w:color w:val="667681"/>
        <w:sz w:val="17"/>
      </w:rPr>
      <w:t xml:space="preserve">内部测试样例  ·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b w:val="0"/>
        <w:color w:val="667681"/>
        <w:sz w:val="17"/>
      </w:rPr>
      <w:t>性能与容量测试中心  |  压力与稳定性测试报告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Hiragino Sans GB" w:hAnsi="Hiragino Sans GB" w:eastAsia="Hiragino Sans GB"/>
      <w:color w:val="24323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455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24323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Hiragino Sans GB" w:hAnsi="Hiragino Sans GB" w:eastAsia="Hiragino Sans GB"/>
      <w:b w:val="0"/>
      <w:i/>
      <w:iCs/>
      <w:color w:val="66768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