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</w:pPr>
      <w:r>
        <w:rPr>
          <w:rFonts w:ascii="Hiragino Sans GB" w:hAnsi="Hiragino Sans GB" w:eastAsia="Hiragino Sans GB"/>
          <w:b/>
          <w:color w:val="2E74B5"/>
          <w:sz w:val="20"/>
        </w:rPr>
        <w:t>PERFORMANCE &amp; CAPACITY</w:t>
      </w:r>
    </w:p>
    <w:p>
      <w:pPr>
        <w:pStyle w:val="Title"/>
      </w:pPr>
      <w:r>
        <w:t>扩容方案与容量规划报告</w:t>
      </w:r>
    </w:p>
    <w:p>
      <w:pPr>
        <w:pStyle w:val="Subtitle"/>
      </w:pPr>
      <w:r>
        <w:t>分阶段扩容策略、预算估算与验收指标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667681"/>
          <w:sz w:val="19"/>
        </w:rPr>
        <w:t>报告范围：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应用、缓存、数据库与可观测性平台    </w:t>
      </w:r>
      <w:r>
        <w:rPr>
          <w:rFonts w:ascii="Hiragino Sans GB" w:hAnsi="Hiragino Sans GB" w:eastAsia="Hiragino Sans GB"/>
          <w:b/>
          <w:color w:val="667681"/>
          <w:sz w:val="19"/>
        </w:rPr>
        <w:t>报告版本：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V1.0 · 测试样例    </w:t>
      </w:r>
      <w:r>
        <w:rPr>
          <w:rFonts w:ascii="Hiragino Sans GB" w:hAnsi="Hiragino Sans GB" w:eastAsia="Hiragino Sans GB"/>
          <w:b/>
          <w:color w:val="667681"/>
          <w:sz w:val="19"/>
        </w:rPr>
        <w:t>生成日期：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2026-08-04    </w:t>
      </w:r>
      <w:r>
        <w:rPr>
          <w:rFonts w:ascii="Hiragino Sans GB" w:hAnsi="Hiragino Sans GB" w:eastAsia="Hiragino Sans GB"/>
          <w:b/>
          <w:color w:val="667681"/>
          <w:sz w:val="19"/>
        </w:rPr>
        <w:t>数据说明：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模拟数据，仅用于功能、性能与容量测试    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目标吞吐</w:t>
            </w:r>
          </w:p>
        </w:tc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安全余量</w:t>
            </w:r>
          </w:p>
        </w:tc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实施周期</w:t>
            </w:r>
          </w:p>
        </w:tc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预算估算</w:t>
            </w:r>
          </w:p>
        </w:tc>
      </w:tr>
      <w:tr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2,100 TPS</w:t>
              <w:br/>
            </w:r>
            <w:r>
              <w:rPr>
                <w:rFonts w:ascii="Hiragino Sans GB" w:hAnsi="Hiragino Sans GB" w:eastAsia="Hiragino Sans GB"/>
                <w:b w:val="0"/>
                <w:color w:val="2D7D46"/>
                <w:sz w:val="17"/>
              </w:rPr>
              <w:t>↑ 78%</w:t>
            </w:r>
          </w:p>
        </w:tc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≥35%</w:t>
              <w:br/>
            </w:r>
            <w:r>
              <w:rPr>
                <w:rFonts w:ascii="Hiragino Sans GB" w:hAnsi="Hiragino Sans GB" w:eastAsia="Hiragino Sans GB"/>
                <w:b w:val="0"/>
                <w:color w:val="667681"/>
                <w:sz w:val="17"/>
              </w:rPr>
              <w:t>目标</w:t>
            </w:r>
          </w:p>
        </w:tc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6 周</w:t>
              <w:br/>
            </w:r>
            <w:r>
              <w:rPr>
                <w:rFonts w:ascii="Hiragino Sans GB" w:hAnsi="Hiragino Sans GB" w:eastAsia="Hiragino Sans GB"/>
                <w:b w:val="0"/>
                <w:color w:val="667681"/>
                <w:sz w:val="17"/>
              </w:rPr>
              <w:t>两阶段</w:t>
            </w:r>
          </w:p>
        </w:tc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¥286k/年</w:t>
              <w:br/>
            </w:r>
            <w:r>
              <w:rPr>
                <w:rFonts w:ascii="Hiragino Sans GB" w:hAnsi="Hiragino Sans GB" w:eastAsia="Hiragino Sans GB"/>
                <w:b w:val="0"/>
                <w:color w:val="667681"/>
                <w:sz w:val="17"/>
              </w:rPr>
              <w:t>模拟</w:t>
            </w:r>
          </w:p>
        </w:tc>
      </w:tr>
    </w:tbl>
    <w:p>
      <w:pPr>
        <w:pStyle w:val="Heading1"/>
      </w:pPr>
      <w:r>
        <w:t>执行摘要</w:t>
      </w:r>
    </w:p>
    <w:p>
      <w:pPr>
        <w:spacing w:after="200"/>
      </w:pPr>
      <w:r>
        <w:rPr>
          <w:rFonts w:ascii="Hiragino Sans GB" w:hAnsi="Hiragino Sans GB" w:eastAsia="Hiragino Sans GB"/>
          <w:b w:val="0"/>
          <w:color w:val="24323D"/>
          <w:sz w:val="22"/>
        </w:rPr>
        <w:t>建议采用“两阶段扩容 + 自动伸缩”方案：近期增加 2 个应用节点并扩展 Redis，季度内完成数据库读写分离。方案预计将安全吞吐提升至 2,100 TPS，并维持不少于 35% 的峰值余量。</w:t>
      </w:r>
    </w:p>
    <w:p>
      <w:pPr>
        <w:pStyle w:val="IntenseQuote"/>
      </w:pPr>
      <w:r>
        <w:t>结论：当前结果可作为系统测试基线；正式决策前需使用生产等价环境复测。</w:t>
      </w:r>
    </w:p>
    <w:p>
      <w:pPr>
        <w:pStyle w:val="Heading1"/>
      </w:pPr>
      <w:r>
        <w:t>1. 测试目标与方法</w:t>
      </w:r>
    </w:p>
    <w:p>
      <w:r>
        <w:t>本报告用于验证系统在不同业务负载下的吞吐能力、响应时延、资源消耗和恢复能力，并形成可重复的容量判断依据。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测试环境：3 个应用节点、1 个主数据库、3 节点缓存集群。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流量模型：读写比 7:3，包含登录、查询、提交与批量任务。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判定口径：P95 &lt; 300 ms、错误率 &lt; 0.5%、CPU 稳态 &lt; 70%。</w:t>
      </w:r>
    </w:p>
    <w:p>
      <w:pPr>
        <w:pStyle w:val="Heading2"/>
      </w:pPr>
      <w:r>
        <w:t>测试限制</w:t>
      </w:r>
    </w:p>
    <w:p>
      <w:r>
        <w:t>样例报告中的业务量、资源配置与预算均为合成数据，主要用于验证 DOCX 上传、预览、检索、分页、图表渲染和容量处理能力。</w:t>
      </w:r>
    </w:p>
    <w:p>
      <w:r>
        <w:br w:type="page"/>
      </w:r>
    </w:p>
    <w:p>
      <w:pPr>
        <w:pStyle w:val="Heading1"/>
      </w:pPr>
      <w:r>
        <w:t>2. 核心测试结果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扩容方案与容量规划报告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b w:val="0"/>
          <w:color w:val="667681"/>
          <w:sz w:val="18"/>
        </w:rPr>
        <w:t>图 1  各阶段安全吞吐能力预测</w:t>
      </w:r>
    </w:p>
    <w:p>
      <w:pPr>
        <w:pStyle w:val="Heading2"/>
      </w:pPr>
      <w:r>
        <w:t>测试数据明细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时间窗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关键动作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能力目标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验收条件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风险</w:t>
            </w:r>
          </w:p>
        </w:tc>
      </w:tr>
      <w:tr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阶段一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第 1–2 周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应用 +2；Redis 扩容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1,560 TPS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 &lt; 300 ms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低</w:t>
            </w:r>
          </w:p>
        </w:tc>
      </w:tr>
      <w:tr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阶段二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第 3–6 周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读写分离；连接池优化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1,880 TPS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错误率 &lt; 0.2%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中</w:t>
            </w:r>
          </w:p>
        </w:tc>
      </w:tr>
      <w:tr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持续优化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第 7 周起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自动伸缩；容量告警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2,100 TPS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余量 ≥ 35%</w:t>
            </w:r>
          </w:p>
        </w:tc>
        <w:tc>
          <w:tcPr>
            <w:tcW w:type="dxa" w:w="1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中</w:t>
            </w:r>
          </w:p>
        </w:tc>
      </w:tr>
    </w:tbl>
    <w:p>
      <w:pPr>
        <w:jc w:val="center"/>
      </w:pPr>
      <w:r>
        <w:rPr>
          <w:rFonts w:ascii="Hiragino Sans GB" w:hAnsi="Hiragino Sans GB" w:eastAsia="Hiragino Sans GB"/>
          <w:b w:val="0"/>
          <w:color w:val="667681"/>
          <w:sz w:val="18"/>
        </w:rPr>
        <w:t>表 1  关键场景与容量指标（模拟数据）</w:t>
      </w:r>
    </w:p>
    <w:p>
      <w:pPr>
        <w:pStyle w:val="Heading1"/>
      </w:pPr>
      <w:r>
        <w:t>3. 主要发现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先扩展无状态应用和缓存，可快速释放近期容量风险。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数据库架构调整需灰度实施，并准备完整回滚方案。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每阶段必须以相同脚本复测，验收通过后再进入下一阶段。</w:t>
      </w:r>
    </w:p>
    <w:p>
      <w:pPr>
        <w:pStyle w:val="Heading2"/>
      </w:pPr>
      <w:r>
        <w:t>风险分级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处理时限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高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错误率 ≥ 1% 或服务不可用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立即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未触发</w:t>
            </w:r>
          </w:p>
        </w:tc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中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 超标或余量 &lt; 20%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5 个工作日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需跟踪</w:t>
            </w:r>
          </w:p>
        </w:tc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低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指标轻微漂移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下个迭代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观察</w:t>
            </w:r>
          </w:p>
        </w:tc>
      </w:tr>
    </w:tbl>
    <w:p>
      <w:pPr>
        <w:pStyle w:val="Heading1"/>
      </w:pPr>
      <w:r>
        <w:t>4. 建议与行动计划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行动项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目标日期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验收指标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P0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复核关键压测脚本与流量模型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性能负责人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T+3 天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脚本覆盖率 100%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P1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优化应用热点与缓存策略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研发团队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T+14 天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 降低 15%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P1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补充长稳与故障注入测试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SRE 团队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T+21 天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连续运行 24h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P2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建立月度容量复盘机制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架构组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每月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余量 ≥ 30%</w:t>
            </w:r>
          </w:p>
        </w:tc>
      </w:tr>
    </w:tbl>
    <w:p>
      <w:pPr>
        <w:pStyle w:val="Heading2"/>
      </w:pPr>
      <w:r>
        <w:t>验收清单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使用相同数据集和压测脚本完成复测。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导出监控快照、错误样本与资源利用率明细。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确认容量阈值、告警策略和回滚路径。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由研发、测试、SRE 三方共同签署结论。</w:t>
      </w:r>
    </w:p>
    <w:p>
      <w:pPr>
        <w:pStyle w:val="Heading1"/>
      </w:pPr>
      <w:r>
        <w:t>附录：指标定义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TPS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每秒成功完成的业务事务数。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95% 请求的响应时间不超过该值。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错误率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失败请求数占总请求数的比例。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安全余量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安全容量与预测峰值需求之间的可用空间。</w:t>
            </w:r>
          </w:p>
        </w:tc>
      </w:tr>
    </w:tbl>
    <w:p>
      <w:pPr>
        <w:jc w:val="center"/>
      </w:pPr>
      <w:r>
        <w:rPr>
          <w:rFonts w:ascii="Hiragino Sans GB" w:hAnsi="Hiragino Sans GB" w:eastAsia="Hiragino Sans GB"/>
          <w:b w:val="0"/>
          <w:color w:val="667681"/>
          <w:sz w:val="17"/>
        </w:rPr>
        <w:t>文档结束 · 本文档为自动生成的测试样例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color w:val="667681"/>
        <w:sz w:val="17"/>
      </w:rPr>
      <w:t xml:space="preserve">内部测试样例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color w:val="667681"/>
        <w:sz w:val="17"/>
      </w:rPr>
      <w:t>性能与容量测试中心  |  扩容方案与容量规划报告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 GB" w:hAnsi="Hiragino Sans GB" w:eastAsia="Hiragino Sans GB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455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432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66768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