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jc w:val="left"/>
      </w:pPr>
      <w:r>
        <w:rPr>
          <w:rFonts w:hint="eastAsia"/>
        </w:rPr>
        <w:t>申请人：同济大学</w:t>
      </w:r>
    </w:p>
    <w:p>
      <w:pPr>
        <w:snapToGrid w:val="0"/>
        <w:jc w:val="left"/>
      </w:pPr>
      <w:r>
        <w:rPr>
          <w:rFonts w:hint="eastAsia"/>
        </w:rPr>
        <w:t>发明人：黄凯锋</w:t>
      </w:r>
    </w:p>
    <w:p>
      <w:pPr>
        <w:snapToGrid w:val="0"/>
        <w:jc w:val="left"/>
      </w:pPr>
      <w:r>
        <w:rPr>
          <w:rFonts w:hint="eastAsia"/>
        </w:rPr>
        <w:t>第一发明人身份证号码：</w:t>
      </w:r>
      <w:r>
        <w:rPr>
          <w:rFonts w:hint="eastAsia"/>
          <w:szCs w:val="24"/>
        </w:rPr>
        <w:t>330282199401310038</w:t>
      </w:r>
    </w:p>
    <w:p>
      <w:pPr>
        <w:snapToGrid w:val="0"/>
      </w:pPr>
      <w:r>
        <w:rPr>
          <w:rFonts w:hint="eastAsia"/>
        </w:rPr>
        <w:t>联系电话：13122817619，邮箱：</w:t>
      </w:r>
      <w:r>
        <w:fldChar w:fldCharType="begin"/>
      </w:r>
      <w:r>
        <w:instrText xml:space="preserve">HYPERLINK "mailto:kaifengh@tongji.edu.cn"</w:instrText>
      </w:r>
      <w:r>
        <w:fldChar w:fldCharType="separate"/>
      </w:r>
      <w:r>
        <w:rPr>
          <w:rStyle w:val="18"/>
        </w:rPr>
        <w:t>kaifengh@</w:t>
      </w:r>
      <w:r>
        <w:rPr>
          <w:rStyle w:val="18"/>
          <w:rFonts w:hint="eastAsia"/>
        </w:rPr>
        <w:t>tongji</w:t>
      </w:r>
      <w:r>
        <w:rPr>
          <w:rStyle w:val="18"/>
        </w:rPr>
        <w:t>.edu.cn</w:t>
      </w:r>
      <w:r>
        <w:rPr>
          <w:rStyle w:val="18"/>
        </w:rPr>
        <w:fldChar w:fldCharType="end"/>
      </w:r>
    </w:p>
    <w:p>
      <w:pPr>
        <w:spacing w:before="60"/>
        <w:rPr>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申请文件是否要求提前公开：是</w:t>
      </w:r>
    </w:p>
    <w:p>
      <w:pPr>
        <w:snapToGrid w:val="0"/>
        <w:rPr>
          <w:bCs/>
          <w:szCs w:val="24"/>
        </w:rPr>
      </w:pPr>
    </w:p>
    <w:p>
      <w:pPr>
        <w:snapToGrid w:val="0"/>
        <w:jc w:val="center"/>
        <w:rPr>
          <w:b/>
          <w:sz w:val="32"/>
          <w:szCs w:val="32"/>
        </w:rPr>
      </w:pPr>
      <w:r>
        <w:rPr>
          <w:rFonts w:hint="eastAsia"/>
          <w:b/>
          <w:sz w:val="32"/>
          <w:szCs w:val="32"/>
        </w:rPr>
        <w:t>说明书摘要</w:t>
      </w:r>
    </w:p>
    <w:p>
      <w:pPr>
        <w:snapToGrid w:val="0"/>
        <w:ind w:firstLine="420"/>
        <w:jc w:val="left"/>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pP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本发明属于人工智能与软件工程技术领域，具体涉及一种基于代码语法约束词元过滤的代码成员推断方法</w:t>
      </w:r>
      <w:r>
        <w:rPr>
          <w:rFonts w:hint="eastAsia" w:cstheme="minorBidi"/>
          <w:color w:val="000000" w:themeColor="text1"/>
          <w:kern w:val="2"/>
          <w:sz w:val="24"/>
          <w:szCs w:val="22"/>
          <w:lang w:val="en-US" w:eastAsia="zh-CN" w:bidi="ar-SA"/>
          <w14:textFill>
            <w14:solidFill>
              <w14:schemeClr w14:val="tx1"/>
            </w14:solidFill>
          </w14:textFill>
        </w:rPr>
        <w:t>。</w:t>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br w:type="textWrapping"/>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ab/>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本发明方法针对现有成员推断攻击（Membership Inference Attack, MIA）将源代码视为普通文本、忽略编程语言语法结构的问题，提出一种语法裁剪的成员推断方法 SynPrue。该方法首先基于目标编程语言的官方语法规范，人工整理并构建语法约定集合，对源代码中的语法必然出现或高度确定的后继 token 进行识别；随后将待检测源代码输入被测大语言模型，获取逐 token 的输出概率，并将 token 进一步分解为子 token；再结合语法约定集合和抽象语法树（AST）对 token 进行语法约定匹配，将仅由语法规则决定、与作者个性无关的 token 从归因计算中剔除；最后在保留 token 上计算语法裁剪后的成员评分，并通过设定阈值判断该源代码是否属于预训练数据成员。</w:t>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br w:type="textWrapping"/>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ab/>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本发明方法能够更精确地保留体现代码作者意图和风格的 token，减少语法噪声对成员推断的干扰，在多种大语言模型和多种成员/非成员比例设置下显著提升成员推断性能，可用于开源代码版权合规审计、训练数据透明度评估等应用场景。</w:t>
      </w:r>
    </w:p>
    <w:p>
      <w:pPr>
        <w:snapToGrid w:val="0"/>
        <w:jc w:val="center"/>
        <w:rPr>
          <w:b/>
          <w:sz w:val="32"/>
          <w:szCs w:val="32"/>
        </w:rPr>
      </w:pPr>
    </w:p>
    <w:p>
      <w:pPr>
        <w:snapToGrid w:val="0"/>
        <w:jc w:val="center"/>
        <w:rPr>
          <w:rFonts w:hint="eastAsia" w:eastAsia="宋体"/>
          <w:b/>
          <w:sz w:val="32"/>
          <w:szCs w:val="32"/>
          <w:lang w:eastAsia="zh-CN"/>
        </w:rPr>
      </w:pPr>
      <w:r>
        <w:rPr>
          <w:rFonts w:hint="eastAsia"/>
          <w:b/>
          <w:sz w:val="32"/>
          <w:szCs w:val="32"/>
        </w:rPr>
        <w:t>摘要附图</w:t>
      </w:r>
    </w:p>
    <w:p>
      <w:pPr>
        <w:widowControl/>
        <w:jc w:val="center"/>
        <w:rPr>
          <w:rFonts w:hint="eastAsia" w:eastAsia="宋体"/>
          <w:b/>
          <w:sz w:val="32"/>
          <w:szCs w:val="32"/>
          <w:lang w:eastAsia="zh-CN"/>
        </w:rPr>
      </w:pPr>
      <w:r>
        <w:rPr>
          <w:rFonts w:hint="eastAsia" w:eastAsia="宋体"/>
          <w:b/>
          <w:sz w:val="32"/>
          <w:szCs w:val="32"/>
          <w:lang w:eastAsia="zh-CN"/>
        </w:rPr>
        <w:drawing>
          <wp:inline distT="0" distB="0" distL="114300" distR="114300">
            <wp:extent cx="2311400" cy="1965325"/>
            <wp:effectExtent l="0" t="0" r="9525" b="10160"/>
            <wp:docPr id="1" name="图片 1" descr="overview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overview_01(1)"/>
                    <pic:cNvPicPr>
                      <a:picLocks noChangeAspect="1"/>
                    </pic:cNvPicPr>
                  </pic:nvPicPr>
                  <pic:blipFill>
                    <a:blip r:embed="rId6"/>
                    <a:srcRect l="24841" t="14451" r="24676" b="12166"/>
                    <a:stretch>
                      <a:fillRect/>
                    </a:stretch>
                  </pic:blipFill>
                  <pic:spPr>
                    <a:xfrm>
                      <a:off x="0" y="0"/>
                      <a:ext cx="2311400" cy="1965325"/>
                    </a:xfrm>
                    <a:prstGeom prst="rect">
                      <a:avLst/>
                    </a:prstGeom>
                  </pic:spPr>
                </pic:pic>
              </a:graphicData>
            </a:graphic>
          </wp:inline>
        </w:drawing>
      </w:r>
    </w:p>
    <w:p>
      <w:pPr>
        <w:snapToGrid w:val="0"/>
        <w:jc w:val="center"/>
        <w:rPr>
          <w:b/>
          <w:sz w:val="32"/>
          <w:szCs w:val="32"/>
        </w:rPr>
      </w:pPr>
      <w:r>
        <w:rPr>
          <w:rFonts w:hint="eastAsia"/>
          <w:b/>
          <w:sz w:val="32"/>
          <w:szCs w:val="32"/>
        </w:rPr>
        <w:t>权利要求书</w:t>
      </w:r>
    </w:p>
    <w:p>
      <w:pPr>
        <w:ind w:firstLine="420"/>
      </w:pPr>
      <w:r>
        <w:t>1.</w:t>
      </w:r>
      <w:r>
        <w:rPr>
          <w:rFonts w:hint="eastAsia"/>
          <w:color w:val="000000"/>
        </w:rPr>
        <w:t xml:space="preserve"> </w:t>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一种基于代码语法约束词元过滤的代码成员推断方法</w:t>
      </w:r>
      <w:r>
        <w:rPr>
          <w:rFonts w:ascii="宋体" w:hAnsi="宋体" w:eastAsia="宋体" w:cs="宋体"/>
          <w:sz w:val="24"/>
          <w:szCs w:val="24"/>
        </w:rPr>
        <w:t>，其特征在于，包括如下步骤：</w:t>
      </w:r>
    </w:p>
    <w:p>
      <w:pPr>
        <w:ind w:firstLine="420"/>
        <w:rPr>
          <w:rFonts w:hint="eastAsia"/>
          <w:color w:val="000000" w:themeColor="text1"/>
          <w:szCs w:val="24"/>
          <w:lang w:eastAsia="zh-CN"/>
          <w14:textFill>
            <w14:solidFill>
              <w14:schemeClr w14:val="tx1"/>
            </w14:solidFill>
          </w14:textFill>
        </w:rPr>
      </w:pPr>
      <w:r>
        <w:rPr>
          <w:rFonts w:hint="eastAsia"/>
          <w:color w:val="000000" w:themeColor="text1"/>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1</w:t>
      </w:r>
      <w:r>
        <w:rPr>
          <w:rFonts w:hint="eastAsia"/>
          <w:color w:val="000000" w:themeColor="text1"/>
          <w:szCs w:val="24"/>
          <w14:textFill>
            <w14:solidFill>
              <w14:schemeClr w14:val="tx1"/>
            </w14:solidFill>
          </w14:textFill>
        </w:rPr>
        <w:t>）语法约定集合构建：基于目标编程语言的官方语法规范，人工阅读语法文档，对数据模型、表达式、简单语句以及复合语句等语法元素进行整理，得到若干条语法约定，每条语法约定以⟨前件条件、后继 token⟩的形式表示，形成语法约定集合</w:t>
      </w:r>
      <w:r>
        <w:rPr>
          <w:rFonts w:hint="eastAsia"/>
          <w:color w:val="000000" w:themeColor="text1"/>
          <w:szCs w:val="24"/>
          <w:lang w:eastAsia="zh-CN"/>
          <w14:textFill>
            <w14:solidFill>
              <w14:schemeClr w14:val="tx1"/>
            </w14:solidFill>
          </w14:textFill>
        </w:rPr>
        <w:t>。</w:t>
      </w:r>
    </w:p>
    <w:p>
      <w:pPr>
        <w:ind w:firstLine="420"/>
        <w:rPr>
          <w:rFonts w:hint="eastAsia"/>
          <w:color w:val="000000" w:themeColor="text1"/>
          <w:szCs w:val="24"/>
          <w:lang w:eastAsia="zh-CN"/>
          <w14:textFill>
            <w14:solidFill>
              <w14:schemeClr w14:val="tx1"/>
            </w14:solidFill>
          </w14:textFill>
        </w:rPr>
      </w:pPr>
      <w:r>
        <w:rPr>
          <w:rFonts w:hint="eastAsia"/>
          <w:color w:val="000000" w:themeColor="text1"/>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2</w:t>
      </w:r>
      <w:r>
        <w:rPr>
          <w:rFonts w:hint="eastAsia"/>
          <w:color w:val="000000" w:themeColor="text1"/>
          <w:szCs w:val="24"/>
          <w14:textFill>
            <w14:solidFill>
              <w14:schemeClr w14:val="tx1"/>
            </w14:solidFill>
          </w14:textFill>
        </w:rPr>
        <w:t>）源代码 token 及概率获取：将待检测的源代码样本输入被测的大语言模型，通过模型内置分词器获取 token 序列及其对应的输出概率，其中每一 token 对应其在给定上下文下的条件概率</w:t>
      </w:r>
      <w:r>
        <w:rPr>
          <w:rFonts w:hint="eastAsia"/>
          <w:color w:val="000000" w:themeColor="text1"/>
          <w:szCs w:val="24"/>
          <w:lang w:eastAsia="zh-CN"/>
          <w14:textFill>
            <w14:solidFill>
              <w14:schemeClr w14:val="tx1"/>
            </w14:solidFill>
          </w14:textFill>
        </w:rPr>
        <w:t>。</w:t>
      </w:r>
    </w:p>
    <w:p>
      <w:pPr>
        <w:ind w:firstLine="420"/>
        <w:rPr>
          <w:rFonts w:hint="eastAsia"/>
          <w:color w:val="000000" w:themeColor="text1"/>
          <w:szCs w:val="24"/>
          <w:lang w:eastAsia="zh-CN"/>
          <w14:textFill>
            <w14:solidFill>
              <w14:schemeClr w14:val="tx1"/>
            </w14:solidFill>
          </w14:textFill>
        </w:rPr>
      </w:pPr>
      <w:r>
        <w:rPr>
          <w:rFonts w:hint="eastAsia"/>
          <w:color w:val="000000" w:themeColor="text1"/>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3</w:t>
      </w:r>
      <w:r>
        <w:rPr>
          <w:rFonts w:hint="eastAsia"/>
          <w:color w:val="000000" w:themeColor="text1"/>
          <w:szCs w:val="24"/>
          <w14:textFill>
            <w14:solidFill>
              <w14:schemeClr w14:val="tx1"/>
            </w14:solidFill>
          </w14:textFill>
        </w:rPr>
        <w:t>）token 分解与语法匹配：对步骤（2）中得到的 token 序列进行子 token 分解，若单个 token 内部包含与语法约定中前件或</w:t>
      </w:r>
      <w:bookmarkStart w:id="1" w:name="_GoBack"/>
      <w:bookmarkEnd w:id="1"/>
      <w:r>
        <w:rPr>
          <w:rFonts w:hint="eastAsia"/>
          <w:color w:val="000000" w:themeColor="text1"/>
          <w:szCs w:val="24"/>
          <w14:textFill>
            <w14:solidFill>
              <w14:schemeClr w14:val="tx1"/>
            </w14:solidFill>
          </w14:textFill>
        </w:rPr>
        <w:t>后继 token 对应的子串，则将该 token 拆分为多个有序子 token；基于分解后的子 token 序列以及源代码的抽象语法树（AST），对每个子 token 进行遍历，判断该子 token 是否作为语法约定中的后继 token 出现，并结合 AST 节点位置验证其所在上下文是否满足语法约定的前件条件</w:t>
      </w:r>
      <w:r>
        <w:rPr>
          <w:rFonts w:hint="eastAsia"/>
          <w:color w:val="000000" w:themeColor="text1"/>
          <w:szCs w:val="24"/>
          <w:lang w:eastAsia="zh-CN"/>
          <w14:textFill>
            <w14:solidFill>
              <w14:schemeClr w14:val="tx1"/>
            </w14:solidFill>
          </w14:textFill>
        </w:rPr>
        <w:t>。</w:t>
      </w:r>
    </w:p>
    <w:p>
      <w:pPr>
        <w:ind w:firstLine="420"/>
        <w:rPr>
          <w:rFonts w:hint="eastAsia"/>
          <w:color w:val="000000" w:themeColor="text1"/>
          <w:szCs w:val="24"/>
          <w:lang w:eastAsia="zh-CN"/>
          <w14:textFill>
            <w14:solidFill>
              <w14:schemeClr w14:val="tx1"/>
            </w14:solidFill>
          </w14:textFill>
        </w:rPr>
      </w:pPr>
      <w:r>
        <w:rPr>
          <w:rFonts w:hint="eastAsia"/>
          <w:color w:val="000000" w:themeColor="text1"/>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4</w:t>
      </w:r>
      <w:r>
        <w:rPr>
          <w:rFonts w:hint="eastAsia"/>
          <w:color w:val="000000" w:themeColor="text1"/>
          <w:szCs w:val="24"/>
          <w14:textFill>
            <w14:solidFill>
              <w14:schemeClr w14:val="tx1"/>
            </w14:solidFill>
          </w14:textFill>
        </w:rPr>
        <w:t>）语法约定 token 剔除：若某一原始 token 的全部子 token 均被标记为满足语法约定，则将该原始 token 标记为“语法约定 token”，不参与成员评分计算；将剩余未被标记为语法约定 token 的 token 组成保留 token 集合</w:t>
      </w:r>
      <w:r>
        <w:rPr>
          <w:rFonts w:hint="eastAsia"/>
          <w:color w:val="000000" w:themeColor="text1"/>
          <w:szCs w:val="24"/>
          <w:lang w:eastAsia="zh-CN"/>
          <w14:textFill>
            <w14:solidFill>
              <w14:schemeClr w14:val="tx1"/>
            </w14:solidFill>
          </w14:textFill>
        </w:rPr>
        <w:t>。</w:t>
      </w:r>
    </w:p>
    <w:p>
      <w:pPr>
        <w:ind w:firstLine="420"/>
        <w:rPr>
          <w:rFonts w:hint="eastAsia"/>
          <w:color w:val="000000" w:themeColor="text1"/>
          <w:szCs w:val="24"/>
          <w14:textFill>
            <w14:solidFill>
              <w14:schemeClr w14:val="tx1"/>
            </w14:solidFill>
          </w14:textFill>
        </w:rPr>
      </w:pPr>
      <w:r>
        <w:rPr>
          <w:rFonts w:hint="eastAsia"/>
          <w:color w:val="000000" w:themeColor="text1"/>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5</w:t>
      </w:r>
      <w:r>
        <w:rPr>
          <w:rFonts w:hint="eastAsia"/>
          <w:color w:val="000000" w:themeColor="text1"/>
          <w:szCs w:val="24"/>
          <w14:textFill>
            <w14:solidFill>
              <w14:schemeClr w14:val="tx1"/>
            </w14:solidFill>
          </w14:textFill>
        </w:rPr>
        <w:t>）成员评分计算与判定：基于保留 token 集合中的 token 概率，计算语法裁剪的成员评分，所述成员评分为对保留 token 的负对数概率的平均值：</w:t>
      </w:r>
    </w:p>
    <w:p>
      <w:pPr>
        <w:ind w:firstLine="420"/>
        <w:rPr>
          <w:rFonts w:ascii="宋体" w:hAnsi="宋体" w:eastAsia="宋体" w:cs="宋体"/>
          <w:sz w:val="24"/>
          <w:szCs w:val="24"/>
        </w:rPr>
      </w:pPr>
      <m:oMathPara>
        <m:oMath>
          <m:r>
            <m:rPr>
              <m:sty m:val="p"/>
            </m:rPr>
            <w:rPr>
              <w:rFonts w:hint="default" w:ascii="Cambria Math" w:hAnsi="Cambria Math" w:cs="宋体"/>
              <w:sz w:val="24"/>
              <w:szCs w:val="24"/>
              <w:lang w:val="en-US" w:eastAsia="zh-CN"/>
            </w:rPr>
            <m:t>SSP(x)</m:t>
          </m:r>
          <m:r>
            <m:rPr>
              <m:sty m:val="p"/>
            </m:rPr>
            <w:rPr>
              <w:rFonts w:ascii="Cambria Math" w:hAnsi="Cambria Math" w:cs="宋体"/>
              <w:sz w:val="24"/>
              <w:szCs w:val="24"/>
            </w:rPr>
            <m:t>=</m:t>
          </m:r>
          <m:f>
            <m:fPr>
              <m:ctrlPr>
                <w:rPr>
                  <w:rFonts w:ascii="Cambria Math" w:hAnsi="宋体" w:eastAsia="宋体" w:cs="宋体"/>
                  <w:sz w:val="24"/>
                  <w:szCs w:val="24"/>
                </w:rPr>
              </m:ctrlPr>
            </m:fPr>
            <m:num>
              <m:r>
                <m:rPr>
                  <m:sty m:val="p"/>
                </m:rPr>
                <w:rPr>
                  <w:rFonts w:hint="default" w:ascii="Cambria Math" w:hAnsi="宋体" w:cs="宋体"/>
                  <w:sz w:val="24"/>
                  <w:szCs w:val="24"/>
                  <w:lang w:val="en-US" w:eastAsia="zh-CN"/>
                </w:rPr>
                <m:t>1</m:t>
              </m:r>
              <m:ctrlPr>
                <w:rPr>
                  <w:rFonts w:ascii="Cambria Math" w:hAnsi="宋体" w:eastAsia="宋体" w:cs="宋体"/>
                  <w:sz w:val="24"/>
                  <w:szCs w:val="24"/>
                </w:rPr>
              </m:ctrlPr>
            </m:num>
            <m:den>
              <m:r>
                <m:rPr>
                  <m:sty m:val="p"/>
                </m:rPr>
                <w:rPr>
                  <w:rFonts w:hint="default" w:ascii="Cambria Math" w:hAnsi="宋体" w:cs="宋体"/>
                  <w:sz w:val="24"/>
                  <w:szCs w:val="24"/>
                  <w:lang w:val="en-US" w:eastAsia="zh-CN"/>
                </w:rPr>
                <m:t>|</m:t>
              </m:r>
              <m:sSub>
                <m:sSubPr>
                  <m:ctrlPr>
                    <w:rPr>
                      <w:rFonts w:hint="default" w:ascii="Cambria Math" w:hAnsi="宋体" w:cs="宋体"/>
                      <w:sz w:val="24"/>
                      <w:szCs w:val="24"/>
                      <w:lang w:val="en-US" w:eastAsia="zh-CN"/>
                    </w:rPr>
                  </m:ctrlPr>
                </m:sSubPr>
                <m:e>
                  <m:r>
                    <m:rPr>
                      <m:sty m:val="p"/>
                    </m:rPr>
                    <w:rPr>
                      <w:rFonts w:hint="default" w:ascii="Cambria Math" w:hAnsi="宋体" w:cs="宋体"/>
                      <w:sz w:val="24"/>
                      <w:szCs w:val="24"/>
                      <w:lang w:val="en-US" w:eastAsia="zh-CN"/>
                    </w:rPr>
                    <m:t>X</m:t>
                  </m:r>
                  <m:ctrlPr>
                    <w:rPr>
                      <w:rFonts w:hint="default" w:ascii="Cambria Math" w:hAnsi="宋体" w:cs="宋体"/>
                      <w:sz w:val="24"/>
                      <w:szCs w:val="24"/>
                      <w:lang w:val="en-US" w:eastAsia="zh-CN"/>
                    </w:rPr>
                  </m:ctrlPr>
                </m:e>
                <m:sub>
                  <m:r>
                    <m:rPr>
                      <m:sty m:val="p"/>
                    </m:rPr>
                    <w:rPr>
                      <w:rFonts w:hint="default" w:ascii="Cambria Math" w:hAnsi="宋体" w:cs="宋体"/>
                      <w:sz w:val="24"/>
                      <w:szCs w:val="24"/>
                      <w:lang w:val="en-US" w:eastAsia="zh-CN"/>
                    </w:rPr>
                    <m:t>1</m:t>
                  </m:r>
                  <m:ctrlPr>
                    <w:rPr>
                      <w:rFonts w:hint="default" w:ascii="Cambria Math" w:hAnsi="宋体" w:cs="宋体"/>
                      <w:sz w:val="24"/>
                      <w:szCs w:val="24"/>
                      <w:lang w:val="en-US" w:eastAsia="zh-CN"/>
                    </w:rPr>
                  </m:ctrlPr>
                </m:sub>
              </m:sSub>
              <m:r>
                <m:rPr>
                  <m:sty m:val="p"/>
                </m:rPr>
                <w:rPr>
                  <w:rFonts w:hint="default" w:ascii="Cambria Math" w:hAnsi="宋体" w:cs="宋体"/>
                  <w:sz w:val="24"/>
                  <w:szCs w:val="24"/>
                  <w:lang w:val="en-US" w:eastAsia="zh-CN"/>
                </w:rPr>
                <m:t>|</m:t>
              </m:r>
              <m:ctrlPr>
                <w:rPr>
                  <w:rFonts w:ascii="Cambria Math" w:hAnsi="宋体" w:eastAsia="宋体" w:cs="宋体"/>
                  <w:sz w:val="24"/>
                  <w:szCs w:val="24"/>
                </w:rPr>
              </m:ctrlPr>
            </m:den>
          </m:f>
          <m:nary>
            <m:naryPr>
              <m:chr m:val="∑"/>
              <m:limLoc m:val="undOvr"/>
              <m:supHide m:val="1"/>
              <m:ctrlPr>
                <w:rPr>
                  <w:rFonts w:ascii="Cambria Math" w:hAnsi="宋体" w:eastAsia="宋体" w:cs="宋体"/>
                  <w:sz w:val="24"/>
                  <w:szCs w:val="24"/>
                </w:rPr>
              </m:ctrlPr>
            </m:naryPr>
            <m:sub>
              <m:r>
                <m:rPr>
                  <m:sty m:val="p"/>
                </m:rPr>
                <w:rPr>
                  <w:rFonts w:hint="default" w:ascii="Cambria Math" w:hAnsi="宋体" w:cs="宋体"/>
                  <w:sz w:val="24"/>
                  <w:szCs w:val="24"/>
                  <w:lang w:val="en-US" w:eastAsia="zh-CN"/>
                </w:rPr>
                <m:t>i</m:t>
              </m:r>
              <m:r>
                <m:rPr>
                  <m:sty m:val="p"/>
                </m:rPr>
                <w:rPr>
                  <w:rFonts w:ascii="Cambria Math" w:hAnsi="Cambria Math" w:cs="宋体"/>
                  <w:sz w:val="24"/>
                  <w:szCs w:val="24"/>
                </w:rPr>
                <m:t>ϵ</m:t>
              </m:r>
              <m:sSub>
                <m:sSubPr>
                  <m:ctrlPr>
                    <w:rPr>
                      <w:rFonts w:ascii="Cambria Math" w:hAnsi="Cambria Math" w:cs="宋体"/>
                      <w:sz w:val="24"/>
                      <w:szCs w:val="24"/>
                    </w:rPr>
                  </m:ctrlPr>
                </m:sSubPr>
                <m:e>
                  <m:r>
                    <m:rPr>
                      <m:sty m:val="p"/>
                    </m:rPr>
                    <w:rPr>
                      <w:rFonts w:hint="default" w:ascii="Cambria Math" w:hAnsi="Cambria Math" w:cs="宋体"/>
                      <w:sz w:val="24"/>
                      <w:szCs w:val="24"/>
                      <w:lang w:val="en-US" w:eastAsia="zh-CN"/>
                    </w:rPr>
                    <m:t>X</m:t>
                  </m:r>
                  <m:ctrlPr>
                    <w:rPr>
                      <w:rFonts w:ascii="Cambria Math" w:hAnsi="Cambria Math" w:cs="宋体"/>
                      <w:sz w:val="24"/>
                      <w:szCs w:val="24"/>
                    </w:rPr>
                  </m:ctrlPr>
                </m:e>
                <m:sub>
                  <m:r>
                    <m:rPr>
                      <m:sty m:val="p"/>
                    </m:rPr>
                    <w:rPr>
                      <w:rFonts w:hint="default" w:ascii="Cambria Math" w:hAnsi="Cambria Math" w:cs="宋体"/>
                      <w:sz w:val="24"/>
                      <w:szCs w:val="24"/>
                      <w:lang w:val="en-US" w:eastAsia="zh-CN"/>
                    </w:rPr>
                    <m:t>1</m:t>
                  </m:r>
                  <m:ctrlPr>
                    <w:rPr>
                      <w:rFonts w:ascii="Cambria Math" w:hAnsi="Cambria Math" w:cs="宋体"/>
                      <w:sz w:val="24"/>
                      <w:szCs w:val="24"/>
                    </w:rPr>
                  </m:ctrlPr>
                </m:sub>
              </m:sSub>
              <m:ctrlPr>
                <w:rPr>
                  <w:rFonts w:ascii="Cambria Math" w:hAnsi="宋体" w:eastAsia="宋体" w:cs="宋体"/>
                  <w:sz w:val="24"/>
                  <w:szCs w:val="24"/>
                </w:rPr>
              </m:ctrlPr>
            </m:sub>
            <m:sup>
              <m:ctrlPr>
                <w:rPr>
                  <w:rFonts w:ascii="Cambria Math" w:hAnsi="宋体" w:eastAsia="宋体" w:cs="宋体"/>
                  <w:sz w:val="24"/>
                  <w:szCs w:val="24"/>
                </w:rPr>
              </m:ctrlPr>
            </m:sup>
            <m:e>
              <m:func>
                <m:funcPr>
                  <m:ctrlPr>
                    <w:rPr>
                      <w:rFonts w:ascii="Cambria Math" w:hAnsi="宋体" w:eastAsia="宋体" w:cs="宋体"/>
                      <w:sz w:val="24"/>
                      <w:szCs w:val="24"/>
                    </w:rPr>
                  </m:ctrlPr>
                </m:funcPr>
                <m:fName>
                  <m:r>
                    <m:rPr>
                      <m:sty m:val="p"/>
                    </m:rPr>
                    <w:rPr>
                      <w:rFonts w:ascii="Cambria Math" w:hAnsi="Cambria Math" w:cs="宋体"/>
                      <w:sz w:val="24"/>
                      <w:szCs w:val="24"/>
                    </w:rPr>
                    <m:t>−log</m:t>
                  </m:r>
                  <m:ctrlPr>
                    <w:rPr>
                      <w:rFonts w:ascii="Cambria Math" w:hAnsi="宋体" w:eastAsia="宋体" w:cs="宋体"/>
                      <w:sz w:val="24"/>
                      <w:szCs w:val="24"/>
                    </w:rPr>
                  </m:ctrlPr>
                </m:fName>
                <m:e>
                  <m:r>
                    <m:rPr>
                      <m:sty m:val="p"/>
                    </m:rPr>
                    <w:rPr>
                      <w:rFonts w:hint="default" w:ascii="Cambria Math" w:hAnsi="宋体" w:cs="宋体"/>
                      <w:sz w:val="24"/>
                      <w:szCs w:val="24"/>
                      <w:lang w:val="en-US" w:eastAsia="zh-CN"/>
                    </w:rPr>
                    <m:t>p(</m:t>
                  </m:r>
                  <m:sSub>
                    <m:sSubPr>
                      <m:ctrlPr>
                        <w:rPr>
                          <w:rFonts w:hint="default" w:ascii="Cambria Math" w:hAnsi="宋体" w:cs="宋体"/>
                          <w:sz w:val="24"/>
                          <w:szCs w:val="24"/>
                          <w:lang w:val="en-US" w:eastAsia="zh-CN"/>
                        </w:rPr>
                      </m:ctrlPr>
                    </m:sSubPr>
                    <m:e>
                      <m:r>
                        <m:rPr>
                          <m:sty m:val="p"/>
                        </m:rPr>
                        <w:rPr>
                          <w:rFonts w:hint="default" w:ascii="Cambria Math" w:hAnsi="宋体" w:cs="宋体"/>
                          <w:sz w:val="24"/>
                          <w:szCs w:val="24"/>
                          <w:lang w:val="en-US" w:eastAsia="zh-CN"/>
                        </w:rPr>
                        <m:t>x</m:t>
                      </m:r>
                      <m:ctrlPr>
                        <w:rPr>
                          <w:rFonts w:hint="default" w:ascii="Cambria Math" w:hAnsi="宋体" w:cs="宋体"/>
                          <w:sz w:val="24"/>
                          <w:szCs w:val="24"/>
                          <w:lang w:val="en-US" w:eastAsia="zh-CN"/>
                        </w:rPr>
                      </m:ctrlPr>
                    </m:e>
                    <m:sub>
                      <m:r>
                        <m:rPr>
                          <m:sty m:val="p"/>
                        </m:rPr>
                        <w:rPr>
                          <w:rFonts w:hint="default" w:ascii="Cambria Math" w:hAnsi="宋体" w:cs="宋体"/>
                          <w:sz w:val="24"/>
                          <w:szCs w:val="24"/>
                          <w:lang w:val="en-US" w:eastAsia="zh-CN"/>
                        </w:rPr>
                        <m:t>i</m:t>
                      </m:r>
                      <m:ctrlPr>
                        <w:rPr>
                          <w:rFonts w:hint="default" w:ascii="Cambria Math" w:hAnsi="宋体" w:cs="宋体"/>
                          <w:sz w:val="24"/>
                          <w:szCs w:val="24"/>
                          <w:lang w:val="en-US" w:eastAsia="zh-CN"/>
                        </w:rPr>
                      </m:ctrlPr>
                    </m:sub>
                  </m:sSub>
                  <m:r>
                    <m:rPr>
                      <m:sty m:val="p"/>
                    </m:rPr>
                    <w:rPr>
                      <w:rFonts w:hint="default" w:ascii="Cambria Math" w:hAnsi="宋体" w:cs="宋体"/>
                      <w:sz w:val="24"/>
                      <w:szCs w:val="24"/>
                      <w:lang w:val="en-US" w:eastAsia="zh-CN"/>
                    </w:rPr>
                    <m:t>)</m:t>
                  </m:r>
                  <m:ctrlPr>
                    <w:rPr>
                      <w:rFonts w:ascii="Cambria Math" w:hAnsi="宋体" w:eastAsia="宋体" w:cs="宋体"/>
                      <w:sz w:val="24"/>
                      <w:szCs w:val="24"/>
                    </w:rPr>
                  </m:ctrlPr>
                </m:e>
              </m:func>
              <m:ctrlPr>
                <w:rPr>
                  <w:rFonts w:ascii="Cambria Math" w:hAnsi="宋体" w:eastAsia="宋体" w:cs="宋体"/>
                  <w:sz w:val="24"/>
                  <w:szCs w:val="24"/>
                </w:rPr>
              </m:ctrlPr>
            </m:e>
          </m:nary>
        </m:oMath>
      </m:oMathPara>
    </w:p>
    <w:p>
      <w:pPr>
        <w:bidi w:val="0"/>
        <w:ind w:firstLine="420" w:firstLineChars="0"/>
      </w:pPr>
      <w:r>
        <w:t>其中，</w:t>
      </w:r>
      <m:oMath>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oMath>
      <w:r>
        <w:t xml:space="preserve"> 为保留 token 的索引集合，</w:t>
      </w:r>
      <m:oMath>
        <m:r>
          <m:rPr>
            <m:sty m:val="p"/>
          </m:rPr>
          <w:rPr>
            <w:rFonts w:hint="default" w:ascii="Cambria Math" w:hAnsi="Cambria Math"/>
            <w:lang w:val="en-US" w:eastAsia="zh-CN"/>
          </w:rPr>
          <m:t>p(</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lang w:val="en-US" w:eastAsia="zh-CN"/>
        </w:rPr>
        <w:t xml:space="preserve"> </w:t>
      </w:r>
      <w:r>
        <w:t xml:space="preserve">为被测大语言模型对第 </w:t>
      </w:r>
      <w:r>
        <w:rPr>
          <w:rFonts w:hint="eastAsia"/>
          <w:lang w:val="en-US" w:eastAsia="zh-CN"/>
        </w:rPr>
        <w:t>i</w:t>
      </w:r>
      <w:r>
        <w:t xml:space="preserve"> 个保留 token 的预测概率</w:t>
      </w:r>
      <w:r>
        <w:rPr>
          <w:rFonts w:hint="eastAsia"/>
          <w:lang w:eastAsia="zh-CN"/>
        </w:rPr>
        <w:t>。</w:t>
      </w:r>
      <w:r>
        <w:t>在预设或经验证确定的阈值 ε 下，当 SPP(x)&gt;ε 时，将待检测源代码样本判定为预训练数据成员，否则判定为非成员。</w:t>
      </w:r>
      <w:bookmarkStart w:id="0" w:name="_Hlk133151290"/>
    </w:p>
    <w:p>
      <w:pPr>
        <w:numPr>
          <w:ilvl w:val="0"/>
          <w:numId w:val="1"/>
        </w:numPr>
        <w:bidi w:val="0"/>
        <w:ind w:left="420" w:leftChars="0"/>
        <w:rPr>
          <w:rFonts w:hint="eastAsia"/>
        </w:rPr>
      </w:pPr>
      <w:r>
        <w:rPr>
          <w:rFonts w:hint="eastAsia"/>
          <w:lang w:val="en-US" w:eastAsia="zh-CN"/>
        </w:rPr>
        <w:t>根据权利要求1所述的语法感知的源代码成员推断方法，其特征在于，所述步骤（1）中的语法约定集合包括如下至少一种语法类别：</w:t>
      </w:r>
    </w:p>
    <w:p>
      <w:pPr>
        <w:numPr>
          <w:ilvl w:val="0"/>
          <w:numId w:val="0"/>
        </w:numPr>
        <w:bidi w:val="0"/>
        <w:ind w:firstLine="420" w:firstLineChars="0"/>
        <w:rPr>
          <w:rFonts w:hint="eastAsia"/>
        </w:rPr>
      </w:pPr>
      <w:r>
        <w:rPr>
          <w:rFonts w:hint="eastAsia"/>
        </w:rPr>
        <w:t>（</w:t>
      </w:r>
      <w:r>
        <w:t>1</w:t>
      </w:r>
      <w:r>
        <w:rPr>
          <w:rFonts w:hint="eastAsia"/>
        </w:rPr>
        <w:t>）数据模型类语法约定：包括列表、切片、字典、集合、字符串、字节序列、对象、元组等语法构造，对应的开闭定界符及访问符号，例如“[”与“]”、“{”与“}”、“(”与“)”</w:t>
      </w:r>
      <w:r>
        <w:rPr>
          <w:rFonts w:hint="eastAsia"/>
          <w:lang w:eastAsia="zh-CN"/>
        </w:rPr>
        <w:t>。</w:t>
      </w:r>
    </w:p>
    <w:p>
      <w:pPr>
        <w:ind w:firstLine="420" w:firstLineChars="0"/>
        <w:rPr>
          <w:rFonts w:hint="eastAsia" w:eastAsia="宋体"/>
          <w:color w:val="000000" w:themeColor="text1"/>
          <w:szCs w:val="24"/>
          <w:lang w:eastAsia="zh-CN"/>
          <w14:textFill>
            <w14:solidFill>
              <w14:schemeClr w14:val="tx1"/>
            </w14:solidFill>
          </w14:textFill>
        </w:rPr>
      </w:pPr>
      <w:r>
        <w:rPr>
          <w:rFonts w:hint="eastAsia"/>
          <w:color w:val="000000" w:themeColor="text1"/>
          <w:szCs w:val="24"/>
          <w:lang w:eastAsia="zh-CN"/>
          <w14:textFill>
            <w14:solidFill>
              <w14:schemeClr w14:val="tx1"/>
            </w14:solidFill>
          </w14:textFill>
        </w:rPr>
        <w:t>（</w:t>
      </w:r>
      <w:r>
        <w:rPr>
          <w:rFonts w:hint="eastAsia"/>
          <w:color w:val="000000" w:themeColor="text1"/>
          <w:szCs w:val="24"/>
          <w:lang w:val="en-US" w:eastAsia="zh-CN"/>
          <w14:textFill>
            <w14:solidFill>
              <w14:schemeClr w14:val="tx1"/>
            </w14:solidFill>
          </w14:textFill>
        </w:rPr>
        <w:t>2</w:t>
      </w:r>
      <w:r>
        <w:rPr>
          <w:rFonts w:hint="eastAsia"/>
          <w:color w:val="000000" w:themeColor="text1"/>
          <w:szCs w:val="24"/>
          <w:lang w:eastAsia="zh-CN"/>
          <w14:textFill>
            <w14:solidFill>
              <w14:schemeClr w14:val="tx1"/>
            </w14:solidFill>
          </w14:textFill>
        </w:rPr>
        <w:t>）</w:t>
      </w:r>
      <w:r>
        <w:rPr>
          <w:rFonts w:hint="eastAsia"/>
          <w:color w:val="000000" w:themeColor="text1"/>
          <w:szCs w:val="24"/>
          <w14:textFill>
            <w14:solidFill>
              <w14:schemeClr w14:val="tx1"/>
            </w14:solidFill>
          </w14:textFill>
        </w:rPr>
        <w:t>表达式类语法约定：包括函数调用、lambda 表达式、条件表达式、推导式、链式比较等语法节点，其后继 token 包括右括号、逗号、比较运算符等</w:t>
      </w:r>
      <w:r>
        <w:rPr>
          <w:rFonts w:hint="eastAsia"/>
          <w:color w:val="000000" w:themeColor="text1"/>
          <w:szCs w:val="24"/>
          <w:lang w:eastAsia="zh-CN"/>
          <w14:textFill>
            <w14:solidFill>
              <w14:schemeClr w14:val="tx1"/>
            </w14:solidFill>
          </w14:textFill>
        </w:rPr>
        <w:t>。</w:t>
      </w:r>
    </w:p>
    <w:p>
      <w:pPr>
        <w:ind w:firstLine="420"/>
        <w:rPr>
          <w:rFonts w:hint="eastAsia" w:eastAsia="宋体"/>
          <w:color w:val="000000" w:themeColor="text1"/>
          <w:szCs w:val="24"/>
          <w:lang w:eastAsia="zh-CN"/>
          <w14:textFill>
            <w14:solidFill>
              <w14:schemeClr w14:val="tx1"/>
            </w14:solidFill>
          </w14:textFill>
        </w:rPr>
      </w:pPr>
      <w:r>
        <w:rPr>
          <w:rFonts w:hint="eastAsia"/>
          <w:color w:val="000000" w:themeColor="text1"/>
          <w:szCs w:val="24"/>
          <w:lang w:eastAsia="zh-CN"/>
          <w14:textFill>
            <w14:solidFill>
              <w14:schemeClr w14:val="tx1"/>
            </w14:solidFill>
          </w14:textFill>
        </w:rPr>
        <w:t>（</w:t>
      </w:r>
      <w:r>
        <w:rPr>
          <w:rFonts w:hint="eastAsia"/>
          <w:color w:val="000000" w:themeColor="text1"/>
          <w:szCs w:val="24"/>
          <w:lang w:val="en-US" w:eastAsia="zh-CN"/>
          <w14:textFill>
            <w14:solidFill>
              <w14:schemeClr w14:val="tx1"/>
            </w14:solidFill>
          </w14:textFill>
        </w:rPr>
        <w:t>3</w:t>
      </w:r>
      <w:r>
        <w:rPr>
          <w:rFonts w:hint="eastAsia"/>
          <w:color w:val="000000" w:themeColor="text1"/>
          <w:szCs w:val="24"/>
          <w:lang w:eastAsia="zh-CN"/>
          <w14:textFill>
            <w14:solidFill>
              <w14:schemeClr w14:val="tx1"/>
            </w14:solidFill>
          </w14:textFill>
        </w:rPr>
        <w:t>）</w:t>
      </w:r>
      <w:r>
        <w:rPr>
          <w:rFonts w:hint="eastAsia"/>
          <w:color w:val="000000" w:themeColor="text1"/>
          <w:szCs w:val="24"/>
          <w14:textFill>
            <w14:solidFill>
              <w14:schemeClr w14:val="tx1"/>
            </w14:solidFill>
          </w14:textFill>
        </w:rPr>
        <w:t>简单语句类语法约定：包括 import、from-import、assert、global 等语句，对应的关键字序列及可选别名 as 的出现模式</w:t>
      </w:r>
      <w:r>
        <w:rPr>
          <w:rFonts w:hint="eastAsia"/>
          <w:color w:val="000000" w:themeColor="text1"/>
          <w:szCs w:val="24"/>
          <w:lang w:eastAsia="zh-CN"/>
          <w14:textFill>
            <w14:solidFill>
              <w14:schemeClr w14:val="tx1"/>
            </w14:solidFill>
          </w14:textFill>
        </w:rPr>
        <w:t>。</w:t>
      </w:r>
    </w:p>
    <w:p>
      <w:pPr>
        <w:numPr>
          <w:ilvl w:val="0"/>
          <w:numId w:val="0"/>
        </w:numPr>
        <w:ind w:firstLine="420" w:firstLineChars="0"/>
        <w:rPr>
          <w:rFonts w:hint="eastAsia"/>
          <w:color w:val="000000" w:themeColor="text1"/>
          <w:szCs w:val="24"/>
          <w14:textFill>
            <w14:solidFill>
              <w14:schemeClr w14:val="tx1"/>
            </w14:solidFill>
          </w14:textFill>
        </w:rPr>
      </w:pPr>
      <w:r>
        <w:rPr>
          <w:rFonts w:hint="eastAsia"/>
          <w:color w:val="000000" w:themeColor="text1"/>
          <w:szCs w:val="24"/>
          <w:lang w:eastAsia="zh-CN"/>
          <w14:textFill>
            <w14:solidFill>
              <w14:schemeClr w14:val="tx1"/>
            </w14:solidFill>
          </w14:textFill>
        </w:rPr>
        <w:t>（</w:t>
      </w:r>
      <w:r>
        <w:rPr>
          <w:rFonts w:hint="eastAsia"/>
          <w:color w:val="000000" w:themeColor="text1"/>
          <w:szCs w:val="24"/>
          <w:lang w:val="en-US" w:eastAsia="zh-CN"/>
          <w14:textFill>
            <w14:solidFill>
              <w14:schemeClr w14:val="tx1"/>
            </w14:solidFill>
          </w14:textFill>
        </w:rPr>
        <w:t>4</w:t>
      </w:r>
      <w:r>
        <w:rPr>
          <w:rFonts w:hint="eastAsia"/>
          <w:color w:val="000000" w:themeColor="text1"/>
          <w:szCs w:val="24"/>
          <w:lang w:eastAsia="zh-CN"/>
          <w14:textFill>
            <w14:solidFill>
              <w14:schemeClr w14:val="tx1"/>
            </w14:solidFill>
          </w14:textFill>
        </w:rPr>
        <w:t>）</w:t>
      </w:r>
      <w:r>
        <w:rPr>
          <w:rFonts w:hint="eastAsia"/>
          <w:color w:val="000000" w:themeColor="text1"/>
          <w:szCs w:val="24"/>
          <w14:textFill>
            <w14:solidFill>
              <w14:schemeClr w14:val="tx1"/>
            </w14:solidFill>
          </w14:textFill>
        </w:rPr>
        <w:t>复合语句类语法约定：包括 if、for、while、try-except、with、class、def、match 等语句，其特征为在语句头部关键字之后必须跟随冒号以及缩进块，且可能伴随 elif、else、except、finally 等分支结构。</w:t>
      </w:r>
    </w:p>
    <w:p>
      <w:pPr>
        <w:ind w:firstLine="420"/>
        <w:rPr>
          <w:rFonts w:hint="eastAsia"/>
          <w:color w:val="000000" w:themeColor="text1"/>
          <w:szCs w:val="24"/>
          <w14:textFill>
            <w14:solidFill>
              <w14:schemeClr w14:val="tx1"/>
            </w14:solidFill>
          </w14:textFill>
        </w:rPr>
      </w:pPr>
      <w:r>
        <w:rPr>
          <w:color w:val="000000" w:themeColor="text1"/>
          <w:szCs w:val="24"/>
          <w14:textFill>
            <w14:solidFill>
              <w14:schemeClr w14:val="tx1"/>
            </w14:solidFill>
          </w14:textFill>
        </w:rPr>
        <w:t>3.</w:t>
      </w:r>
      <w:r>
        <w:rPr>
          <w:rFonts w:hint="eastAsia"/>
          <w:color w:val="000000" w:themeColor="text1"/>
          <w:szCs w:val="24"/>
          <w14:textFill>
            <w14:solidFill>
              <w14:schemeClr w14:val="tx1"/>
            </w14:solidFill>
          </w14:textFill>
        </w:rPr>
        <w:t xml:space="preserve"> 根据权利要求1或2所述的方法，其特征在于，目标编程语言为 Python 语言，所述语法约定集合基于 Python 官方语言参考文档构建，抽象语法树 AST 通过该语言自带的语法分析器生成。</w:t>
      </w:r>
    </w:p>
    <w:p>
      <w:pPr>
        <w:widowControl/>
        <w:numPr>
          <w:ilvl w:val="0"/>
          <w:numId w:val="0"/>
        </w:numPr>
        <w:spacing w:line="360" w:lineRule="auto"/>
        <w:ind w:firstLine="420" w:firstLineChars="0"/>
        <w:jc w:val="left"/>
        <w:rPr>
          <w:rFonts w:hint="eastAsia"/>
          <w:szCs w:val="24"/>
        </w:rPr>
      </w:pPr>
      <w:r>
        <w:rPr>
          <w:color w:val="000000" w:themeColor="text1"/>
          <w:szCs w:val="24"/>
          <w14:textFill>
            <w14:solidFill>
              <w14:schemeClr w14:val="tx1"/>
            </w14:solidFill>
          </w14:textFill>
        </w:rPr>
        <w:t>4.</w:t>
      </w:r>
      <w:r>
        <w:rPr>
          <w:rFonts w:hint="eastAsia"/>
          <w:color w:val="000000" w:themeColor="text1"/>
          <w:szCs w:val="24"/>
          <w14:textFill>
            <w14:solidFill>
              <w14:schemeClr w14:val="tx1"/>
            </w14:solidFill>
          </w14:textFill>
        </w:rPr>
        <w:t xml:space="preserve"> </w:t>
      </w:r>
      <w:bookmarkEnd w:id="0"/>
      <w:r>
        <w:rPr>
          <w:rFonts w:hint="eastAsia"/>
          <w:color w:val="000000" w:themeColor="text1"/>
          <w:szCs w:val="24"/>
          <w14:textFill>
            <w14:solidFill>
              <w14:schemeClr w14:val="tx1"/>
            </w14:solidFill>
          </w14:textFill>
        </w:rPr>
        <w:t>根据权利要求1至3任一项所述的方法，其特征在于，该方法用于对开源代码仓库中的函数级源代码进行批量成员检测，以评估大语言模型预训练数据中是否包含带特定许可证约束的代码样本。</w:t>
      </w: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numPr>
          <w:ilvl w:val="0"/>
          <w:numId w:val="0"/>
        </w:numPr>
        <w:spacing w:line="360" w:lineRule="auto"/>
        <w:jc w:val="left"/>
        <w:rPr>
          <w:rFonts w:hint="eastAsia"/>
          <w:szCs w:val="24"/>
        </w:rPr>
      </w:pPr>
    </w:p>
    <w:p>
      <w:pPr>
        <w:widowControl/>
        <w:jc w:val="left"/>
        <w:rPr>
          <w:rFonts w:hint="eastAsia" w:eastAsia="宋体"/>
          <w:szCs w:val="24"/>
          <w:lang w:eastAsia="zh-CN"/>
        </w:rPr>
      </w:pPr>
    </w:p>
    <w:p>
      <w:pPr>
        <w:snapToGrid w:val="0"/>
        <w:jc w:val="center"/>
        <w:rPr>
          <w:b/>
          <w:sz w:val="32"/>
          <w:szCs w:val="32"/>
        </w:rPr>
      </w:pPr>
      <w:r>
        <w:rPr>
          <w:rFonts w:hint="eastAsia"/>
          <w:b/>
          <w:sz w:val="32"/>
          <w:szCs w:val="32"/>
        </w:rPr>
        <w:t>说明书</w:t>
      </w:r>
    </w:p>
    <w:p>
      <w:pPr>
        <w:snapToGrid w:val="0"/>
        <w:jc w:val="center"/>
        <w:rPr>
          <w:b/>
          <w:sz w:val="32"/>
          <w:szCs w:val="32"/>
        </w:rPr>
      </w:pPr>
      <w:r>
        <w:rPr>
          <w:rFonts w:ascii="宋体" w:hAnsi="宋体" w:eastAsia="宋体" w:cs="宋体"/>
          <w:sz w:val="24"/>
          <w:szCs w:val="24"/>
        </w:rPr>
        <w:t>一</w:t>
      </w:r>
      <w:r>
        <w:rPr>
          <w:rFonts w:hint="eastAsia" w:ascii="宋体" w:hAnsi="宋体" w:cs="宋体"/>
          <w:sz w:val="24"/>
          <w:szCs w:val="24"/>
          <w:lang w:val="en-US" w:eastAsia="zh-CN"/>
        </w:rPr>
        <w:t>种</w:t>
      </w:r>
      <w:r>
        <w:rPr>
          <w:rFonts w:hint="eastAsia" w:ascii="Times New Roman" w:hAnsi="Times New Roman" w:eastAsia="宋体" w:cstheme="minorBidi"/>
          <w:color w:val="000000" w:themeColor="text1"/>
          <w:kern w:val="2"/>
          <w:sz w:val="24"/>
          <w:szCs w:val="22"/>
          <w:lang w:val="en-US" w:eastAsia="zh-CN" w:bidi="ar-SA"/>
          <w14:textFill>
            <w14:solidFill>
              <w14:schemeClr w14:val="tx1"/>
            </w14:solidFill>
          </w14:textFill>
        </w:rPr>
        <w:t>基于代码语法约束词元过滤的代码成员推断方法</w:t>
      </w:r>
    </w:p>
    <w:p>
      <w:pPr>
        <w:snapToGrid w:val="0"/>
        <w:rPr>
          <w:b/>
          <w:color w:val="000000" w:themeColor="text1"/>
          <w14:textFill>
            <w14:solidFill>
              <w14:schemeClr w14:val="tx1"/>
            </w14:solidFill>
          </w14:textFill>
        </w:rPr>
      </w:pPr>
      <w:r>
        <w:rPr>
          <w:rFonts w:hint="eastAsia"/>
          <w:b/>
          <w:color w:val="000000" w:themeColor="text1"/>
          <w14:textFill>
            <w14:solidFill>
              <w14:schemeClr w14:val="tx1"/>
            </w14:solidFill>
          </w14:textFill>
        </w:rPr>
        <w:t>技术领域</w:t>
      </w:r>
    </w:p>
    <w:p>
      <w:pPr>
        <w:snapToGrid w:val="0"/>
        <w:ind w:firstLine="420"/>
        <w:rPr>
          <w:color w:val="000000" w:themeColor="text1"/>
          <w14:textFill>
            <w14:solidFill>
              <w14:schemeClr w14:val="tx1"/>
            </w14:solidFill>
          </w14:textFill>
        </w:rPr>
      </w:pPr>
      <w:r>
        <w:rPr>
          <w:rFonts w:ascii="宋体" w:hAnsi="宋体" w:eastAsia="宋体" w:cs="宋体"/>
          <w:sz w:val="24"/>
          <w:szCs w:val="24"/>
        </w:rPr>
        <w:t>本发明属于人工智能与软件工程技术领域，具体涉及一种基于编程语言语法感知的源代码成员推断方法，尤其适用于对大语言模型预训练数据中的源代码成员关系进行检测与审计。</w:t>
      </w:r>
    </w:p>
    <w:p>
      <w:pPr>
        <w:snapToGrid w:val="0"/>
        <w:rPr>
          <w:b/>
        </w:rPr>
      </w:pPr>
      <w:r>
        <w:rPr>
          <w:rFonts w:hint="eastAsia"/>
          <w:b/>
        </w:rPr>
        <w:t>背景技术</w:t>
      </w:r>
    </w:p>
    <w:p>
      <w:pPr>
        <w:snapToGrid w:val="0"/>
        <w:ind w:firstLine="420" w:firstLineChars="0"/>
        <w:rPr>
          <w:rFonts w:hint="eastAsia"/>
          <w:b w:val="0"/>
          <w:bCs/>
        </w:rPr>
      </w:pPr>
      <w:r>
        <w:rPr>
          <w:rFonts w:hint="eastAsia"/>
          <w:b w:val="0"/>
          <w:bCs/>
        </w:rPr>
        <w:t>近年来，大语言模型在自然语言处理、自动编程等任务中表现出强大的生成能力。模型在代码生成、自动补全和智能开发助手等场景中的广泛应用，得益于其在大规模开源代码语料上的预训练。然而，开源代码通常携带诸如 GPL 等开源许可证，对使用范围、分发方式提出明确要求，随意将带有强版权约束的代码用于商业模型预训练，可能引发法律和合规风险。</w:t>
      </w:r>
    </w:p>
    <w:p>
      <w:pPr>
        <w:snapToGrid w:val="0"/>
        <w:ind w:firstLine="420" w:firstLineChars="0"/>
        <w:rPr>
          <w:rFonts w:hint="eastAsia"/>
          <w:b w:val="0"/>
          <w:bCs/>
        </w:rPr>
      </w:pPr>
      <w:r>
        <w:rPr>
          <w:rFonts w:hint="eastAsia"/>
          <w:b w:val="0"/>
          <w:bCs/>
        </w:rPr>
        <w:t>为评估大语言模型的训练数据是否包含特定样本，学术界提出了成员推断攻击（Membership Inference Attack, MIA），即在黑盒或灰盒环境下判断某条数据是否出现在模型训练集中。已有针对语言模型的成员推断方法大多将输入视作自然语言文本，通过分析模型输出的 token 概率、压缩长度、</w:t>
      </w:r>
      <w:r>
        <w:rPr>
          <w:rFonts w:hint="eastAsia"/>
          <w:b w:val="0"/>
          <w:bCs/>
          <w:lang w:val="en-US" w:eastAsia="zh-CN"/>
        </w:rPr>
        <w:t>最小</w:t>
      </w:r>
      <w:r>
        <w:rPr>
          <w:rFonts w:hint="eastAsia"/>
          <w:b w:val="0"/>
          <w:bCs/>
        </w:rPr>
        <w:t xml:space="preserve"> K% 概率 token 等指标来区分成员与非成员。这些方法在自然语言场景下取得了一定效果，但在针对源代码的成员推断任务中存在以下问题：</w:t>
      </w:r>
    </w:p>
    <w:p>
      <w:pPr>
        <w:numPr>
          <w:ilvl w:val="0"/>
          <w:numId w:val="2"/>
        </w:numPr>
        <w:snapToGrid w:val="0"/>
        <w:ind w:firstLine="420" w:firstLineChars="0"/>
        <w:rPr>
          <w:rFonts w:hint="eastAsia"/>
          <w:b w:val="0"/>
          <w:bCs/>
        </w:rPr>
      </w:pPr>
      <w:r>
        <w:rPr>
          <w:rFonts w:hint="eastAsia"/>
          <w:b w:val="0"/>
          <w:bCs/>
        </w:rPr>
        <w:t>忽视代码的语法结构特性：源代码不同于自然语言文本，其编写必须遵循形式化语法。大量 token 仅用于满足语法约束，例如括号、逗号、冒号、缩进等，这些 token 的出现由语法规则决定，而非开发者的个人风格或语义选择。</w:t>
      </w:r>
    </w:p>
    <w:p>
      <w:pPr>
        <w:numPr>
          <w:ilvl w:val="0"/>
          <w:numId w:val="2"/>
        </w:numPr>
        <w:snapToGrid w:val="0"/>
        <w:ind w:left="0" w:leftChars="0" w:firstLine="420" w:firstLineChars="0"/>
        <w:rPr>
          <w:rFonts w:hint="eastAsia"/>
          <w:b w:val="0"/>
          <w:bCs/>
        </w:rPr>
      </w:pPr>
      <w:r>
        <w:rPr>
          <w:rFonts w:hint="eastAsia"/>
          <w:b w:val="0"/>
          <w:bCs/>
        </w:rPr>
        <w:t>语法必然 token 混入成员评分，降低判别力：现有方法在计算成员评分时通常对所有 token 一视同仁，将语法必然 token 与承载作者意图的 token 一并纳入计算，导致成员与非成员在评分上的差异被语法噪声稀释，降低检测性能。</w:t>
      </w:r>
    </w:p>
    <w:p>
      <w:pPr>
        <w:numPr>
          <w:ilvl w:val="0"/>
          <w:numId w:val="2"/>
        </w:numPr>
        <w:snapToGrid w:val="0"/>
        <w:ind w:left="0" w:leftChars="0" w:firstLine="420" w:firstLineChars="0"/>
        <w:rPr>
          <w:rFonts w:hint="eastAsia"/>
          <w:b w:val="0"/>
          <w:bCs/>
        </w:rPr>
      </w:pPr>
      <w:r>
        <w:rPr>
          <w:rFonts w:hint="eastAsia"/>
          <w:b w:val="0"/>
          <w:bCs/>
        </w:rPr>
        <w:t>缺乏针对代码场景的真实成员/非成员基准数据集：部分工作使用合成或事后假定的成员/非成员划分，难以真实反映工业界中“是否在预训练数据中出现”的实际问题。</w:t>
      </w:r>
    </w:p>
    <w:p>
      <w:pPr>
        <w:snapToGrid w:val="0"/>
        <w:ind w:firstLine="420" w:firstLineChars="0"/>
        <w:rPr>
          <w:rFonts w:hint="eastAsia"/>
          <w:b w:val="0"/>
          <w:bCs/>
        </w:rPr>
      </w:pPr>
      <w:r>
        <w:rPr>
          <w:rFonts w:hint="eastAsia"/>
          <w:b w:val="0"/>
          <w:bCs/>
        </w:rPr>
        <w:t>因此，亟需一种能够充分利用编程语言语法特性的源码成员推断方法，区分语法决定性 token 与体现作者创作意图的 token，从而提升对大语言模型预训练代码成员关系的检测性能，为模型训练数据的版权合规与透明度审计提供技术支撑。</w:t>
      </w:r>
    </w:p>
    <w:p>
      <w:pPr>
        <w:snapToGrid w:val="0"/>
        <w:rPr>
          <w:b/>
          <w:color w:val="000000" w:themeColor="text1"/>
          <w14:textFill>
            <w14:solidFill>
              <w14:schemeClr w14:val="tx1"/>
            </w14:solidFill>
          </w14:textFill>
        </w:rPr>
      </w:pPr>
      <w:r>
        <w:rPr>
          <w:rFonts w:hint="eastAsia"/>
          <w:b/>
        </w:rPr>
        <w:t>发明内容</w:t>
      </w:r>
    </w:p>
    <w:p>
      <w:pPr>
        <w:ind w:firstLine="420" w:firstLineChars="0"/>
        <w:rPr>
          <w:rFonts w:hint="eastAsia"/>
        </w:rPr>
      </w:pPr>
      <w:r>
        <w:rPr>
          <w:rFonts w:hint="eastAsia"/>
          <w:b/>
          <w:bCs/>
        </w:rPr>
        <w:t>（一）发明目的</w:t>
      </w:r>
    </w:p>
    <w:p>
      <w:pPr>
        <w:ind w:firstLine="420" w:firstLineChars="0"/>
        <w:rPr>
          <w:rFonts w:hint="eastAsia"/>
        </w:rPr>
      </w:pPr>
      <w:r>
        <w:rPr>
          <w:rFonts w:hint="eastAsia"/>
        </w:rPr>
        <w:t>本发明的目的在于克服现有语言模型成员推断方法在源代码场景下忽视语言语法结构、检测性能有限的缺陷，提出一种语法感知的源代码成员推断方法 SYNPRUNE，通过对语法约定 token 的识别与裁剪，使成员评分更专注于体现作者风格与语义选择的 token，从而在多种大语言模型和多种成员/非成员比例设定下取得显著优于现有方法的检测效果。</w:t>
      </w:r>
    </w:p>
    <w:p>
      <w:pPr>
        <w:ind w:firstLine="420" w:firstLineChars="0"/>
        <w:rPr>
          <w:rFonts w:hint="eastAsia"/>
          <w:b/>
          <w:bCs/>
        </w:rPr>
      </w:pPr>
      <w:r>
        <w:rPr>
          <w:rFonts w:hint="eastAsia"/>
          <w:b/>
          <w:bCs/>
        </w:rPr>
        <w:t>（二）技术方案概述</w:t>
      </w:r>
    </w:p>
    <w:p>
      <w:pPr>
        <w:ind w:firstLine="420" w:firstLineChars="0"/>
        <w:rPr>
          <w:rFonts w:hint="eastAsia"/>
        </w:rPr>
      </w:pPr>
      <w:r>
        <w:rPr>
          <w:rFonts w:hint="eastAsia"/>
        </w:rPr>
        <w:t>为实现上述目的，本发明提供了一种语法感知的源代码成员推断方法，其核心思想为：</w:t>
      </w:r>
    </w:p>
    <w:p>
      <w:pPr>
        <w:numPr>
          <w:ilvl w:val="0"/>
          <w:numId w:val="3"/>
        </w:numPr>
        <w:ind w:firstLine="420" w:firstLineChars="0"/>
        <w:rPr>
          <w:rFonts w:hint="eastAsia"/>
        </w:rPr>
      </w:pPr>
      <w:r>
        <w:rPr>
          <w:rFonts w:hint="eastAsia"/>
          <w:b/>
          <w:bCs/>
        </w:rPr>
        <w:t>显式建模编程语言语法约定：</w:t>
      </w:r>
      <w:r>
        <w:rPr>
          <w:rFonts w:hint="eastAsia"/>
        </w:rPr>
        <w:t>基于目标语言（例如 Python）的官方语法参考，人工整理一组语法约定，以⟨前件条件、后继 token⟩的形式描述在特定语法节点下必然或高度确定出现的 token 模式。</w:t>
      </w:r>
    </w:p>
    <w:p>
      <w:pPr>
        <w:numPr>
          <w:ilvl w:val="0"/>
          <w:numId w:val="3"/>
        </w:numPr>
        <w:ind w:left="0" w:leftChars="0" w:firstLine="420" w:firstLineChars="0"/>
        <w:rPr>
          <w:rFonts w:hint="eastAsia"/>
        </w:rPr>
      </w:pPr>
      <w:r>
        <w:rPr>
          <w:rFonts w:hint="eastAsia"/>
          <w:b/>
          <w:bCs/>
        </w:rPr>
        <w:t>在 token 级别执行语法裁剪：</w:t>
      </w:r>
      <w:r>
        <w:rPr>
          <w:rFonts w:hint="eastAsia"/>
        </w:rPr>
        <w:t>将待检测的源代码输入大语言模型，获取 token 序列与对应概率，并对 token 进行子 token 分解；结合抽象语法树，对每个子 token 与语法约定逐一比对，将由语法规则必然决定的 token 剔除出成员评分计算。</w:t>
      </w:r>
    </w:p>
    <w:p>
      <w:pPr>
        <w:numPr>
          <w:ilvl w:val="0"/>
          <w:numId w:val="3"/>
        </w:numPr>
        <w:ind w:left="0" w:leftChars="0" w:firstLine="420" w:firstLineChars="0"/>
        <w:rPr>
          <w:rFonts w:hint="eastAsia"/>
        </w:rPr>
      </w:pPr>
      <w:r>
        <w:rPr>
          <w:rFonts w:hint="eastAsia"/>
          <w:b/>
          <w:bCs/>
        </w:rPr>
        <w:t>仅在“非语法必然 token”上计算成员评分：</w:t>
      </w:r>
      <w:r>
        <w:rPr>
          <w:rFonts w:hint="eastAsia"/>
        </w:rPr>
        <w:t>针对保留 token 集合计算负对数概率的平均值作为语法裁剪成员评分，使评分更加聚焦于变量命名、控制流结构选择、API 使用方式等体现作者创作意图的部分。</w:t>
      </w:r>
    </w:p>
    <w:p>
      <w:pPr>
        <w:numPr>
          <w:ilvl w:val="0"/>
          <w:numId w:val="3"/>
        </w:numPr>
        <w:ind w:left="0" w:leftChars="0" w:firstLine="420" w:firstLineChars="0"/>
        <w:rPr>
          <w:rFonts w:hint="eastAsia"/>
        </w:rPr>
      </w:pPr>
      <w:r>
        <w:rPr>
          <w:rFonts w:hint="eastAsia"/>
          <w:b/>
          <w:bCs/>
        </w:rPr>
        <w:t>构建真实代码成员/非成员基准数据集：</w:t>
      </w:r>
      <w:r>
        <w:rPr>
          <w:rFonts w:hint="eastAsia"/>
        </w:rPr>
        <w:t>从公开声明使用 The Pile 数据集预训练的大语言模型出发，以 The Pile 中的真实 Python 函数作为成员样本，以发布时间晚于模型发布、经 GitHub API 检索和人工复核确保原创性的函数作为非成员样本，构建真实的成员推断评测基准。</w:t>
      </w:r>
    </w:p>
    <w:p>
      <w:pPr>
        <w:ind w:firstLine="420" w:firstLineChars="0"/>
        <w:rPr>
          <w:rFonts w:hint="eastAsia"/>
        </w:rPr>
      </w:pPr>
      <w:r>
        <w:rPr>
          <w:rFonts w:hint="eastAsia"/>
        </w:rPr>
        <w:t>在上述基础上，本发明方法在多个大语言模型与多种成员/非成员比例设置下，与现有的 LOSS、ZLIB、MIN-K%、DC-PDD 等方法相比，平均 AUROC 提升超过 10%，验证了语法裁剪思路在代码成员推断场景中的有效性与通用性。</w:t>
      </w:r>
    </w:p>
    <w:p>
      <w:pPr>
        <w:ind w:firstLine="420" w:firstLineChars="0"/>
        <w:rPr>
          <w:rFonts w:hint="eastAsia"/>
        </w:rPr>
      </w:pPr>
      <w:r>
        <w:rPr>
          <w:rFonts w:hint="eastAsia"/>
          <w:b/>
          <w:bCs/>
        </w:rPr>
        <w:t>（三）发明的有益效果</w:t>
      </w:r>
    </w:p>
    <w:p>
      <w:pPr>
        <w:ind w:firstLine="420" w:firstLineChars="0"/>
        <w:rPr>
          <w:rFonts w:hint="eastAsia"/>
        </w:rPr>
      </w:pPr>
      <w:r>
        <w:rPr>
          <w:rFonts w:hint="eastAsia"/>
        </w:rPr>
        <w:t>与现有技术相比，本发明具有如下有益效果：</w:t>
      </w:r>
    </w:p>
    <w:p>
      <w:pPr>
        <w:numPr>
          <w:ilvl w:val="0"/>
          <w:numId w:val="4"/>
        </w:numPr>
        <w:ind w:firstLine="420" w:firstLineChars="0"/>
        <w:rPr>
          <w:rFonts w:hint="eastAsia"/>
        </w:rPr>
      </w:pPr>
      <w:r>
        <w:rPr>
          <w:rFonts w:hint="eastAsia"/>
        </w:rPr>
        <w:t>充分利用代码语法结构，提高检测信噪比</w:t>
      </w:r>
      <w:r>
        <w:rPr>
          <w:rFonts w:hint="eastAsia"/>
          <w:lang w:eastAsia="zh-CN"/>
        </w:rPr>
        <w:t>。</w:t>
      </w:r>
      <w:r>
        <w:rPr>
          <w:rFonts w:hint="eastAsia"/>
        </w:rPr>
        <w:t>通过显式构建语法约定集合并在 token 级别执行语法裁剪，将大量由语法规则决定的 token 从成员评分中剔除，使成员评分更侧重于承载作者风格的 token，从而提升成员与非成员之间的可分性。</w:t>
      </w:r>
    </w:p>
    <w:p>
      <w:pPr>
        <w:numPr>
          <w:ilvl w:val="0"/>
          <w:numId w:val="4"/>
        </w:numPr>
        <w:ind w:left="0" w:leftChars="0" w:firstLine="420" w:firstLineChars="0"/>
        <w:rPr>
          <w:rFonts w:hint="eastAsia"/>
        </w:rPr>
      </w:pPr>
      <w:r>
        <w:rPr>
          <w:rFonts w:hint="eastAsia"/>
        </w:rPr>
        <w:t>方法通用，易扩展到多种编程语言与模型</w:t>
      </w:r>
      <w:r>
        <w:rPr>
          <w:rFonts w:hint="eastAsia"/>
          <w:lang w:eastAsia="zh-CN"/>
        </w:rPr>
        <w:t>。</w:t>
      </w:r>
      <w:r>
        <w:rPr>
          <w:rFonts w:hint="eastAsia"/>
        </w:rPr>
        <w:t>本发明基于“语法约定 + AST 匹配 + token 概率裁剪”的通用框架，可在替换语法参考文档与解析器的前提下扩展到 Java、C/C++、JavaScript 等多种编程语言，同时不依赖模型内部结构，可用于多种不同架构和规模的大语言模型。</w:t>
      </w:r>
    </w:p>
    <w:p>
      <w:pPr>
        <w:numPr>
          <w:ilvl w:val="0"/>
          <w:numId w:val="4"/>
        </w:numPr>
        <w:ind w:left="0" w:leftChars="0" w:firstLine="420" w:firstLineChars="0"/>
        <w:rPr>
          <w:rFonts w:hint="eastAsia"/>
        </w:rPr>
      </w:pPr>
      <w:r>
        <w:rPr>
          <w:rFonts w:hint="eastAsia"/>
        </w:rPr>
        <w:t>可与现有合规审计流程自然结合</w:t>
      </w:r>
      <w:r>
        <w:rPr>
          <w:rFonts w:hint="eastAsia"/>
          <w:lang w:eastAsia="zh-CN"/>
        </w:rPr>
        <w:t>。</w:t>
      </w:r>
      <w:r>
        <w:rPr>
          <w:rFonts w:hint="eastAsia"/>
        </w:rPr>
        <w:t>本发明方法以函数级源代码为检测单位，可方便地嵌入到企业的开源合规审计、模型训练数据治理流程中，用于判断目标大语言模型是否使用了带特定许可证约束的代码样本，为法律与合规团队提供量化证据。</w:t>
      </w:r>
    </w:p>
    <w:p>
      <w:pPr>
        <w:numPr>
          <w:ilvl w:val="0"/>
          <w:numId w:val="4"/>
        </w:numPr>
        <w:ind w:left="0" w:leftChars="0" w:firstLine="420" w:firstLineChars="0"/>
      </w:pPr>
      <w:r>
        <w:rPr>
          <w:rFonts w:hint="eastAsia"/>
        </w:rPr>
        <w:t>在不增加模型训练成本的前提下显著提升 MIA 性能</w:t>
      </w:r>
      <w:r>
        <w:rPr>
          <w:rFonts w:hint="eastAsia"/>
          <w:lang w:eastAsia="zh-CN"/>
        </w:rPr>
        <w:t>。</w:t>
      </w:r>
      <w:r>
        <w:rPr>
          <w:rFonts w:hint="eastAsia"/>
        </w:rPr>
        <w:t>本发明仅基于已训练模型的输出概率进行后处理，无需重新训练影子模型或构建复杂辅助模型，因此额外计算成本较低，但在多个模型与数据比例设置下取得显著优于现有方法的检测效果。</w:t>
      </w:r>
    </w:p>
    <w:p>
      <w:pPr>
        <w:snapToGrid w:val="0"/>
        <w:rPr>
          <w:b/>
        </w:rPr>
      </w:pPr>
      <w:r>
        <w:rPr>
          <w:rFonts w:hint="eastAsia"/>
          <w:b/>
        </w:rPr>
        <w:t>附图说明</w:t>
      </w:r>
    </w:p>
    <w:p>
      <w:pPr>
        <w:snapToGrid w:val="0"/>
        <w:ind w:firstLine="420"/>
      </w:pPr>
      <w:r>
        <w:rPr>
          <w:rFonts w:hint="eastAsia"/>
        </w:rPr>
        <w:t>图1为本发明的基本过程示意图。</w:t>
      </w:r>
    </w:p>
    <w:p>
      <w:pPr>
        <w:snapToGrid w:val="0"/>
        <w:jc w:val="center"/>
        <w:rPr>
          <w:rFonts w:hint="eastAsia" w:eastAsia="宋体"/>
          <w:lang w:eastAsia="zh-CN"/>
        </w:rPr>
      </w:pPr>
      <w:r>
        <w:rPr>
          <w:rFonts w:hint="eastAsia" w:eastAsia="宋体"/>
          <w:b/>
          <w:sz w:val="32"/>
          <w:szCs w:val="32"/>
          <w:lang w:eastAsia="zh-CN"/>
        </w:rPr>
        <w:drawing>
          <wp:inline distT="0" distB="0" distL="114300" distR="114300">
            <wp:extent cx="4258945" cy="3621405"/>
            <wp:effectExtent l="0" t="0" r="5080" b="5715"/>
            <wp:docPr id="2" name="图片 2" descr="overview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verview_01(1)"/>
                    <pic:cNvPicPr>
                      <a:picLocks noChangeAspect="1"/>
                    </pic:cNvPicPr>
                  </pic:nvPicPr>
                  <pic:blipFill>
                    <a:blip r:embed="rId6"/>
                    <a:srcRect l="24841" t="14451" r="24676" b="12166"/>
                    <a:stretch>
                      <a:fillRect/>
                    </a:stretch>
                  </pic:blipFill>
                  <pic:spPr>
                    <a:xfrm>
                      <a:off x="0" y="0"/>
                      <a:ext cx="4258945" cy="3621405"/>
                    </a:xfrm>
                    <a:prstGeom prst="rect">
                      <a:avLst/>
                    </a:prstGeom>
                  </pic:spPr>
                </pic:pic>
              </a:graphicData>
            </a:graphic>
          </wp:inline>
        </w:drawing>
      </w:r>
    </w:p>
    <w:p>
      <w:pPr>
        <w:snapToGrid w:val="0"/>
      </w:pPr>
    </w:p>
    <w:p>
      <w:pPr>
        <w:snapToGrid w:val="0"/>
        <w:rPr>
          <w:b/>
        </w:rPr>
      </w:pPr>
    </w:p>
    <w:p>
      <w:pPr>
        <w:snapToGrid w:val="0"/>
        <w:rPr>
          <w:b/>
        </w:rPr>
      </w:pPr>
      <w:r>
        <w:rPr>
          <w:rFonts w:hint="eastAsia"/>
          <w:b/>
        </w:rPr>
        <w:t xml:space="preserve">具体实施方式   </w:t>
      </w:r>
    </w:p>
    <w:p>
      <w:pPr>
        <w:ind w:firstLine="420"/>
        <w:rPr>
          <w:rFonts w:hint="eastAsia"/>
        </w:rPr>
      </w:pPr>
      <w:r>
        <w:rPr>
          <w:rFonts w:hint="eastAsia"/>
        </w:rPr>
        <w:t>本发明提供的一种语法感知的源代码成员推断方法，整体流程如下：</w:t>
      </w:r>
    </w:p>
    <w:p>
      <w:pPr>
        <w:numPr>
          <w:ilvl w:val="0"/>
          <w:numId w:val="5"/>
        </w:numPr>
        <w:ind w:firstLine="420"/>
        <w:rPr>
          <w:rFonts w:hint="eastAsia"/>
        </w:rPr>
      </w:pPr>
      <w:r>
        <w:rPr>
          <w:rFonts w:hint="eastAsia"/>
        </w:rPr>
        <w:t>构建语法约定集合：</w:t>
      </w:r>
    </w:p>
    <w:p>
      <w:pPr>
        <w:numPr>
          <w:ilvl w:val="0"/>
          <w:numId w:val="0"/>
        </w:numPr>
        <w:ind w:left="420" w:leftChars="0" w:firstLine="420" w:firstLineChars="0"/>
        <w:rPr>
          <w:rFonts w:hint="eastAsia"/>
        </w:rPr>
      </w:pPr>
      <w:r>
        <w:rPr>
          <w:rFonts w:hint="eastAsia"/>
        </w:rPr>
        <w:t>基于目标编程语言（如 Python）的官方语法规范，人工整理出一组语法约定，每条语法约定描述在特定语法结构下必然或高度确定出现的后继 token，例如括号、冒号、缩进块、固定关键字序列等。</w:t>
      </w:r>
    </w:p>
    <w:p>
      <w:pPr>
        <w:ind w:firstLine="420"/>
        <w:rPr>
          <w:rFonts w:hint="eastAsia"/>
        </w:rPr>
      </w:pPr>
      <w:r>
        <w:rPr>
          <w:rFonts w:hint="eastAsia"/>
          <w:lang w:eastAsia="zh-CN"/>
        </w:rPr>
        <w:t>（</w:t>
      </w:r>
      <w:r>
        <w:rPr>
          <w:rFonts w:hint="eastAsia"/>
          <w:lang w:val="en-US" w:eastAsia="zh-CN"/>
        </w:rPr>
        <w:t>2</w:t>
      </w:r>
      <w:r>
        <w:rPr>
          <w:rFonts w:hint="eastAsia"/>
          <w:lang w:eastAsia="zh-CN"/>
        </w:rPr>
        <w:t>）</w:t>
      </w:r>
      <w:r>
        <w:rPr>
          <w:rFonts w:hint="eastAsia"/>
        </w:rPr>
        <w:t>获取模型 token 概率：</w:t>
      </w:r>
    </w:p>
    <w:p>
      <w:pPr>
        <w:ind w:left="420" w:leftChars="0" w:firstLine="420"/>
        <w:rPr>
          <w:rFonts w:hint="eastAsia"/>
        </w:rPr>
      </w:pPr>
      <w:r>
        <w:rPr>
          <w:rFonts w:hint="eastAsia"/>
        </w:rPr>
        <w:t>将待检测的源代码样本以源码形式输入已训练好的大语言模型，调用模型自带的分词器，得到按顺序排列的 token 序列以及每个 token 在给定上下文下的条件概率。</w:t>
      </w:r>
    </w:p>
    <w:p>
      <w:pPr>
        <w:ind w:firstLine="420"/>
        <w:rPr>
          <w:rFonts w:hint="eastAsia"/>
        </w:rPr>
      </w:pPr>
      <w:r>
        <w:rPr>
          <w:rFonts w:hint="eastAsia"/>
          <w:lang w:eastAsia="zh-CN"/>
        </w:rPr>
        <w:t>（</w:t>
      </w:r>
      <w:r>
        <w:rPr>
          <w:rFonts w:hint="eastAsia"/>
          <w:lang w:val="en-US" w:eastAsia="zh-CN"/>
        </w:rPr>
        <w:t>3</w:t>
      </w:r>
      <w:r>
        <w:rPr>
          <w:rFonts w:hint="eastAsia"/>
          <w:lang w:eastAsia="zh-CN"/>
        </w:rPr>
        <w:t>）</w:t>
      </w:r>
      <w:r>
        <w:rPr>
          <w:rFonts w:hint="eastAsia"/>
        </w:rPr>
        <w:t>token 分解与 AST 对齐：</w:t>
      </w:r>
    </w:p>
    <w:p>
      <w:pPr>
        <w:ind w:left="420" w:leftChars="0" w:firstLine="420"/>
        <w:rPr>
          <w:rFonts w:hint="eastAsia"/>
        </w:rPr>
      </w:pPr>
      <w:r>
        <w:rPr>
          <w:rFonts w:hint="eastAsia"/>
        </w:rPr>
        <w:t>对模型产生的原始 token 进行子 token 分解，对包含多个语法符号或关键字的 token 按字符或关键字边界切分；同时使用语言自带的语法分析器生成抽象语法树 AST，并根据子 token 在源码中的位置信息，将子 token 与 AST 中的对应语法节点进行对齐。</w:t>
      </w:r>
    </w:p>
    <w:p>
      <w:pPr>
        <w:ind w:firstLine="420"/>
        <w:rPr>
          <w:rFonts w:hint="eastAsia"/>
        </w:rPr>
      </w:pPr>
      <w:r>
        <w:rPr>
          <w:rFonts w:hint="eastAsia"/>
          <w:lang w:eastAsia="zh-CN"/>
        </w:rPr>
        <w:t>（</w:t>
      </w:r>
      <w:r>
        <w:rPr>
          <w:rFonts w:hint="eastAsia"/>
          <w:lang w:val="en-US" w:eastAsia="zh-CN"/>
        </w:rPr>
        <w:t>4</w:t>
      </w:r>
      <w:r>
        <w:rPr>
          <w:rFonts w:hint="eastAsia"/>
          <w:lang w:eastAsia="zh-CN"/>
        </w:rPr>
        <w:t>）</w:t>
      </w:r>
      <w:r>
        <w:rPr>
          <w:rFonts w:hint="eastAsia"/>
        </w:rPr>
        <w:t>语法约定 token 识别与剔除：</w:t>
      </w:r>
    </w:p>
    <w:p>
      <w:pPr>
        <w:ind w:left="420" w:leftChars="0" w:firstLine="420"/>
        <w:rPr>
          <w:rFonts w:hint="eastAsia"/>
        </w:rPr>
      </w:pPr>
      <w:r>
        <w:rPr>
          <w:rFonts w:hint="eastAsia"/>
        </w:rPr>
        <w:t>对每个子 token，检查其是否与语法约定集合中的后继 token 匹配，并结合 AST 节点判断是否满足对应前件条件。若某一原始 token 的全部子 token 均满足至少一条语法约定，则将该原始 token 视为语法约定 token，从后续成员评分计算中剔除；其余 token 作为保留 token。</w:t>
      </w:r>
    </w:p>
    <w:p>
      <w:pPr>
        <w:ind w:firstLine="420"/>
        <w:rPr>
          <w:rFonts w:hint="eastAsia"/>
        </w:rPr>
      </w:pPr>
      <w:r>
        <w:rPr>
          <w:rFonts w:hint="eastAsia"/>
          <w:lang w:eastAsia="zh-CN"/>
        </w:rPr>
        <w:t>（</w:t>
      </w:r>
      <w:r>
        <w:rPr>
          <w:rFonts w:hint="eastAsia"/>
          <w:lang w:val="en-US" w:eastAsia="zh-CN"/>
        </w:rPr>
        <w:t>5</w:t>
      </w:r>
      <w:r>
        <w:rPr>
          <w:rFonts w:hint="eastAsia"/>
          <w:lang w:eastAsia="zh-CN"/>
        </w:rPr>
        <w:t>）</w:t>
      </w:r>
      <w:r>
        <w:rPr>
          <w:rFonts w:hint="eastAsia"/>
        </w:rPr>
        <w:t>成员评分计算与判定：</w:t>
      </w:r>
    </w:p>
    <w:p>
      <w:pPr>
        <w:ind w:left="420" w:leftChars="0" w:firstLine="420" w:firstLineChars="0"/>
        <w:rPr>
          <w:color w:val="FF0000"/>
          <w:szCs w:val="24"/>
        </w:rPr>
      </w:pPr>
      <w:r>
        <w:rPr>
          <w:rFonts w:hint="eastAsia"/>
        </w:rPr>
        <w:t>仅基于保留 token 对应的概率计算成员评分，例如对保留 token 的负对数概率求平均，得到目标源代码样本的成员评分。通过在验证数据集上预先选定阈值，在实际检测时将成员评分与阈值比较，从而判断该样本是否属于大语言模型的预训练数据成员。</w:t>
      </w:r>
    </w:p>
    <w:sectPr>
      <w:pgSz w:w="11906" w:h="16838"/>
      <w:pgMar w:top="1440" w:right="1080" w:bottom="1440" w:left="108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885417"/>
    <w:multiLevelType w:val="singleLevel"/>
    <w:tmpl w:val="C0885417"/>
    <w:lvl w:ilvl="0" w:tentative="0">
      <w:start w:val="1"/>
      <w:numFmt w:val="decimal"/>
      <w:suff w:val="nothing"/>
      <w:lvlText w:val="（%1）"/>
      <w:lvlJc w:val="left"/>
    </w:lvl>
  </w:abstractNum>
  <w:abstractNum w:abstractNumId="1">
    <w:nsid w:val="E926271A"/>
    <w:multiLevelType w:val="singleLevel"/>
    <w:tmpl w:val="E926271A"/>
    <w:lvl w:ilvl="0" w:tentative="0">
      <w:start w:val="1"/>
      <w:numFmt w:val="decimal"/>
      <w:suff w:val="space"/>
      <w:lvlText w:val="%1."/>
      <w:lvlJc w:val="left"/>
    </w:lvl>
  </w:abstractNum>
  <w:abstractNum w:abstractNumId="2">
    <w:nsid w:val="F9206FF8"/>
    <w:multiLevelType w:val="multilevel"/>
    <w:tmpl w:val="F9206FF8"/>
    <w:lvl w:ilvl="0" w:tentative="0">
      <w:start w:val="2"/>
      <w:numFmt w:val="decimal"/>
      <w:lvlText w:val="%1."/>
      <w:lvlJc w:val="left"/>
      <w:pPr>
        <w:tabs>
          <w:tab w:val="left" w:pos="732"/>
        </w:tabs>
        <w:ind w:left="420"/>
      </w:pPr>
    </w:lvl>
    <w:lvl w:ilvl="1" w:tentative="0">
      <w:start w:val="1"/>
      <w:numFmt w:val="decimal"/>
      <w:lvlText w:val="(%2)"/>
      <w:lvlJc w:val="left"/>
      <w:pPr>
        <w:tabs>
          <w:tab w:val="left" w:pos="840"/>
        </w:tabs>
        <w:ind w:left="1260" w:leftChars="0" w:hanging="420" w:firstLineChars="0"/>
      </w:pPr>
      <w:rPr>
        <w:rFonts w:hint="default"/>
      </w:rPr>
    </w:lvl>
    <w:lvl w:ilvl="2" w:tentative="0">
      <w:start w:val="1"/>
      <w:numFmt w:val="decimalEnclosedCircleChinese"/>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3">
    <w:nsid w:val="47A1D318"/>
    <w:multiLevelType w:val="singleLevel"/>
    <w:tmpl w:val="47A1D318"/>
    <w:lvl w:ilvl="0" w:tentative="0">
      <w:start w:val="1"/>
      <w:numFmt w:val="decimal"/>
      <w:suff w:val="space"/>
      <w:lvlText w:val="%1."/>
      <w:lvlJc w:val="left"/>
    </w:lvl>
  </w:abstractNum>
  <w:abstractNum w:abstractNumId="4">
    <w:nsid w:val="6703EF9E"/>
    <w:multiLevelType w:val="singleLevel"/>
    <w:tmpl w:val="6703EF9E"/>
    <w:lvl w:ilvl="0" w:tentative="0">
      <w:start w:val="1"/>
      <w:numFmt w:val="decimal"/>
      <w:suff w:val="space"/>
      <w:lvlText w:val="%1."/>
      <w:lvlJc w:val="left"/>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FmMWJmZjM1MTUzOGJhZGQ2YzVjZTI0ZGVkOTAwZTkifQ=="/>
  </w:docVars>
  <w:rsids>
    <w:rsidRoot w:val="005577A0"/>
    <w:rsid w:val="00006010"/>
    <w:rsid w:val="0001314B"/>
    <w:rsid w:val="000164D2"/>
    <w:rsid w:val="000243C6"/>
    <w:rsid w:val="00034997"/>
    <w:rsid w:val="0004097E"/>
    <w:rsid w:val="0004334F"/>
    <w:rsid w:val="000452C7"/>
    <w:rsid w:val="00052579"/>
    <w:rsid w:val="000539FA"/>
    <w:rsid w:val="0006092A"/>
    <w:rsid w:val="00065847"/>
    <w:rsid w:val="0008434A"/>
    <w:rsid w:val="00094B4A"/>
    <w:rsid w:val="000A0A33"/>
    <w:rsid w:val="000A76A1"/>
    <w:rsid w:val="000B47B7"/>
    <w:rsid w:val="000B7901"/>
    <w:rsid w:val="000D48DB"/>
    <w:rsid w:val="000E0C68"/>
    <w:rsid w:val="000E40B6"/>
    <w:rsid w:val="000F0905"/>
    <w:rsid w:val="000F0AA3"/>
    <w:rsid w:val="000F6021"/>
    <w:rsid w:val="001018AC"/>
    <w:rsid w:val="00105813"/>
    <w:rsid w:val="00112362"/>
    <w:rsid w:val="00113228"/>
    <w:rsid w:val="001136D0"/>
    <w:rsid w:val="001228A0"/>
    <w:rsid w:val="00130C12"/>
    <w:rsid w:val="00142ED3"/>
    <w:rsid w:val="001430C0"/>
    <w:rsid w:val="00150DC3"/>
    <w:rsid w:val="00152558"/>
    <w:rsid w:val="00156B84"/>
    <w:rsid w:val="001628E6"/>
    <w:rsid w:val="00166F72"/>
    <w:rsid w:val="00171D23"/>
    <w:rsid w:val="00182BC1"/>
    <w:rsid w:val="00190CFD"/>
    <w:rsid w:val="00194CD1"/>
    <w:rsid w:val="00194D1F"/>
    <w:rsid w:val="00197D57"/>
    <w:rsid w:val="001B0612"/>
    <w:rsid w:val="001B0FEF"/>
    <w:rsid w:val="001B202F"/>
    <w:rsid w:val="001B73EB"/>
    <w:rsid w:val="001C32B0"/>
    <w:rsid w:val="001C4413"/>
    <w:rsid w:val="001C46B5"/>
    <w:rsid w:val="001D0505"/>
    <w:rsid w:val="001D12A4"/>
    <w:rsid w:val="001D35F3"/>
    <w:rsid w:val="001D6783"/>
    <w:rsid w:val="001D766D"/>
    <w:rsid w:val="001D7BC5"/>
    <w:rsid w:val="001E0D79"/>
    <w:rsid w:val="001E2F95"/>
    <w:rsid w:val="001E30CD"/>
    <w:rsid w:val="001E5193"/>
    <w:rsid w:val="001E5315"/>
    <w:rsid w:val="001F29EA"/>
    <w:rsid w:val="001F5234"/>
    <w:rsid w:val="001F7788"/>
    <w:rsid w:val="00205AB3"/>
    <w:rsid w:val="00207B00"/>
    <w:rsid w:val="00211AF4"/>
    <w:rsid w:val="00217812"/>
    <w:rsid w:val="00222AB1"/>
    <w:rsid w:val="00225BAF"/>
    <w:rsid w:val="00233A16"/>
    <w:rsid w:val="002344F9"/>
    <w:rsid w:val="0024349E"/>
    <w:rsid w:val="00243BC4"/>
    <w:rsid w:val="00244B40"/>
    <w:rsid w:val="00250549"/>
    <w:rsid w:val="00252A6E"/>
    <w:rsid w:val="0025746A"/>
    <w:rsid w:val="0026040D"/>
    <w:rsid w:val="00260A0A"/>
    <w:rsid w:val="002662CE"/>
    <w:rsid w:val="0027037D"/>
    <w:rsid w:val="00286972"/>
    <w:rsid w:val="00296665"/>
    <w:rsid w:val="002A267A"/>
    <w:rsid w:val="002A2753"/>
    <w:rsid w:val="002A7132"/>
    <w:rsid w:val="002B7166"/>
    <w:rsid w:val="002B7633"/>
    <w:rsid w:val="002C2E00"/>
    <w:rsid w:val="002C51ED"/>
    <w:rsid w:val="002C724A"/>
    <w:rsid w:val="002E2AB0"/>
    <w:rsid w:val="002F0431"/>
    <w:rsid w:val="00331F7D"/>
    <w:rsid w:val="003333A5"/>
    <w:rsid w:val="00334414"/>
    <w:rsid w:val="003345E9"/>
    <w:rsid w:val="00341691"/>
    <w:rsid w:val="00356754"/>
    <w:rsid w:val="00356B73"/>
    <w:rsid w:val="00364C3A"/>
    <w:rsid w:val="003730C4"/>
    <w:rsid w:val="00375304"/>
    <w:rsid w:val="00392C3F"/>
    <w:rsid w:val="0039595A"/>
    <w:rsid w:val="003A5298"/>
    <w:rsid w:val="003A7596"/>
    <w:rsid w:val="003B1BAD"/>
    <w:rsid w:val="003B59E4"/>
    <w:rsid w:val="003B5ECB"/>
    <w:rsid w:val="003C1D89"/>
    <w:rsid w:val="003C30A0"/>
    <w:rsid w:val="003C3B12"/>
    <w:rsid w:val="003D1D4C"/>
    <w:rsid w:val="003D2F06"/>
    <w:rsid w:val="003D4099"/>
    <w:rsid w:val="003D63B5"/>
    <w:rsid w:val="003D7C4D"/>
    <w:rsid w:val="003E4568"/>
    <w:rsid w:val="003E7059"/>
    <w:rsid w:val="003F107F"/>
    <w:rsid w:val="003F2808"/>
    <w:rsid w:val="003F39A4"/>
    <w:rsid w:val="003F3FDB"/>
    <w:rsid w:val="003F45DF"/>
    <w:rsid w:val="003F4B87"/>
    <w:rsid w:val="003F53EB"/>
    <w:rsid w:val="0040523F"/>
    <w:rsid w:val="00406356"/>
    <w:rsid w:val="00407A00"/>
    <w:rsid w:val="00412D80"/>
    <w:rsid w:val="00413FB6"/>
    <w:rsid w:val="00416D8E"/>
    <w:rsid w:val="004307D0"/>
    <w:rsid w:val="00432040"/>
    <w:rsid w:val="0043342E"/>
    <w:rsid w:val="004464B0"/>
    <w:rsid w:val="00454C61"/>
    <w:rsid w:val="00455C4A"/>
    <w:rsid w:val="00457FB7"/>
    <w:rsid w:val="00471DBA"/>
    <w:rsid w:val="00481263"/>
    <w:rsid w:val="00481740"/>
    <w:rsid w:val="004834D6"/>
    <w:rsid w:val="004838D4"/>
    <w:rsid w:val="00483B8A"/>
    <w:rsid w:val="00485533"/>
    <w:rsid w:val="00490E5F"/>
    <w:rsid w:val="004915BA"/>
    <w:rsid w:val="004919EF"/>
    <w:rsid w:val="004A3B33"/>
    <w:rsid w:val="004A5F31"/>
    <w:rsid w:val="004B1287"/>
    <w:rsid w:val="004D046C"/>
    <w:rsid w:val="004D7B49"/>
    <w:rsid w:val="004E3563"/>
    <w:rsid w:val="004E381B"/>
    <w:rsid w:val="004E4B9C"/>
    <w:rsid w:val="004E67CD"/>
    <w:rsid w:val="004E6E19"/>
    <w:rsid w:val="004F4BBD"/>
    <w:rsid w:val="005008EB"/>
    <w:rsid w:val="00503413"/>
    <w:rsid w:val="00510FCA"/>
    <w:rsid w:val="00515D7C"/>
    <w:rsid w:val="00525F43"/>
    <w:rsid w:val="005261CD"/>
    <w:rsid w:val="00526ACA"/>
    <w:rsid w:val="00531DB4"/>
    <w:rsid w:val="005328EA"/>
    <w:rsid w:val="0054671D"/>
    <w:rsid w:val="005473D3"/>
    <w:rsid w:val="00553048"/>
    <w:rsid w:val="005577A0"/>
    <w:rsid w:val="005614FC"/>
    <w:rsid w:val="00564143"/>
    <w:rsid w:val="00565289"/>
    <w:rsid w:val="0056604B"/>
    <w:rsid w:val="0058083F"/>
    <w:rsid w:val="00580F31"/>
    <w:rsid w:val="00591393"/>
    <w:rsid w:val="005939C6"/>
    <w:rsid w:val="005A0FCC"/>
    <w:rsid w:val="005A196B"/>
    <w:rsid w:val="005A2A2C"/>
    <w:rsid w:val="005A4A46"/>
    <w:rsid w:val="005B3D61"/>
    <w:rsid w:val="005C5233"/>
    <w:rsid w:val="005D6606"/>
    <w:rsid w:val="005E3C4F"/>
    <w:rsid w:val="005E3FD1"/>
    <w:rsid w:val="005F4251"/>
    <w:rsid w:val="005F6548"/>
    <w:rsid w:val="005F6DC0"/>
    <w:rsid w:val="005F77E2"/>
    <w:rsid w:val="00604E62"/>
    <w:rsid w:val="00605465"/>
    <w:rsid w:val="00614F94"/>
    <w:rsid w:val="0061723D"/>
    <w:rsid w:val="00630CC4"/>
    <w:rsid w:val="006405BA"/>
    <w:rsid w:val="006502D2"/>
    <w:rsid w:val="00664B44"/>
    <w:rsid w:val="00670E4D"/>
    <w:rsid w:val="00670F1E"/>
    <w:rsid w:val="0067122B"/>
    <w:rsid w:val="00674FDA"/>
    <w:rsid w:val="006840E3"/>
    <w:rsid w:val="00690624"/>
    <w:rsid w:val="00692FDD"/>
    <w:rsid w:val="006A64FE"/>
    <w:rsid w:val="006A70B3"/>
    <w:rsid w:val="006B12FA"/>
    <w:rsid w:val="006B2D58"/>
    <w:rsid w:val="006D0EB2"/>
    <w:rsid w:val="006D107E"/>
    <w:rsid w:val="006F33B4"/>
    <w:rsid w:val="006F59EF"/>
    <w:rsid w:val="00701F53"/>
    <w:rsid w:val="00707BB9"/>
    <w:rsid w:val="00712508"/>
    <w:rsid w:val="00717F21"/>
    <w:rsid w:val="007206F6"/>
    <w:rsid w:val="00722D70"/>
    <w:rsid w:val="00722E57"/>
    <w:rsid w:val="00724DDD"/>
    <w:rsid w:val="007256B1"/>
    <w:rsid w:val="00727921"/>
    <w:rsid w:val="00731A91"/>
    <w:rsid w:val="00732632"/>
    <w:rsid w:val="007326D4"/>
    <w:rsid w:val="00740F7C"/>
    <w:rsid w:val="007519A3"/>
    <w:rsid w:val="00753F6B"/>
    <w:rsid w:val="0075426B"/>
    <w:rsid w:val="0075716F"/>
    <w:rsid w:val="00761DAD"/>
    <w:rsid w:val="00764C47"/>
    <w:rsid w:val="00767495"/>
    <w:rsid w:val="00771810"/>
    <w:rsid w:val="00780C90"/>
    <w:rsid w:val="0078445B"/>
    <w:rsid w:val="00786C50"/>
    <w:rsid w:val="00791CB1"/>
    <w:rsid w:val="00791E06"/>
    <w:rsid w:val="00794540"/>
    <w:rsid w:val="007B165C"/>
    <w:rsid w:val="007B2566"/>
    <w:rsid w:val="007B38A2"/>
    <w:rsid w:val="007B4EEA"/>
    <w:rsid w:val="007C3C7F"/>
    <w:rsid w:val="007D1801"/>
    <w:rsid w:val="007D30F4"/>
    <w:rsid w:val="007E170E"/>
    <w:rsid w:val="007E3555"/>
    <w:rsid w:val="007E4D61"/>
    <w:rsid w:val="007F25F7"/>
    <w:rsid w:val="00802F17"/>
    <w:rsid w:val="00805D6C"/>
    <w:rsid w:val="00810C1A"/>
    <w:rsid w:val="00815697"/>
    <w:rsid w:val="008236F0"/>
    <w:rsid w:val="00825886"/>
    <w:rsid w:val="00842CCB"/>
    <w:rsid w:val="0084310B"/>
    <w:rsid w:val="00844574"/>
    <w:rsid w:val="00846953"/>
    <w:rsid w:val="00850916"/>
    <w:rsid w:val="00851206"/>
    <w:rsid w:val="00853FDA"/>
    <w:rsid w:val="008550C1"/>
    <w:rsid w:val="00862AA6"/>
    <w:rsid w:val="00873C7E"/>
    <w:rsid w:val="0087415C"/>
    <w:rsid w:val="0087458D"/>
    <w:rsid w:val="008779F1"/>
    <w:rsid w:val="0088240E"/>
    <w:rsid w:val="00890A5E"/>
    <w:rsid w:val="008A17E9"/>
    <w:rsid w:val="008A1F13"/>
    <w:rsid w:val="008A3881"/>
    <w:rsid w:val="008A4CA3"/>
    <w:rsid w:val="008A5101"/>
    <w:rsid w:val="008B03F0"/>
    <w:rsid w:val="008B1FD9"/>
    <w:rsid w:val="008C4AD5"/>
    <w:rsid w:val="008C76CA"/>
    <w:rsid w:val="008D4529"/>
    <w:rsid w:val="008D541D"/>
    <w:rsid w:val="008D6907"/>
    <w:rsid w:val="008E0C14"/>
    <w:rsid w:val="008E19B7"/>
    <w:rsid w:val="008E43D5"/>
    <w:rsid w:val="00900D79"/>
    <w:rsid w:val="009038D0"/>
    <w:rsid w:val="0090665D"/>
    <w:rsid w:val="00907421"/>
    <w:rsid w:val="0091209F"/>
    <w:rsid w:val="00913C91"/>
    <w:rsid w:val="00925712"/>
    <w:rsid w:val="00926157"/>
    <w:rsid w:val="009321DB"/>
    <w:rsid w:val="00936462"/>
    <w:rsid w:val="00940454"/>
    <w:rsid w:val="0094488E"/>
    <w:rsid w:val="00947217"/>
    <w:rsid w:val="00956BA1"/>
    <w:rsid w:val="00962FB8"/>
    <w:rsid w:val="00966FD6"/>
    <w:rsid w:val="00967152"/>
    <w:rsid w:val="0097323A"/>
    <w:rsid w:val="009768C1"/>
    <w:rsid w:val="00994421"/>
    <w:rsid w:val="0099537F"/>
    <w:rsid w:val="00995CEA"/>
    <w:rsid w:val="009A153C"/>
    <w:rsid w:val="009A1E72"/>
    <w:rsid w:val="009B0FF1"/>
    <w:rsid w:val="009B6800"/>
    <w:rsid w:val="009C288B"/>
    <w:rsid w:val="009C6ECD"/>
    <w:rsid w:val="009D20FF"/>
    <w:rsid w:val="009D4D3D"/>
    <w:rsid w:val="009D5F96"/>
    <w:rsid w:val="009E0799"/>
    <w:rsid w:val="009E1E00"/>
    <w:rsid w:val="009E39DC"/>
    <w:rsid w:val="009E3D74"/>
    <w:rsid w:val="009E5AED"/>
    <w:rsid w:val="009F20B2"/>
    <w:rsid w:val="009F63E0"/>
    <w:rsid w:val="00A03FD0"/>
    <w:rsid w:val="00A073E6"/>
    <w:rsid w:val="00A119E6"/>
    <w:rsid w:val="00A4378D"/>
    <w:rsid w:val="00A46317"/>
    <w:rsid w:val="00A511AB"/>
    <w:rsid w:val="00A51D32"/>
    <w:rsid w:val="00A5296C"/>
    <w:rsid w:val="00A538F7"/>
    <w:rsid w:val="00A56BE1"/>
    <w:rsid w:val="00A60561"/>
    <w:rsid w:val="00A75D1A"/>
    <w:rsid w:val="00A83328"/>
    <w:rsid w:val="00A879E9"/>
    <w:rsid w:val="00A87C40"/>
    <w:rsid w:val="00A87F00"/>
    <w:rsid w:val="00A90303"/>
    <w:rsid w:val="00A91DA4"/>
    <w:rsid w:val="00A95FFC"/>
    <w:rsid w:val="00A96C90"/>
    <w:rsid w:val="00A97C48"/>
    <w:rsid w:val="00AA1CCB"/>
    <w:rsid w:val="00AA73A4"/>
    <w:rsid w:val="00AC053A"/>
    <w:rsid w:val="00AC36CA"/>
    <w:rsid w:val="00AD4274"/>
    <w:rsid w:val="00AE0C3D"/>
    <w:rsid w:val="00AE12EF"/>
    <w:rsid w:val="00AE2EAD"/>
    <w:rsid w:val="00AF014A"/>
    <w:rsid w:val="00AF7466"/>
    <w:rsid w:val="00AF7892"/>
    <w:rsid w:val="00B0058F"/>
    <w:rsid w:val="00B01298"/>
    <w:rsid w:val="00B05231"/>
    <w:rsid w:val="00B1178F"/>
    <w:rsid w:val="00B11AF8"/>
    <w:rsid w:val="00B14102"/>
    <w:rsid w:val="00B17705"/>
    <w:rsid w:val="00B17E9F"/>
    <w:rsid w:val="00B2013A"/>
    <w:rsid w:val="00B20525"/>
    <w:rsid w:val="00B236DD"/>
    <w:rsid w:val="00B25912"/>
    <w:rsid w:val="00B34B18"/>
    <w:rsid w:val="00B5299D"/>
    <w:rsid w:val="00B55F5B"/>
    <w:rsid w:val="00B56C10"/>
    <w:rsid w:val="00B57990"/>
    <w:rsid w:val="00B615A5"/>
    <w:rsid w:val="00B660FD"/>
    <w:rsid w:val="00B71F4A"/>
    <w:rsid w:val="00B72237"/>
    <w:rsid w:val="00B73C5D"/>
    <w:rsid w:val="00B77107"/>
    <w:rsid w:val="00B83FE2"/>
    <w:rsid w:val="00B85082"/>
    <w:rsid w:val="00B86ACF"/>
    <w:rsid w:val="00B86F5B"/>
    <w:rsid w:val="00B91B1D"/>
    <w:rsid w:val="00B92CB1"/>
    <w:rsid w:val="00B94658"/>
    <w:rsid w:val="00B95B2A"/>
    <w:rsid w:val="00B9652E"/>
    <w:rsid w:val="00BA43EE"/>
    <w:rsid w:val="00BA5812"/>
    <w:rsid w:val="00BC0DEF"/>
    <w:rsid w:val="00BC2417"/>
    <w:rsid w:val="00BC5F93"/>
    <w:rsid w:val="00BD4267"/>
    <w:rsid w:val="00BE0FEA"/>
    <w:rsid w:val="00BE3DAD"/>
    <w:rsid w:val="00BE50EA"/>
    <w:rsid w:val="00BE7D79"/>
    <w:rsid w:val="00BF01CC"/>
    <w:rsid w:val="00BF1948"/>
    <w:rsid w:val="00BF25DA"/>
    <w:rsid w:val="00C0630D"/>
    <w:rsid w:val="00C15E3E"/>
    <w:rsid w:val="00C20521"/>
    <w:rsid w:val="00C226BF"/>
    <w:rsid w:val="00C3290C"/>
    <w:rsid w:val="00C40EA3"/>
    <w:rsid w:val="00C42B3D"/>
    <w:rsid w:val="00C43300"/>
    <w:rsid w:val="00C44D7F"/>
    <w:rsid w:val="00C52A8B"/>
    <w:rsid w:val="00C5314A"/>
    <w:rsid w:val="00C53CBB"/>
    <w:rsid w:val="00C5580B"/>
    <w:rsid w:val="00C62724"/>
    <w:rsid w:val="00C63B0C"/>
    <w:rsid w:val="00C7075D"/>
    <w:rsid w:val="00C73954"/>
    <w:rsid w:val="00C87BF5"/>
    <w:rsid w:val="00C963EE"/>
    <w:rsid w:val="00CA3305"/>
    <w:rsid w:val="00CA64AB"/>
    <w:rsid w:val="00CA7550"/>
    <w:rsid w:val="00CB2D55"/>
    <w:rsid w:val="00CB427A"/>
    <w:rsid w:val="00CD0F89"/>
    <w:rsid w:val="00CD5486"/>
    <w:rsid w:val="00CD5B63"/>
    <w:rsid w:val="00CE6C9A"/>
    <w:rsid w:val="00CF38D6"/>
    <w:rsid w:val="00CF48FB"/>
    <w:rsid w:val="00D007A5"/>
    <w:rsid w:val="00D14F34"/>
    <w:rsid w:val="00D17D31"/>
    <w:rsid w:val="00D22376"/>
    <w:rsid w:val="00D237DB"/>
    <w:rsid w:val="00D30FA2"/>
    <w:rsid w:val="00D31FC6"/>
    <w:rsid w:val="00D327CF"/>
    <w:rsid w:val="00D34CD1"/>
    <w:rsid w:val="00D35D4E"/>
    <w:rsid w:val="00D44555"/>
    <w:rsid w:val="00D45EEB"/>
    <w:rsid w:val="00D55C0E"/>
    <w:rsid w:val="00D624A5"/>
    <w:rsid w:val="00D702E2"/>
    <w:rsid w:val="00D720D1"/>
    <w:rsid w:val="00D81FC8"/>
    <w:rsid w:val="00D85873"/>
    <w:rsid w:val="00D85918"/>
    <w:rsid w:val="00D86303"/>
    <w:rsid w:val="00D90D4A"/>
    <w:rsid w:val="00D910AA"/>
    <w:rsid w:val="00D91414"/>
    <w:rsid w:val="00D97AEF"/>
    <w:rsid w:val="00D97D3A"/>
    <w:rsid w:val="00DA0459"/>
    <w:rsid w:val="00DA0727"/>
    <w:rsid w:val="00DA083F"/>
    <w:rsid w:val="00DB5F66"/>
    <w:rsid w:val="00DB62F6"/>
    <w:rsid w:val="00DB74B1"/>
    <w:rsid w:val="00DB7C19"/>
    <w:rsid w:val="00DC1714"/>
    <w:rsid w:val="00DC2AAE"/>
    <w:rsid w:val="00DC535C"/>
    <w:rsid w:val="00DC589F"/>
    <w:rsid w:val="00DD258C"/>
    <w:rsid w:val="00DD4B76"/>
    <w:rsid w:val="00DD7F5E"/>
    <w:rsid w:val="00DF0302"/>
    <w:rsid w:val="00DF3F73"/>
    <w:rsid w:val="00DF618E"/>
    <w:rsid w:val="00E04B2A"/>
    <w:rsid w:val="00E05211"/>
    <w:rsid w:val="00E104E5"/>
    <w:rsid w:val="00E11CD6"/>
    <w:rsid w:val="00E13EE3"/>
    <w:rsid w:val="00E2384E"/>
    <w:rsid w:val="00E250C6"/>
    <w:rsid w:val="00E31A6E"/>
    <w:rsid w:val="00E37844"/>
    <w:rsid w:val="00E3790D"/>
    <w:rsid w:val="00E4051E"/>
    <w:rsid w:val="00E407A8"/>
    <w:rsid w:val="00E431C7"/>
    <w:rsid w:val="00E454BE"/>
    <w:rsid w:val="00E5200C"/>
    <w:rsid w:val="00E57DE9"/>
    <w:rsid w:val="00E648CA"/>
    <w:rsid w:val="00E71F62"/>
    <w:rsid w:val="00E94E5A"/>
    <w:rsid w:val="00E94F86"/>
    <w:rsid w:val="00E95C2D"/>
    <w:rsid w:val="00EB0016"/>
    <w:rsid w:val="00EB10AD"/>
    <w:rsid w:val="00EB1545"/>
    <w:rsid w:val="00EC158E"/>
    <w:rsid w:val="00ED118C"/>
    <w:rsid w:val="00ED4ECF"/>
    <w:rsid w:val="00ED5139"/>
    <w:rsid w:val="00EE14FE"/>
    <w:rsid w:val="00EE5632"/>
    <w:rsid w:val="00EE6495"/>
    <w:rsid w:val="00EE6A41"/>
    <w:rsid w:val="00EF32C8"/>
    <w:rsid w:val="00EF5971"/>
    <w:rsid w:val="00EF6667"/>
    <w:rsid w:val="00F0451C"/>
    <w:rsid w:val="00F11715"/>
    <w:rsid w:val="00F11DED"/>
    <w:rsid w:val="00F14F03"/>
    <w:rsid w:val="00F14F28"/>
    <w:rsid w:val="00F150BE"/>
    <w:rsid w:val="00F16B2E"/>
    <w:rsid w:val="00F20197"/>
    <w:rsid w:val="00F211CD"/>
    <w:rsid w:val="00F21412"/>
    <w:rsid w:val="00F21AFE"/>
    <w:rsid w:val="00F23554"/>
    <w:rsid w:val="00F24002"/>
    <w:rsid w:val="00F26610"/>
    <w:rsid w:val="00F30800"/>
    <w:rsid w:val="00F348A4"/>
    <w:rsid w:val="00F41EA8"/>
    <w:rsid w:val="00F500A6"/>
    <w:rsid w:val="00F6493C"/>
    <w:rsid w:val="00F655E0"/>
    <w:rsid w:val="00F67822"/>
    <w:rsid w:val="00F71711"/>
    <w:rsid w:val="00F80CB4"/>
    <w:rsid w:val="00F81D10"/>
    <w:rsid w:val="00F85344"/>
    <w:rsid w:val="00F8540A"/>
    <w:rsid w:val="00F87933"/>
    <w:rsid w:val="00F910A1"/>
    <w:rsid w:val="00F971D8"/>
    <w:rsid w:val="00FB0D6A"/>
    <w:rsid w:val="00FB14EF"/>
    <w:rsid w:val="00FB1785"/>
    <w:rsid w:val="00FB7836"/>
    <w:rsid w:val="00FC1217"/>
    <w:rsid w:val="00FC2392"/>
    <w:rsid w:val="00FC296A"/>
    <w:rsid w:val="00FC2B39"/>
    <w:rsid w:val="00FC6B96"/>
    <w:rsid w:val="00FD2BF1"/>
    <w:rsid w:val="00FD3552"/>
    <w:rsid w:val="00FD50EE"/>
    <w:rsid w:val="00FD7749"/>
    <w:rsid w:val="00FE2233"/>
    <w:rsid w:val="00FF178F"/>
    <w:rsid w:val="00FF5213"/>
    <w:rsid w:val="0EC44FD6"/>
    <w:rsid w:val="10480942"/>
    <w:rsid w:val="15203C5A"/>
    <w:rsid w:val="1B82273A"/>
    <w:rsid w:val="32572810"/>
    <w:rsid w:val="44C143FE"/>
    <w:rsid w:val="45C868B6"/>
    <w:rsid w:val="66BE361D"/>
    <w:rsid w:val="693B0847"/>
    <w:rsid w:val="7DE4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pPr>
      <w:spacing w:line="240" w:lineRule="auto"/>
    </w:pPr>
    <w:rPr>
      <w:rFonts w:eastAsia="黑体" w:asciiTheme="majorHAnsi" w:hAnsiTheme="majorHAnsi" w:cstheme="majorBidi"/>
      <w:sz w:val="20"/>
      <w:szCs w:val="20"/>
    </w:rPr>
  </w:style>
  <w:style w:type="paragraph" w:styleId="5">
    <w:name w:val="annotation text"/>
    <w:basedOn w:val="1"/>
    <w:link w:val="27"/>
    <w:semiHidden/>
    <w:unhideWhenUsed/>
    <w:qFormat/>
    <w:uiPriority w:val="99"/>
    <w:pPr>
      <w:spacing w:line="240" w:lineRule="auto"/>
    </w:pPr>
    <w:rPr>
      <w:sz w:val="20"/>
      <w:szCs w:val="20"/>
    </w:rPr>
  </w:style>
  <w:style w:type="paragraph" w:styleId="6">
    <w:name w:val="endnote text"/>
    <w:basedOn w:val="1"/>
    <w:link w:val="20"/>
    <w:semiHidden/>
    <w:unhideWhenUsed/>
    <w:qFormat/>
    <w:uiPriority w:val="99"/>
    <w:pPr>
      <w:snapToGrid w:val="0"/>
      <w:jc w:val="left"/>
    </w:pPr>
  </w:style>
  <w:style w:type="paragraph" w:styleId="7">
    <w:name w:val="Balloon Text"/>
    <w:basedOn w:val="1"/>
    <w:link w:val="30"/>
    <w:semiHidden/>
    <w:unhideWhenUsed/>
    <w:qFormat/>
    <w:uiPriority w:val="99"/>
    <w:pPr>
      <w:spacing w:line="240" w:lineRule="auto"/>
    </w:pPr>
    <w:rPr>
      <w:sz w:val="18"/>
      <w:szCs w:val="18"/>
    </w:rPr>
  </w:style>
  <w:style w:type="paragraph" w:styleId="8">
    <w:name w:val="footer"/>
    <w:basedOn w:val="1"/>
    <w:link w:val="25"/>
    <w:unhideWhenUsed/>
    <w:qFormat/>
    <w:uiPriority w:val="99"/>
    <w:pPr>
      <w:tabs>
        <w:tab w:val="center" w:pos="4153"/>
        <w:tab w:val="right" w:pos="8306"/>
      </w:tabs>
      <w:snapToGrid w:val="0"/>
      <w:spacing w:line="240" w:lineRule="auto"/>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1">
    <w:name w:val="annotation subject"/>
    <w:basedOn w:val="5"/>
    <w:next w:val="5"/>
    <w:link w:val="28"/>
    <w:semiHidden/>
    <w:unhideWhenUsed/>
    <w:qFormat/>
    <w:uiPriority w:val="99"/>
    <w:rPr>
      <w:b/>
      <w:bCs/>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endnote reference"/>
    <w:basedOn w:val="14"/>
    <w:semiHidden/>
    <w:unhideWhenUsed/>
    <w:qFormat/>
    <w:uiPriority w:val="99"/>
    <w:rPr>
      <w:vertAlign w:val="superscript"/>
    </w:rPr>
  </w:style>
  <w:style w:type="character" w:styleId="17">
    <w:name w:val="FollowedHyperlink"/>
    <w:basedOn w:val="14"/>
    <w:semiHidden/>
    <w:unhideWhenUsed/>
    <w:qFormat/>
    <w:uiPriority w:val="99"/>
    <w:rPr>
      <w:color w:val="954F72" w:themeColor="followedHyperlink"/>
      <w:u w:val="single"/>
      <w14:textFill>
        <w14:solidFill>
          <w14:schemeClr w14:val="folHlink"/>
        </w14:solidFill>
      </w14:textFill>
    </w:rPr>
  </w:style>
  <w:style w:type="character" w:styleId="18">
    <w:name w:val="Hyperlink"/>
    <w:basedOn w:val="14"/>
    <w:unhideWhenUsed/>
    <w:qFormat/>
    <w:uiPriority w:val="99"/>
    <w:rPr>
      <w:color w:val="0563C1" w:themeColor="hyperlink"/>
      <w:u w:val="single"/>
      <w14:textFill>
        <w14:solidFill>
          <w14:schemeClr w14:val="hlink"/>
        </w14:solidFill>
      </w14:textFill>
    </w:rPr>
  </w:style>
  <w:style w:type="character" w:styleId="19">
    <w:name w:val="annotation reference"/>
    <w:basedOn w:val="14"/>
    <w:semiHidden/>
    <w:unhideWhenUsed/>
    <w:qFormat/>
    <w:uiPriority w:val="99"/>
    <w:rPr>
      <w:sz w:val="16"/>
      <w:szCs w:val="16"/>
    </w:rPr>
  </w:style>
  <w:style w:type="character" w:customStyle="1" w:styleId="20">
    <w:name w:val="Endnote Text Char"/>
    <w:basedOn w:val="14"/>
    <w:link w:val="6"/>
    <w:semiHidden/>
    <w:qFormat/>
    <w:uiPriority w:val="99"/>
  </w:style>
  <w:style w:type="paragraph" w:styleId="21">
    <w:name w:val="List Paragraph"/>
    <w:basedOn w:val="1"/>
    <w:qFormat/>
    <w:uiPriority w:val="34"/>
    <w:pPr>
      <w:ind w:firstLine="420" w:firstLineChars="200"/>
    </w:pPr>
  </w:style>
  <w:style w:type="character" w:customStyle="1" w:styleId="22">
    <w:name w:val="css-oiregd"/>
    <w:basedOn w:val="14"/>
    <w:qFormat/>
    <w:uiPriority w:val="0"/>
  </w:style>
  <w:style w:type="character" w:customStyle="1" w:styleId="23">
    <w:name w:val="css-1gp8mmq"/>
    <w:basedOn w:val="14"/>
    <w:qFormat/>
    <w:uiPriority w:val="0"/>
  </w:style>
  <w:style w:type="character" w:customStyle="1" w:styleId="24">
    <w:name w:val="Header Char"/>
    <w:basedOn w:val="14"/>
    <w:link w:val="9"/>
    <w:qFormat/>
    <w:uiPriority w:val="99"/>
    <w:rPr>
      <w:rFonts w:ascii="Times New Roman" w:hAnsi="Times New Roman" w:eastAsia="宋体"/>
      <w:sz w:val="18"/>
      <w:szCs w:val="18"/>
    </w:rPr>
  </w:style>
  <w:style w:type="character" w:customStyle="1" w:styleId="25">
    <w:name w:val="Footer Char"/>
    <w:basedOn w:val="14"/>
    <w:link w:val="8"/>
    <w:qFormat/>
    <w:uiPriority w:val="99"/>
    <w:rPr>
      <w:rFonts w:ascii="Times New Roman" w:hAnsi="Times New Roman" w:eastAsia="宋体"/>
      <w:sz w:val="18"/>
      <w:szCs w:val="18"/>
    </w:rPr>
  </w:style>
  <w:style w:type="paragraph" w:customStyle="1" w:styleId="26">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27">
    <w:name w:val="Comment Text Char"/>
    <w:basedOn w:val="14"/>
    <w:link w:val="5"/>
    <w:semiHidden/>
    <w:qFormat/>
    <w:uiPriority w:val="99"/>
    <w:rPr>
      <w:rFonts w:ascii="Times New Roman" w:hAnsi="Times New Roman" w:eastAsia="宋体"/>
      <w:sz w:val="20"/>
      <w:szCs w:val="20"/>
    </w:rPr>
  </w:style>
  <w:style w:type="character" w:customStyle="1" w:styleId="28">
    <w:name w:val="Comment Subject Char"/>
    <w:basedOn w:val="27"/>
    <w:link w:val="11"/>
    <w:semiHidden/>
    <w:qFormat/>
    <w:uiPriority w:val="99"/>
    <w:rPr>
      <w:rFonts w:ascii="Times New Roman" w:hAnsi="Times New Roman" w:eastAsia="宋体"/>
      <w:b/>
      <w:bCs/>
      <w:sz w:val="20"/>
      <w:szCs w:val="20"/>
    </w:rPr>
  </w:style>
  <w:style w:type="character" w:customStyle="1" w:styleId="29">
    <w:name w:val="Unresolved Mention1"/>
    <w:basedOn w:val="14"/>
    <w:semiHidden/>
    <w:unhideWhenUsed/>
    <w:qFormat/>
    <w:uiPriority w:val="99"/>
    <w:rPr>
      <w:color w:val="605E5C"/>
      <w:shd w:val="clear" w:color="auto" w:fill="E1DFDD"/>
    </w:rPr>
  </w:style>
  <w:style w:type="character" w:customStyle="1" w:styleId="30">
    <w:name w:val="Balloon Text Char"/>
    <w:basedOn w:val="14"/>
    <w:link w:val="7"/>
    <w:semiHidden/>
    <w:qFormat/>
    <w:uiPriority w:val="99"/>
    <w:rPr>
      <w:rFonts w:ascii="Times New Roman" w:hAnsi="Times New Roman" w:eastAsia="宋体"/>
      <w:sz w:val="18"/>
      <w:szCs w:val="18"/>
    </w:rPr>
  </w:style>
  <w:style w:type="character" w:customStyle="1" w:styleId="31">
    <w:name w:val="Unresolved Mention"/>
    <w:basedOn w:val="14"/>
    <w:semiHidden/>
    <w:unhideWhenUsed/>
    <w:qFormat/>
    <w:uiPriority w:val="99"/>
    <w:rPr>
      <w:color w:val="605E5C"/>
      <w:shd w:val="clear" w:color="auto" w:fill="E1DFDD"/>
    </w:rPr>
  </w:style>
  <w:style w:type="table" w:customStyle="1" w:styleId="32">
    <w:name w:val="Grid Table 1 Light Accent 3"/>
    <w:basedOn w:val="12"/>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table" w:customStyle="1" w:styleId="33">
    <w:name w:val="Grid Table 2"/>
    <w:basedOn w:val="12"/>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4097</Words>
  <Characters>4767</Characters>
  <Lines>39</Lines>
  <Paragraphs>11</Paragraphs>
  <TotalTime>0</TotalTime>
  <ScaleCrop>false</ScaleCrop>
  <LinksUpToDate>false</LinksUpToDate>
  <CharactersWithSpaces>4998</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2023-08-15T14:32:00Z</dcterms:created>
  <dc:creator>Ricewest_work</dc:creator>
  <cp:lastModifiedBy>陈茁扬</cp:lastModifiedBy>
  <dcterms:modified xsi:type="dcterms:W3CDTF">2025-11-14T07:24:29Z</dcterms:modified>
  <cp:revision>189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7EBAA12FD1AA4843AF54066B22BD309C_13</vt:lpwstr>
  </property>
</Properties>
</file>