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Bdr>
          <w:bottom w:val="single" w:sz="12" w:space="6" w:color="0F766E"/>
        </w:pBdr>
      </w:pPr>
      <w:r>
        <w:rPr>
          <w:rFonts w:ascii="Menlo" w:hAnsi="Menlo" w:eastAsia="Menlo"/>
          <w:b/>
          <w:color w:val="0F766E"/>
          <w:sz w:val="18"/>
        </w:rPr>
        <w:t>CASE STUDY · 2026</w:t>
      </w:r>
    </w:p>
    <w:p>
      <w:pPr>
        <w:spacing w:before="520"/>
      </w:pPr>
      <w:r>
        <w:rPr>
          <w:rFonts w:ascii="PingFang SC" w:hAnsi="PingFang SC" w:eastAsia="PingFang SC"/>
          <w:b/>
          <w:color w:val="0B1728"/>
          <w:sz w:val="54"/>
        </w:rPr>
        <w:t>BIM 施工安全协同 Agent 网站</w:t>
      </w:r>
    </w:p>
    <w:p>
      <w:pPr>
        <w:spacing w:before="120"/>
      </w:pPr>
      <w:r>
        <w:rPr>
          <w:rFonts w:ascii="PingFang SC" w:hAnsi="PingFang SC" w:eastAsia="PingFang SC"/>
          <w:color w:val="475569"/>
          <w:sz w:val="24"/>
        </w:rPr>
        <w:t>执行计划 · 资料整合 · 验收与交付</w:t>
      </w:r>
    </w:p>
    <w:p>
      <w:pPr>
        <w:spacing w:before="600"/>
      </w:pPr>
      <w:r>
        <w:rPr>
          <w:rFonts w:ascii="PingFang SC" w:hAnsi="PingFang SC" w:eastAsia="PingFang SC"/>
          <w:color w:val="475569"/>
          <w:sz w:val="21"/>
        </w:rPr>
        <w:t>BIM 施工安全协同平台（BIM-Safety Coordination Agent）</w:t>
        <w:br/>
        <w:t>围绕 S1 真实 IFC、模拟现场证据、现行规范与 12 项验收，构建可审核、可实施、可复核、可重新打开的 Safety Case。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706"/>
            <w:shd w:val="clear" w:color="auto" w:fill="E6F4F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0F766E"/>
                <w:sz w:val="19"/>
              </w:rPr>
              <w:t>文档版本</w:t>
            </w:r>
          </w:p>
        </w:tc>
        <w:tc>
          <w:tcPr>
            <w:tcW w:type="dxa" w:w="470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/>
            <w:r>
              <w:rPr>
                <w:rFonts w:ascii="PingFang SC" w:hAnsi="PingFang SC" w:eastAsia="PingFang SC"/>
                <w:color w:val="0B1728"/>
                <w:sz w:val="19"/>
              </w:rPr>
              <w:t>v1.0</w:t>
            </w:r>
          </w:p>
        </w:tc>
      </w:tr>
      <w:tr>
        <w:tc>
          <w:tcPr>
            <w:tcW w:type="dxa" w:w="4706"/>
            <w:shd w:val="clear" w:color="auto" w:fill="E6F4F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0F766E"/>
                <w:sz w:val="19"/>
              </w:rPr>
              <w:t>编制日期</w:t>
            </w:r>
          </w:p>
        </w:tc>
        <w:tc>
          <w:tcPr>
            <w:tcW w:type="dxa" w:w="470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/>
            <w:r>
              <w:rPr>
                <w:rFonts w:ascii="PingFang SC" w:hAnsi="PingFang SC" w:eastAsia="PingFang SC"/>
                <w:color w:val="0B1728"/>
                <w:sz w:val="19"/>
              </w:rPr>
              <w:t>2026-10-18</w:t>
            </w:r>
          </w:p>
        </w:tc>
      </w:tr>
      <w:tr>
        <w:tc>
          <w:tcPr>
            <w:tcW w:type="dxa" w:w="4706"/>
            <w:shd w:val="clear" w:color="auto" w:fill="E6F4F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0F766E"/>
                <w:sz w:val="19"/>
              </w:rPr>
              <w:t>依据</w:t>
            </w:r>
          </w:p>
        </w:tc>
        <w:tc>
          <w:tcPr>
            <w:tcW w:type="dxa" w:w="470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/>
            <w:r>
              <w:rPr>
                <w:rFonts w:ascii="PingFang SC" w:hAnsi="PingFang SC" w:eastAsia="PingFang SC"/>
                <w:color w:val="0B1728"/>
                <w:sz w:val="19"/>
              </w:rPr>
              <w:t>原始方案 DOCX、7 张聊天截图、06_Astra任务书、数据字典、SafetyCase Schema、12 项验收</w:t>
            </w:r>
          </w:p>
        </w:tc>
      </w:tr>
      <w:tr>
        <w:tc>
          <w:tcPr>
            <w:tcW w:type="dxa" w:w="4706"/>
            <w:shd w:val="clear" w:color="auto" w:fill="E6F4F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0F766E"/>
                <w:sz w:val="19"/>
              </w:rPr>
              <w:t>交付形态</w:t>
            </w:r>
          </w:p>
        </w:tc>
        <w:tc>
          <w:tcPr>
            <w:tcW w:type="dxa" w:w="470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/>
            <w:r>
              <w:rPr>
                <w:rFonts w:ascii="PingFang SC" w:hAnsi="PingFang SC" w:eastAsia="PingFang SC"/>
                <w:color w:val="0B1728"/>
                <w:sz w:val="19"/>
              </w:rPr>
              <w:t>访达资料包 + 可运行 Web 平台 + 测试报告 + 演示手册</w:t>
            </w:r>
          </w:p>
        </w:tc>
      </w:tr>
      <w:tr>
        <w:tc>
          <w:tcPr>
            <w:tcW w:type="dxa" w:w="4706"/>
            <w:shd w:val="clear" w:color="auto" w:fill="E6F4F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0F766E"/>
                <w:sz w:val="19"/>
              </w:rPr>
              <w:t>数据边界</w:t>
            </w:r>
          </w:p>
        </w:tc>
        <w:tc>
          <w:tcPr>
            <w:tcW w:type="dxa" w:w="470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/>
            <w:r>
              <w:rPr>
                <w:rFonts w:ascii="PingFang SC" w:hAnsi="PingFang SC" w:eastAsia="PingFang SC"/>
                <w:color w:val="0B1728"/>
                <w:sz w:val="19"/>
              </w:rPr>
              <w:t>真实 IFC 几何 + 模拟现场观察；不构成现场合规或事故概率结论</w:t>
            </w:r>
          </w:p>
        </w:tc>
      </w:tr>
    </w:tbl>
    <w:p>
      <w:pPr>
        <w:spacing w:before="440"/>
      </w:pPr>
      <w:r>
        <w:rPr>
          <w:rFonts w:ascii="PingFang SC" w:hAnsi="PingFang SC" w:eastAsia="PingFang SC"/>
          <w:color w:val="475569"/>
          <w:sz w:val="18"/>
        </w:rPr>
        <w:t>本计划按“完成标志”推进，不设日历工期。执行中如与任务书冲突，以任务书和数据事实为准。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706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计划版本</w:t>
            </w:r>
          </w:p>
        </w:tc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v1.0</w:t>
            </w:r>
          </w:p>
        </w:tc>
      </w:tr>
      <w:tr>
        <w:tc>
          <w:tcPr>
            <w:tcW w:type="dxa" w:w="4706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编制日期</w:t>
            </w:r>
          </w:p>
        </w:tc>
        <w:tc>
          <w:tcPr>
            <w:tcW w:type="dxa" w:w="4706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2026-10-18</w:t>
            </w:r>
          </w:p>
        </w:tc>
      </w:tr>
      <w:tr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依据</w:t>
            </w:r>
          </w:p>
        </w:tc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原始方案《BIM-Safety Coordination Agent for Construction Risk Management》、7 张聊天截图、06_Astra任务书/一次性完成Demo任务书.md、接口与工具约定.md、数据字典、SafetyCase Schema、12 项验收用例、S1 模型检查结果</w:t>
            </w:r>
          </w:p>
        </w:tc>
      </w:tr>
      <w:tr>
        <w:tc>
          <w:tcPr>
            <w:tcW w:type="dxa" w:w="4706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交付目标</w:t>
            </w:r>
          </w:p>
        </w:tc>
        <w:tc>
          <w:tcPr>
            <w:tcW w:type="dxa" w:w="4706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一个可实际演示的独立 Web 平台，以及按访达文件夹组织的资料整合包、执行计划、测试报告和演示手册</w:t>
            </w:r>
          </w:p>
        </w:tc>
      </w:tr>
      <w:tr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推进方式</w:t>
            </w:r>
          </w:p>
        </w:tc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按“完成标志”推进，不设日历工期；上一阶段验收未通过不进入下一阶段</w:t>
            </w:r>
          </w:p>
        </w:tc>
      </w:tr>
    </w:tbl>
    <w:p>
      <w:pPr>
        <w:spacing w:after="40"/>
      </w:pPr>
    </w:p>
    <w:p>
      <w:pPr>
        <w:pBdr>
          <w:bottom w:val="single" w:sz="6" w:space="6" w:color="E2E8F0"/>
        </w:pBdr>
      </w:pPr>
    </w:p>
    <w:p>
      <w:pPr>
        <w:pStyle w:val="Heading1"/>
      </w:pPr>
      <w:r>
        <w:t>1. 目标、边界与交付定义</w:t>
      </w:r>
    </w:p>
    <w:p>
      <w:pPr>
        <w:pStyle w:val="Heading2"/>
      </w:pPr>
      <w:r>
        <w:t>1.1 案例定位</w:t>
      </w:r>
    </w:p>
    <w:p>
      <w:r>
        <w:rPr>
          <w:rFonts w:ascii="PingFang SC" w:hAnsi="PingFang SC" w:eastAsia="PingFang SC"/>
          <w:sz w:val="21"/>
        </w:rPr>
        <w:t>案例名称：</w:t>
      </w:r>
      <w:r>
        <w:rPr>
          <w:rFonts w:ascii="PingFang SC" w:hAnsi="PingFang SC" w:eastAsia="PingFang SC"/>
          <w:b/>
          <w:sz w:val="21"/>
        </w:rPr>
        <w:t>BIM-Safety Coordination Agent（IM-Safety Coordination Agent）</w:t>
      </w:r>
      <w:r>
        <w:rPr>
          <w:rFonts w:ascii="PingFang SC" w:hAnsi="PingFang SC" w:eastAsia="PingFang SC"/>
          <w:sz w:val="21"/>
        </w:rPr>
        <w:t>。</w:t>
      </w:r>
    </w:p>
    <w:p>
      <w:r>
        <w:rPr>
          <w:rFonts w:ascii="PingFang SC" w:hAnsi="PingFang SC" w:eastAsia="PingFang SC"/>
          <w:sz w:val="21"/>
        </w:rPr>
        <w:t>核心主张不是“让 LLM 操作 BIM”，而是：</w:t>
      </w:r>
    </w:p>
    <w:p>
      <w:pPr>
        <w:spacing w:before="80" w:after="160"/>
        <w:ind w:left="340"/>
      </w:pPr>
      <w:r>
        <w:rPr>
          <w:rFonts w:ascii="PingFang SC" w:hAnsi="PingFang SC" w:eastAsia="PingFang SC"/>
          <w:color w:val="475569"/>
          <w:sz w:val="20"/>
        </w:rPr>
        <w:t>让 LLM Agent 把施工安全任务、BIM 空间信息、施工进度和安全规范连接起来，形成可审核、可实施、可复核、可重新打开的 Safety Case。</w:t>
      </w:r>
    </w:p>
    <w:p>
      <w:r>
        <w:rPr>
          <w:rFonts w:ascii="PingFang SC" w:hAnsi="PingFang SC" w:eastAsia="PingFang SC"/>
          <w:sz w:val="21"/>
        </w:rPr>
        <w:t>网站面向文献综述中的案例展示，必须同时讲清三件事：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 xml:space="preserve">1. </w:t>
      </w:r>
      <w:r>
        <w:rPr>
          <w:rFonts w:ascii="PingFang SC" w:hAnsi="PingFang SC" w:eastAsia="PingFang SC"/>
          <w:b/>
          <w:sz w:val="21"/>
        </w:rPr>
        <w:t>工程对象真实</w:t>
      </w:r>
      <w:r>
        <w:rPr>
          <w:rFonts w:ascii="PingFang SC" w:hAnsi="PingFang SC" w:eastAsia="PingFang SC"/>
          <w:sz w:val="21"/>
        </w:rPr>
        <w:t>：三维构件来自 S1 的真实 IFC 几何，GUID、楼层、构件类别和空间坐标可追溯。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 xml:space="preserve">2. </w:t>
      </w:r>
      <w:r>
        <w:rPr>
          <w:rFonts w:ascii="PingFang SC" w:hAnsi="PingFang SC" w:eastAsia="PingFang SC"/>
          <w:b/>
          <w:sz w:val="21"/>
        </w:rPr>
        <w:t>Agent 过程真实</w:t>
      </w:r>
      <w:r>
        <w:rPr>
          <w:rFonts w:ascii="PingFang SC" w:hAnsi="PingFang SC" w:eastAsia="PingFang SC"/>
          <w:sz w:val="21"/>
        </w:rPr>
        <w:t>：六类职责节点、工具调用、状态迁移、人工审核和数据库持久化真实执行，不用动画伪造。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 xml:space="preserve">3. </w:t>
      </w:r>
      <w:r>
        <w:rPr>
          <w:rFonts w:ascii="PingFang SC" w:hAnsi="PingFang SC" w:eastAsia="PingFang SC"/>
          <w:b/>
          <w:sz w:val="21"/>
        </w:rPr>
        <w:t>证据边界诚实</w:t>
      </w:r>
      <w:r>
        <w:rPr>
          <w:rFonts w:ascii="PingFang SC" w:hAnsi="PingFang SC" w:eastAsia="PingFang SC"/>
          <w:sz w:val="21"/>
        </w:rPr>
        <w:t>：现场观察、施工活动、防护状态和 2.5 m 坠落高度是模拟输入；页面持续标注“演示示意图 / 非现场照片 / 演示策略”。</w:t>
      </w:r>
    </w:p>
    <w:p>
      <w:pPr>
        <w:pStyle w:val="Heading2"/>
      </w:pPr>
      <w:r>
        <w:t>1.2 必须交付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可运行的 Vue 3 + TypeScript + Vite + Three.js 前端。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可运行的 FastAPI + Pydantic + LangGraph + SQLite 后端。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真实 S1 IFC 的 35 对象区域预览、构件查询、点选、GUID 映射和按需网格提取。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完整 Safety Case 闭环：新建 → 分析 → 补证 → 人工审核 → 实施 → 复核 → 关闭 / 重开。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Agent 实际调用记录：节点、工具、输入摘要、结构化输出、状态、错误和简短决策依据。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规范知识库：仅索引 7 条 active 人工核对释义，排除 retired；保留标准号、条款、PDF 页码和原文入口。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12 项验收场景的可重复执行界面与结果记录。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资料整合包、执行计划、自检记录、演示手册、实际测试报告、必要截图。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macOS/Linux start.sh、Windows start.ps1、.env.example、README、依赖锁定文件。</w:t>
      </w:r>
    </w:p>
    <w:p>
      <w:pPr>
        <w:pStyle w:val="Heading2"/>
      </w:pPr>
      <w:r>
        <w:t>1.3 明确不做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不做真实事故概率预测，不把“高/中/低”写成校准风险值。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不宣称 S1 板边就是真实建筑临空面，不宣称 17.3 m 世界高程就是坠落高度。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不宣称识别出真实 MEP 安装任务、真实洞口或真实 4D 计划。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不接入收费模型，不提交密钥，不连接参考项目的生产数据库。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不复制参考仓库代码；参考站点只用于交互形式参考。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不把 OCR 全文当已核验规范，不把演示证据当现场照片。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不替代施工单位、安全员或监管机构的真实审批。</w:t>
      </w:r>
    </w:p>
    <w:p>
      <w:pPr>
        <w:pBdr>
          <w:bottom w:val="single" w:sz="6" w:space="6" w:color="E2E8F0"/>
        </w:pBdr>
      </w:pPr>
    </w:p>
    <w:p>
      <w:pPr>
        <w:pStyle w:val="Heading1"/>
      </w:pPr>
      <w:r>
        <w:t>2. 已核实输入与数据事实</w:t>
      </w:r>
    </w:p>
    <w:p>
      <w:pPr>
        <w:pStyle w:val="Heading2"/>
      </w:pPr>
      <w:r>
        <w:t>2.1 输入文件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353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2353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353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原始方案 DOCX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01_资料与依据/02_原始附件/BIM-Safety_Coordination_Agent_方案 (1).docx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案例目标、六类资料、Safety Case、工具层、Agent 角色、13 步流程、页面清单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已读取全文与 3 张表</w:t>
            </w:r>
          </w:p>
        </w:tc>
      </w:tr>
      <w:tr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7 张聊天截图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01_资料与依据/02_原始附件/聊天截图_01~07.png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用户原始诉求、参考平台、目录示意、数据集建议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已核对</w:t>
            </w:r>
          </w:p>
        </w:tc>
      </w:tr>
      <w:tr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资料包任务书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01_资料与依据/06_Astra任务书/一次性完成Demo任务书.md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实现范围、数据限制、验收标准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已逐条读取</w:t>
            </w:r>
          </w:p>
        </w:tc>
      </w:tr>
      <w:tr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接口约定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01_资料与依据/06_Astra任务书/接口与工具约定.md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HTTP、工具合同、SQLite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已读取</w:t>
            </w:r>
          </w:p>
        </w:tc>
      </w:tr>
      <w:tr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数据字典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01_资料与依据/07_案例与验收模板/数据字典与状态约定.md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状态机、版本、时间、provenance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已读取</w:t>
            </w:r>
          </w:p>
        </w:tc>
      </w:tr>
      <w:tr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SafetyCase Schema / 样例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01_资料与依据/07_案例与验收模板/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数据结构、闭环参考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已读取</w:t>
            </w:r>
          </w:p>
        </w:tc>
      </w:tr>
      <w:tr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12 份证据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01_资料与依据/07_案例与验收模板/演示证据图/EV-001~012.png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演示观察输入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已核对尺寸与字段</w:t>
            </w:r>
          </w:p>
        </w:tc>
      </w:tr>
      <w:tr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12 项验收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01_资料与依据/07_案例与验收模板/验收用例.json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测试 oracle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已读取</w:t>
            </w:r>
          </w:p>
        </w:tc>
      </w:tr>
      <w:tr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规范种子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01_资料与依据/04_安全规范/规范条款种子.json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RAG 唯一可信索引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7 active + 2 retired</w:t>
            </w:r>
          </w:p>
        </w:tc>
      </w:tr>
      <w:tr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S1 模型检查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01_资料与依据/03_数据集/S1/解析结果/模型检查结果.json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楼层、构件、限制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已读取</w:t>
            </w:r>
          </w:p>
        </w:tc>
      </w:tr>
      <w:tr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区域几何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01_资料与依据/03_数据集/S1/解析结果/区域几何预览.json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35 个真实网格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已检查顶点/三角面</w:t>
            </w:r>
          </w:p>
        </w:tc>
      </w:tr>
      <w:tr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楼层索引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01_资料与依据/03_数据集/S1/解析结果/选定楼层构件索引.csv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1,247 个构件查询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已检查表头与行数</w:t>
            </w:r>
          </w:p>
        </w:tc>
      </w:tr>
      <w:tr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参考平台分析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01_资料与依据/05_文献与技术资料/参考平台/参考平台分析.md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形式参考边界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已读取</w:t>
            </w:r>
          </w:p>
        </w:tc>
      </w:tr>
    </w:tbl>
    <w:p>
      <w:pPr>
        <w:spacing w:after="40"/>
      </w:pPr>
    </w:p>
    <w:p>
      <w:pPr>
        <w:pStyle w:val="Heading2"/>
      </w:pPr>
      <w:r>
        <w:t>2.2 关键数据事实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主模型：bSDD_references_example.ifc，394,697,402 字节，SHA256 4075c44a6e4769b10a0f3ef2c925847899c76444ea33b81d3caffa85f321f9f2。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IFC2X3，19 个 IfcBuildingStorey，16,372 个 IfcElement，573 个 IfcSlab，7,426 个 IfcWall。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案例楼层：05 vijfde verdieping，GUID 1Vhy2b2Mj9FRewx9CZZoux，索引 1,247 个构件。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主构件：0FOHK4aT910wgskSbVHn0U，世界坐标顶部 Z ≈ 17.300 m。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区域预览：35 个对象（4 个 IfcSlab + 31 个 IfcWall），1,200 顶点 / 2,673 三角面。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该 IFC 无显式 IfcOpeningElement、IfcTask、IfcWorkSchedule；楼层 Elevation 与放置 Z 均为 0，但构件几何有真实高程。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12 张证据图由真实 IFC 平面几何 + 模拟标记生成；不是现场照片。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规范：GB 55034-2022 与 JGJ 80-2016；7 条 active，2 条 retired（JGJ 4.1.1、4.2.1 的强条历史记录）。另按公告排除 JGJ 5.2.3、6.4.1、8.1.2。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演示固定时钟：2026-10-16T09:00:00+08:00。</w:t>
      </w:r>
    </w:p>
    <w:p>
      <w:pPr>
        <w:pStyle w:val="Heading2"/>
      </w:pPr>
      <w:r>
        <w:t>2.3 资料缺口（不阻断首版，但必须在网站与文档中说明）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>1. S1 真实现场照片、专业模型全集、图纸、点云、4D 文件未取得。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>2. RestageIFC 与 GNI 原件因 Zenodo 403 未取得；只作为备选来源说明，不参与启动。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>3. 真实 MEP 活动、巡检、班前会、JSA、设备人员与传感资料未提供。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>4. 真实临边属性、防护高度、坠落基准面未知，全部用模拟标注。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>5. 截图提到的《高处作业全过程风险管控智能体_LangGraph框架介绍.docx》未提供；不推测正文。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>6. P01–P05、P07 全文未取得，仅题录/摘要级；本网站不把文献摘要写成全文结论。</w:t>
      </w:r>
    </w:p>
    <w:p>
      <w:pPr>
        <w:pStyle w:val="Heading2"/>
      </w:pPr>
      <w:r>
        <w:t>2.4 角色口径统一</w:t>
      </w:r>
    </w:p>
    <w:p>
      <w:r>
        <w:rPr>
          <w:rFonts w:ascii="PingFang SC" w:hAnsi="PingFang SC" w:eastAsia="PingFang SC"/>
          <w:sz w:val="21"/>
        </w:rPr>
        <w:t>聊天截图目录中出现 bim_agent.py，原方案角色表出现 6 类职责，任务书要求 Coordinator、Knowledge、Inspection、Risk、Intervention、Verification 六类节点。执行口径：</w:t>
      </w:r>
    </w:p>
    <w:p>
      <w:pPr>
        <w:pStyle w:val="ListBullet"/>
      </w:pPr>
      <w:r>
        <w:rPr>
          <w:rFonts w:ascii="PingFang SC" w:hAnsi="PingFang SC" w:eastAsia="PingFang SC"/>
          <w:b/>
          <w:sz w:val="21"/>
        </w:rPr>
        <w:t>六类职责节点</w:t>
      </w:r>
      <w:r>
        <w:rPr>
          <w:rFonts w:ascii="PingFang SC" w:hAnsi="PingFang SC" w:eastAsia="PingFang SC"/>
          <w:sz w:val="21"/>
        </w:rPr>
        <w:t>全部保留并在 Agent 页面可见。</w:t>
      </w:r>
    </w:p>
    <w:p>
      <w:pPr>
        <w:pStyle w:val="ListBullet"/>
      </w:pPr>
      <w:r>
        <w:rPr>
          <w:rFonts w:ascii="PingFang SC" w:hAnsi="PingFang SC" w:eastAsia="PingFang SC"/>
          <w:b/>
          <w:sz w:val="21"/>
        </w:rPr>
        <w:t>BIM 不作为独立 LLM Agent</w:t>
      </w:r>
      <w:r>
        <w:rPr>
          <w:rFonts w:ascii="PingFang SC" w:hAnsi="PingFang SC" w:eastAsia="PingFang SC"/>
          <w:sz w:val="21"/>
        </w:rPr>
        <w:t>，而封装为 bim_query、spatial_check、schedule_query 三个确定性工具；这样避免“LLM 自己算几何”。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截图中的 bim_agent.py 对应到“BIM 工具与三维工作台”，在界面和文档中解释该映射，不伪造第七个 LLM 节点。</w:t>
      </w:r>
    </w:p>
    <w:p>
      <w:pPr>
        <w:pBdr>
          <w:bottom w:val="single" w:sz="6" w:space="6" w:color="E2E8F0"/>
        </w:pBdr>
      </w:pPr>
    </w:p>
    <w:p>
      <w:pPr>
        <w:pStyle w:val="Heading1"/>
      </w:pPr>
      <w:r>
        <w:t>3. 技术架构</w:t>
      </w:r>
    </w:p>
    <w:p>
      <w:pPr>
        <w:pStyle w:val="Heading2"/>
      </w:pPr>
      <w:r>
        <w:t>3.1 总体结构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/>
            <w:r>
              <w:rPr>
                <w:rFonts w:ascii="Menlo" w:hAnsi="Menlo" w:eastAsia="Menlo"/>
                <w:color w:val="0B1728"/>
                <w:sz w:val="16"/>
              </w:rPr>
              <w:t>浏览器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Vue 3 + TypeScript + Vite + Three.js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      │  /api  JSON / 文件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      ▼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FastAPI（127.0.0.1:8000）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├─ REST API + 静态前端托管（生产构建）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├─ Pydantic 请求/响应校验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├─ LangGraph 六节点工作流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├─ SQLite（WAL、外键、事务、FTS5 二元组）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├─ IfcOpenShell 懒加载 + 网格缓存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└─ runtime/ 数据库、上传件、导出件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      │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      ▼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资料包 01_资料与依据（只读原件）</w:t>
            </w:r>
          </w:p>
        </w:tc>
      </w:tr>
    </w:tbl>
    <w:p>
      <w:pPr>
        <w:spacing w:after="40"/>
      </w:pPr>
    </w:p>
    <w:p>
      <w:pPr>
        <w:pStyle w:val="Heading2"/>
      </w:pPr>
      <w:r>
        <w:t>3.2 技术选型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137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选型</w:t>
            </w:r>
          </w:p>
        </w:tc>
        <w:tc>
          <w:tcPr>
            <w:tcW w:type="dxa" w:w="3137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理由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前端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Vue 3 + TypeScript + Vite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任务书指定；组件化、构建快</w:t>
            </w:r>
          </w:p>
        </w:tc>
      </w:tr>
      <w:tr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三维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Three.js + OrbitControls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直接消费真实三角网格；不依赖 Revit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样式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原生 CSS 设计系统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避免重型 UI 库，控制视觉一致性</w:t>
            </w:r>
          </w:p>
        </w:tc>
      </w:tr>
      <w:tr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图标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lucide-vue-next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轻量、统一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后端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FastAPI + Pydantic v2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任务书指定；自动校验与 OpenAPI</w:t>
            </w:r>
          </w:p>
        </w:tc>
      </w:tr>
      <w:tr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Agent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LangGraph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任务书指定；显式节点与状态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存储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SQLite + FTS5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零外部服务；事务与持久化</w:t>
            </w:r>
          </w:p>
        </w:tc>
      </w:tr>
      <w:tr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BIM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IfcOpenShell 0.9.0.post1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真实 IFC 解析与按需几何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测试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pytest + httpx + 浏览器实测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API、状态机、页面交互三层</w:t>
            </w:r>
          </w:p>
        </w:tc>
      </w:tr>
    </w:tbl>
    <w:p>
      <w:pPr>
        <w:spacing w:after="40"/>
      </w:pPr>
    </w:p>
    <w:p>
      <w:pPr>
        <w:pStyle w:val="Heading2"/>
      </w:pPr>
      <w:r>
        <w:t>3.3 运行形态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开发：前端 Vite 127.0.0.1:5173，后端 127.0.0.1:8000，Vite 代理 /api。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交付：npm run build 后由 FastAPI 托管 frontend/dist，统一从 http://127.0.0.1:8000 访问。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数据库、上传、导出均在 runtime/；重置只影响该目录。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默认 DEMO_MODE=true；无密钥可完成全部 12 项验收。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真实模型模式通过 MODEL_BASE_URL / MODEL_API_KEY / MODEL_NAME 显式开启；配置不完整返回可操作错误，不静默降级。</w:t>
      </w:r>
    </w:p>
    <w:p>
      <w:pPr>
        <w:pBdr>
          <w:bottom w:val="single" w:sz="6" w:space="6" w:color="E2E8F0"/>
        </w:pBdr>
      </w:pPr>
    </w:p>
    <w:p>
      <w:pPr>
        <w:pStyle w:val="Heading1"/>
      </w:pPr>
      <w:r>
        <w:t>4. 资料整合包设计（访达文件夹）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/>
            <w:r>
              <w:rPr>
                <w:rFonts w:ascii="Menlo" w:hAnsi="Menlo" w:eastAsia="Menlo"/>
                <w:color w:val="0B1728"/>
                <w:sz w:val="16"/>
              </w:rPr>
              <w:t>BIM-Safety-Coordination-Agent/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├─ README.md                          # 一页式入口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├─ 00_执行计划与自检/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│  ├─ 执行计划.md / .docx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│  ├─ 计划自检记录.md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│  ├─ 资料整合清单.xlsx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│  └─ 合规矩阵.md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├─ 01_资料与依据/                     # 原始资料，保持原目录结构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│  ├─ 00_开始阅读/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│  ├─ 01_资料清单/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│  ├─ 02_原始附件/                    # 方案 DOCX + 7 张截图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│  ├─ 03_数据集/                      # S1 IFC、索引、预览、buildingSMART 样例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│  ├─ 04_安全规范/                    # 2 份官方 PDF、公告、条款种子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│  ├─ 05_文献与技术资料/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│  ├─ 06_Astra任务书/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│  └─ 07_案例与验收模板/              # Schema、样例、12 证据、验收用例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├─ 02_网站源码/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│  ├─ backend/                        # FastAPI 应用、测试、requirements.lock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│  ├─ frontend/                       # Vue3 源码、构建产物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│  ├─ scripts/                        # start.sh / start.ps1 / verify.sh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│  ├─ runtime/                        # SQLite、上传、导出（可重置）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│  └─ README.md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├─ 03_测试与验收/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│  ├─ 验收执行报告.md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│  ├─ acceptance-results.json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│  ├─ api-tests.log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│  └─ screenshots/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└─ 04_演示与截图/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 ├─ 演示操作手册.md / .docx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 ├─ 页面截图/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 └─ 演示数据说明.md</w:t>
            </w:r>
          </w:p>
        </w:tc>
      </w:tr>
    </w:tbl>
    <w:p>
      <w:pPr>
        <w:spacing w:after="40"/>
      </w:pPr>
    </w:p>
    <w:p>
      <w:r>
        <w:rPr>
          <w:rFonts w:ascii="PingFang SC" w:hAnsi="PingFang SC" w:eastAsia="PingFang SC"/>
          <w:sz w:val="21"/>
        </w:rPr>
        <w:t>整合原则：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>1. 原始资料只读保留，不修改、不覆盖。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>2. 网站运行只从 01_资料与依据 读取种子；数据库写入 runtime。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>3. 所有材料在 资料整合清单.xlsx 中有“用途 / 来源 / 状态 / 是否阻断”四列。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>4. 访达中可直接双击 启动网站.command（macOS）；命令行入口为 scripts/start.sh。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>5. 提供 停止网站.command 和 README 的故障排查。</w:t>
      </w:r>
    </w:p>
    <w:p>
      <w:pPr>
        <w:pBdr>
          <w:bottom w:val="single" w:sz="6" w:space="6" w:color="E2E8F0"/>
        </w:pBdr>
      </w:pPr>
    </w:p>
    <w:p>
      <w:pPr>
        <w:pStyle w:val="Heading1"/>
      </w:pPr>
      <w:r>
        <w:t>5. 网站信息架构与交互</w:t>
      </w:r>
    </w:p>
    <w:p>
      <w:pPr>
        <w:pStyle w:val="Heading2"/>
      </w:pPr>
      <w:r>
        <w:t>5.1 导航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 xml:space="preserve">1. </w:t>
      </w:r>
      <w:r>
        <w:rPr>
          <w:rFonts w:ascii="PingFang SC" w:hAnsi="PingFang SC" w:eastAsia="PingFang SC"/>
          <w:b/>
          <w:sz w:val="21"/>
        </w:rPr>
        <w:t>总览</w:t>
      </w:r>
      <w:r>
        <w:rPr>
          <w:rFonts w:ascii="PingFang SC" w:hAnsi="PingFang SC" w:eastAsia="PingFang SC"/>
          <w:sz w:val="21"/>
        </w:rPr>
        <w:t>：案例定位、实时指标、六节点流程、最近案例、验收摘要、边界声明。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 xml:space="preserve">2. </w:t>
      </w:r>
      <w:r>
        <w:rPr>
          <w:rFonts w:ascii="PingFang SC" w:hAnsi="PingFang SC" w:eastAsia="PingFang SC"/>
          <w:b/>
          <w:sz w:val="21"/>
        </w:rPr>
        <w:t>BIM 模型</w:t>
      </w:r>
      <w:r>
        <w:rPr>
          <w:rFonts w:ascii="PingFang SC" w:hAnsi="PingFang SC" w:eastAsia="PingFang SC"/>
          <w:sz w:val="21"/>
        </w:rPr>
        <w:t>：三维工作台、楼层/类别/关键字筛选、构件表、属性面板、证据定位。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 xml:space="preserve">3. </w:t>
      </w:r>
      <w:r>
        <w:rPr>
          <w:rFonts w:ascii="PingFang SC" w:hAnsi="PingFang SC" w:eastAsia="PingFang SC"/>
          <w:b/>
          <w:sz w:val="21"/>
        </w:rPr>
        <w:t>安全案例</w:t>
      </w:r>
      <w:r>
        <w:rPr>
          <w:rFonts w:ascii="PingFang SC" w:hAnsi="PingFang SC" w:eastAsia="PingFang SC"/>
          <w:sz w:val="21"/>
        </w:rPr>
        <w:t>：案例列表 + 详情；状态机、证据、Finding、Control、审核、实施、复核、事件。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 xml:space="preserve">4. </w:t>
      </w:r>
      <w:r>
        <w:rPr>
          <w:rFonts w:ascii="PingFang SC" w:hAnsi="PingFang SC" w:eastAsia="PingFang SC"/>
          <w:b/>
          <w:sz w:val="21"/>
        </w:rPr>
        <w:t>Agent 工作流</w:t>
      </w:r>
      <w:r>
        <w:rPr>
          <w:rFonts w:ascii="PingFang SC" w:hAnsi="PingFang SC" w:eastAsia="PingFang SC"/>
          <w:sz w:val="21"/>
        </w:rPr>
        <w:t>：六节点图、最近 run、逐节点 trace、工具输入输出、失败与重试。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 xml:space="preserve">5. </w:t>
      </w:r>
      <w:r>
        <w:rPr>
          <w:rFonts w:ascii="PingFang SC" w:hAnsi="PingFang SC" w:eastAsia="PingFang SC"/>
          <w:b/>
          <w:sz w:val="21"/>
        </w:rPr>
        <w:t>规范知识库</w:t>
      </w:r>
      <w:r>
        <w:rPr>
          <w:rFonts w:ascii="PingFang SC" w:hAnsi="PingFang SC" w:eastAsia="PingFang SC"/>
          <w:sz w:val="21"/>
        </w:rPr>
        <w:t>：search、active/retired 过滤、条文释义、PDF 页码、原文打开。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 xml:space="preserve">6. </w:t>
      </w:r>
      <w:r>
        <w:rPr>
          <w:rFonts w:ascii="PingFang SC" w:hAnsi="PingFang SC" w:eastAsia="PingFang SC"/>
          <w:b/>
          <w:sz w:val="21"/>
        </w:rPr>
        <w:t>证据库</w:t>
      </w:r>
      <w:r>
        <w:rPr>
          <w:rFonts w:ascii="PingFang SC" w:hAnsi="PingFang SC" w:eastAsia="PingFang SC"/>
          <w:sz w:val="21"/>
        </w:rPr>
        <w:t>：12 张演示证据、观察字段、时间/区域/版本匹配、定位 BIM 构件。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 xml:space="preserve">7. </w:t>
      </w:r>
      <w:r>
        <w:rPr>
          <w:rFonts w:ascii="PingFang SC" w:hAnsi="PingFang SC" w:eastAsia="PingFang SC"/>
          <w:b/>
          <w:sz w:val="21"/>
        </w:rPr>
        <w:t>验收实验室</w:t>
      </w:r>
      <w:r>
        <w:rPr>
          <w:rFonts w:ascii="PingFang SC" w:hAnsi="PingFang SC" w:eastAsia="PingFang SC"/>
          <w:sz w:val="21"/>
        </w:rPr>
        <w:t>：12 项一键执行/全部执行、期望 vs 实际、通过/失败、重置夹具。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 xml:space="preserve">8. </w:t>
      </w:r>
      <w:r>
        <w:rPr>
          <w:rFonts w:ascii="PingFang SC" w:hAnsi="PingFang SC" w:eastAsia="PingFang SC"/>
          <w:b/>
          <w:sz w:val="21"/>
        </w:rPr>
        <w:t>方案与边界</w:t>
      </w:r>
      <w:r>
        <w:rPr>
          <w:rFonts w:ascii="PingFang SC" w:hAnsi="PingFang SC" w:eastAsia="PingFang SC"/>
          <w:sz w:val="21"/>
        </w:rPr>
        <w:t>：原始方案对应关系、数据事实、缺口、Agent 设计、引用说明。</w:t>
      </w:r>
    </w:p>
    <w:p>
      <w:pPr>
        <w:pStyle w:val="Heading2"/>
      </w:pPr>
      <w:r>
        <w:t>5.2 关键交互（必须真实调用后端）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交互</w:t>
            </w:r>
          </w:p>
        </w:tc>
        <w:tc>
          <w:tcPr>
            <w:tcW w:type="dxa" w:w="3137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后端行为</w:t>
            </w:r>
          </w:p>
        </w:tc>
        <w:tc>
          <w:tcPr>
            <w:tcW w:type="dxa" w:w="3137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持久化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新建案例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校验 task/zone/model/GUID，写 cases + event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是</w:t>
            </w:r>
          </w:p>
        </w:tc>
      </w:tr>
      <w:tr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分析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创建 run，LangGraph 执行，写 agent_events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是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轮询 run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返回 queued/running/succeeded/failed + trace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是</w:t>
            </w:r>
          </w:p>
        </w:tc>
      </w:tr>
      <w:tr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审核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approve/reject/modify，检查版本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是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实施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仅 approved，记录 owner/time/comment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是</w:t>
            </w:r>
          </w:p>
        </w:tc>
      </w:tr>
      <w:tr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提交证据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选择包内证据或上传 PNG/JPG/PDF，&lt;=20MB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是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复核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时间/区域/构件/规则/防护检查，人工确认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是</w:t>
            </w:r>
          </w:p>
        </w:tc>
      </w:tr>
      <w:tr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重开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保留 closed 事件，新增 reopened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是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导出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JSON / Markdown，含来源与数据性质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文件</w:t>
            </w:r>
          </w:p>
        </w:tc>
      </w:tr>
      <w:tr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重置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二次确认，只重建 runtime 演示库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是</w:t>
            </w:r>
          </w:p>
        </w:tc>
      </w:tr>
    </w:tbl>
    <w:p>
      <w:pPr>
        <w:spacing w:after="40"/>
      </w:pPr>
    </w:p>
    <w:p>
      <w:pPr>
        <w:pStyle w:val="Heading2"/>
      </w:pPr>
      <w:r>
        <w:t>5.3 视觉方向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深色“工程控制台”基调：深海军蓝背景、青绿色主操作、琥珀色风险、红色仅用于风险候选。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信息密度高但不拥挤；表格、状态徽章、时间线、检查项清晰。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三维区占主视觉；右侧属性/证据联动；底部构件表可筛选。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所有模拟内容带 模拟 / 演示 徽章；所有规范内容带 条文释义 标签。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桌面优先（1440×900），兼顾 1280 宽；移动端只保证可读与可操作，不承诺完整三维体验。</w:t>
      </w:r>
    </w:p>
    <w:p>
      <w:pPr>
        <w:pBdr>
          <w:bottom w:val="single" w:sz="6" w:space="6" w:color="E2E8F0"/>
        </w:pBdr>
      </w:pPr>
    </w:p>
    <w:p>
      <w:pPr>
        <w:pStyle w:val="Heading1"/>
      </w:pPr>
      <w:r>
        <w:t>6. 数据模型、接口与状态机</w:t>
      </w:r>
    </w:p>
    <w:p>
      <w:pPr>
        <w:pStyle w:val="Heading2"/>
      </w:pPr>
      <w:r>
        <w:t>6.1 SQLite 表</w:t>
      </w:r>
    </w:p>
    <w:p>
      <w:r>
        <w:rPr>
          <w:rFonts w:ascii="PingFang SC" w:hAnsi="PingFang SC" w:eastAsia="PingFang SC"/>
          <w:sz w:val="21"/>
        </w:rPr>
        <w:t>projects, models, storeys, elements, zones, tasks, evidence, rules, rules_fts, cases, case_events, runs, agent_events, uploads, acceptance_results, settings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外键开启；案例更新与事件写入同事务。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cases.version 乐观锁；expected_case_version 不匹配返回 409。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状态冲突 409；字段/跨项目引用 422；对象不存在 404。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所有时间 ISO8601 带时区；长度米。</w:t>
      </w:r>
    </w:p>
    <w:p>
      <w:pPr>
        <w:pStyle w:val="Heading2"/>
      </w:pPr>
      <w:r>
        <w:t>6.2 状态机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/>
            <w:r>
              <w:rPr>
                <w:rFonts w:ascii="Menlo" w:hAnsi="Menlo" w:eastAsia="Menlo"/>
                <w:color w:val="0B1728"/>
                <w:sz w:val="16"/>
              </w:rPr>
              <w:t>draft ──analyze──&gt; analyzing ──┬─&gt; pending_review ──approve──&gt; approved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                             ├─&gt; needs_evidence ──补证/重析──&gt; analyzing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                             └─&gt; rejected（审核拒绝）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approved ──implementation──&gt; rectifying ──after evidence──&gt; pending_verification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pending_verification ──verify(pass)──&gt; closed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pending_verification ──verify(fail)──&gt; reopened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closed ──reopen(条件变化)──&gt; reopened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reopened ──analyze──&gt; analyzing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PingFang SC" w:hAnsi="PingFang SC" w:eastAsia="PingFang SC"/>
          <w:sz w:val="21"/>
        </w:rPr>
        <w:t>无风险且无控制措施的案例，审核通过后可直接关闭，verification=null，事件写明“已检查项未发现问题，无需整改”。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未经批准不得进入 rectifying；未提交实施后证据和人工确认不得 closed。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旧版本审批不得覆盖新控制方案；修改控制措施必须新增版本并重新审核。</w:t>
      </w:r>
    </w:p>
    <w:p>
      <w:pPr>
        <w:pStyle w:val="Heading2"/>
      </w:pPr>
      <w:r>
        <w:t>6.3 API 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137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3137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GET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/api/health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mode、DB、模型缓存、版本</w:t>
            </w:r>
          </w:p>
        </w:tc>
      </w:tr>
      <w:tr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GET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/api/models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模型、版本、schema、范围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GET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/api/models/{id}/storeys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19 个真实楼层</w:t>
            </w:r>
          </w:p>
        </w:tc>
      </w:tr>
      <w:tr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GET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/api/models/{id}/elements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分页、楼层/类别/关键字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GET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/api/models/{id}/elements/{guid}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属性、容器、几何状态</w:t>
            </w:r>
          </w:p>
        </w:tc>
      </w:tr>
      <w:tr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GET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/api/models/{id}/mesh?scope=target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35 对象真实网格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GET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/api/models/{id}/elements/{guid}/mesh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按需网格</w:t>
            </w:r>
          </w:p>
        </w:tc>
      </w:tr>
      <w:tr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GET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/api/tasks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区域/时刻过滤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GET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/api/rules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FTS5 二元组、top-k、active only</w:t>
            </w:r>
          </w:p>
        </w:tc>
      </w:tr>
      <w:tr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GET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/api/evidence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证据与观察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POST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/api/evidence/upload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上传补证</w:t>
            </w:r>
          </w:p>
        </w:tc>
      </w:tr>
      <w:tr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GET/POST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/api/cases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列表/新建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GET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/api/cases/{id}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完整案例</w:t>
            </w:r>
          </w:p>
        </w:tc>
      </w:tr>
      <w:tr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POST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/api/cases/{id}/analyze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202 + run_id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GET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/api/runs/{run_id}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状态 + 实际 trace</w:t>
            </w:r>
          </w:p>
        </w:tc>
      </w:tr>
      <w:tr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POST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/api/cases/{id}/review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approve/reject/modify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POST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/api/cases/{id}/implementation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仅 approved</w:t>
            </w:r>
          </w:p>
        </w:tc>
      </w:tr>
      <w:tr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POST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/api/cases/{id}/evidence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追加证据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POST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/api/cases/{id}/verify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复核</w:t>
            </w:r>
          </w:p>
        </w:tc>
      </w:tr>
      <w:tr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POST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/api/cases/{id}/reopen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重开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GET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/api/cases/{id}/export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JSON/MD</w:t>
            </w:r>
          </w:p>
        </w:tc>
      </w:tr>
      <w:tr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POST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/api/demo/reset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重置夹具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POST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/api/demo/acceptance/{test_id}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执行单项验收</w:t>
            </w:r>
          </w:p>
        </w:tc>
      </w:tr>
      <w:tr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POST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/api/demo/acceptance/run-all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执行 12 项</w:t>
            </w:r>
          </w:p>
        </w:tc>
      </w:tr>
    </w:tbl>
    <w:p>
      <w:pPr>
        <w:spacing w:after="40"/>
      </w:pPr>
    </w:p>
    <w:p>
      <w:pPr>
        <w:pStyle w:val="Heading2"/>
      </w:pPr>
      <w:r>
        <w:t>6.4 工具合同</w:t>
      </w:r>
    </w:p>
    <w:p>
      <w:r>
        <w:rPr>
          <w:rFonts w:ascii="PingFang SC" w:hAnsi="PingFang SC" w:eastAsia="PingFang SC"/>
          <w:sz w:val="21"/>
        </w:rPr>
        <w:t>所有工具返回：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/>
            <w:r>
              <w:rPr>
                <w:rFonts w:ascii="Menlo" w:hAnsi="Menlo" w:eastAsia="Menlo"/>
                <w:color w:val="0B1728"/>
                <w:sz w:val="16"/>
              </w:rPr>
              <w:t>{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"ok": true,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"data": {},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"provenance": "real_source|derived_geometry|simulated|mixed",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"model_version": "4075c44a6e47",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"units": "m",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"method": "…",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"evidence_ids": [],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"rule_ids": [],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"uncertainties": [],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"error": null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PingFang SC" w:hAnsi="PingFang SC" w:eastAsia="PingFang SC"/>
          <w:sz w:val="21"/>
        </w:rPr>
        <w:t>bim_query：GUID/类别/楼层查询；GUID 不存在返回 ok=false。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spatial_check：点到已标注板边线的二维欧氏距离；AABB 只用于候选筛选。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schedule_query：检查时刻是否落在任务时间窗。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rule_retrieval：active 条款 top-3；retired 永不出现在结果。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evidence_check：项目/模型版本/区域/时间窗/字段完整性。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risk_assessment：结构化判定，不产出未经执行的几何数值。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verification_check：实施后证据的时间、区域、构件、检查项与人工确认。</w:t>
      </w:r>
    </w:p>
    <w:p>
      <w:pPr>
        <w:pBdr>
          <w:bottom w:val="single" w:sz="6" w:space="6" w:color="E2E8F0"/>
        </w:pBdr>
      </w:pPr>
    </w:p>
    <w:p>
      <w:pPr>
        <w:pStyle w:val="Heading1"/>
      </w:pPr>
      <w:r>
        <w:t>7. Agent 工作流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顺序</w:t>
            </w:r>
          </w:p>
        </w:tc>
        <w:tc>
          <w:tcPr>
            <w:tcW w:type="dxa" w:w="1882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节点</w:t>
            </w:r>
          </w:p>
        </w:tc>
        <w:tc>
          <w:tcPr>
            <w:tcW w:type="dxa" w:w="1882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责任</w:t>
            </w:r>
          </w:p>
        </w:tc>
        <w:tc>
          <w:tcPr>
            <w:tcW w:type="dxa" w:w="1882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调用工具</w:t>
            </w:r>
          </w:p>
        </w:tc>
        <w:tc>
          <w:tcPr>
            <w:tcW w:type="dxa" w:w="1882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写入 trace</w:t>
            </w:r>
          </w:p>
        </w:tc>
      </w:tr>
      <w:tr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1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Safety Coordinator · 准备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校验案例、模型版本、区域、时刻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无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输入摘要、状态判断</w:t>
            </w:r>
          </w:p>
        </w:tc>
      </w:tr>
      <w:tr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2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BIM Context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构件属性、楼层、空间关系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bim_query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GUID、类别、bbox、单位</w:t>
            </w:r>
          </w:p>
        </w:tc>
      </w:tr>
      <w:tr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3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Schedule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当前活动与时间窗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schedule_query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活动、起止、provenance</w:t>
            </w:r>
          </w:p>
        </w:tc>
      </w:tr>
      <w:tr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4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Inspection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证据匹配与结构化观察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evidence_check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匹配结果、缺失字段、不确定性</w:t>
            </w:r>
          </w:p>
        </w:tc>
      </w:tr>
      <w:tr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5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Knowledge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检索当前有效条款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rule_retrieval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query、top-k、rule_ids、PDF 页</w:t>
            </w:r>
          </w:p>
        </w:tc>
      </w:tr>
      <w:tr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6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Risk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综合几何/活动/证据/规则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risk_assessment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检查项、result、风险候选</w:t>
            </w:r>
          </w:p>
        </w:tc>
      </w:tr>
      <w:tr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7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LLM 归纳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只在证据/规则/工具结果内生成摘要；演示模式用确定性模板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无（演示）/ OpenAI-compatible（真实）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summary、basis、uncertainties</w:t>
            </w:r>
          </w:p>
        </w:tc>
      </w:tr>
      <w:tr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8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Intervention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生成可审核措施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模板 + 规则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措施、责任人、验证要求、版本</w:t>
            </w:r>
          </w:p>
        </w:tc>
      </w:tr>
      <w:tr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9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Verification · 计划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明确关闭案例所需的实施后证据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verification_plan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复核要求、边界</w:t>
            </w:r>
          </w:p>
        </w:tc>
      </w:tr>
      <w:tr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10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Coordinator · 收口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决定 pending_review / needs_evidence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无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状态、下一步、失败信息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PingFang SC" w:hAnsi="PingFang SC" w:eastAsia="PingFang SC"/>
          <w:sz w:val="21"/>
        </w:rPr>
        <w:t>关键工具失败最多重试 1 次；仍失败则 run=failed，案例标记“分析不完整”，不自动判无风险。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演示模式的自然语言归纳采用确定性模板，界面标注“演示模型输出”。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真实模式只允许在已检索规则、已执行工具结果、已标注证据内归纳；Pydantic 校验输出白名单（GUID/rule_id/evidence_id）。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trace 展示实际节点、工具输入摘要、返回数据、状态、错误、决策依据；不展示内部思维过程。</w:t>
      </w:r>
    </w:p>
    <w:p>
      <w:pPr>
        <w:pBdr>
          <w:bottom w:val="single" w:sz="6" w:space="6" w:color="E2E8F0"/>
        </w:pBdr>
      </w:pPr>
    </w:p>
    <w:p>
      <w:pPr>
        <w:pStyle w:val="Heading1"/>
      </w:pPr>
      <w:r>
        <w:t>8. 12 项验收的落实映射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用例</w:t>
            </w:r>
          </w:p>
        </w:tc>
        <w:tc>
          <w:tcPr>
            <w:tcW w:type="dxa" w:w="1882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1882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期望</w:t>
            </w:r>
          </w:p>
        </w:tc>
        <w:tc>
          <w:tcPr>
            <w:tcW w:type="dxa" w:w="1882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实现要点</w:t>
            </w:r>
          </w:p>
        </w:tc>
        <w:tc>
          <w:tcPr>
            <w:tcW w:type="dxa" w:w="1882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UI 可复现</w:t>
            </w:r>
          </w:p>
        </w:tc>
      </w:tr>
      <w:tr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T01 正常样例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EV-007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no_issue_in_checked_items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防护 1.2m、固定、连续、人员匹配；只声明已检查项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验收实验室 + 案例详情</w:t>
            </w:r>
          </w:p>
        </w:tc>
      </w:tr>
      <w:tr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T02 无防护风险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EV-001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risk_candidate，关联 GB-3.2.3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防护 absent + 人员暴露 + 板边成立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同上</w:t>
            </w:r>
          </w:p>
        </w:tc>
      </w:tr>
      <w:tr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T03 栏杆不足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EV-003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risk_candidate，GB-3.2.3 + JGJ-4.3.1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1.0m &lt; 1.2m；不推断测量精度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同上</w:t>
            </w:r>
          </w:p>
        </w:tc>
      </w:tr>
      <w:tr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T04 证据不足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EV-004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needs_evidence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worker/guardrail unknown 不落为 false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同上</w:t>
            </w:r>
          </w:p>
        </w:tc>
      </w:tr>
      <w:tr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T05 时间不匹配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EV-005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needs_evidence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证据日期早于检查时刻，不用于当前状态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同上</w:t>
            </w:r>
          </w:p>
        </w:tc>
      </w:tr>
      <w:tr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T06 失效条款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检索 JGJ 4.1.1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retired_rule_excluded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FTS 结果只含 active；retired 单独展示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规范库 + 验收</w:t>
            </w:r>
          </w:p>
        </w:tc>
      </w:tr>
      <w:tr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T07 复核失败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EV-001 + EV-006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reopened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实施后防护仍缺失；保留前后证据和事件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案例闭环</w:t>
            </w:r>
          </w:p>
        </w:tc>
      </w:tr>
      <w:tr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T08 复核通过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EV-001 + EV-010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closed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证据晚于实施、区域/版本匹配、人工确认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案例闭环</w:t>
            </w:r>
          </w:p>
        </w:tc>
      </w:tr>
      <w:tr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T09 无效 GUID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不存在 GUID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validation_error 422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创建前校验元素索引，不建悬空案例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验收实验室</w:t>
            </w:r>
          </w:p>
        </w:tc>
      </w:tr>
      <w:tr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T10 单位与标高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17300 mm + 17.3m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unit_normalized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mm→m；绝对 Z 不当坠落高度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模型属性 + 验收</w:t>
            </w:r>
          </w:p>
        </w:tc>
      </w:tr>
      <w:tr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T11 未经审批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EV-001 直接关闭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transition_rejected 409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状态机拒绝，无伪实施记录</w:t>
            </w:r>
          </w:p>
        </w:tc>
        <w:tc>
          <w:tcPr>
            <w:tcW w:type="dxa" w:w="188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验收实验室</w:t>
            </w:r>
          </w:p>
        </w:tc>
      </w:tr>
      <w:tr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T12 关闭后变化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EV-010 + EV-011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reopened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保留 closed 事件，新增 reopened</w:t>
            </w:r>
          </w:p>
        </w:tc>
        <w:tc>
          <w:tcPr>
            <w:tcW w:type="dxa" w:w="1882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案例闭环</w:t>
            </w:r>
          </w:p>
        </w:tc>
      </w:tr>
    </w:tbl>
    <w:p>
      <w:pPr>
        <w:spacing w:after="40"/>
      </w:pPr>
    </w:p>
    <w:p>
      <w:r>
        <w:rPr>
          <w:rFonts w:ascii="PingFang SC" w:hAnsi="PingFang SC" w:eastAsia="PingFang SC"/>
          <w:sz w:val="21"/>
        </w:rPr>
        <w:t>验收执行器必须真实调用 API、真实写库、真实跑 LangGraph，不允许硬编码 passed。</w:t>
      </w:r>
    </w:p>
    <w:p>
      <w:pPr>
        <w:pBdr>
          <w:bottom w:val="single" w:sz="6" w:space="6" w:color="E2E8F0"/>
        </w:pBdr>
      </w:pPr>
    </w:p>
    <w:p>
      <w:pPr>
        <w:pStyle w:val="Heading1"/>
      </w:pPr>
      <w:r>
        <w:t>9. 实施顺序与完成标志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353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工作</w:t>
            </w:r>
          </w:p>
        </w:tc>
        <w:tc>
          <w:tcPr>
            <w:tcW w:type="dxa" w:w="2353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产物</w:t>
            </w:r>
          </w:p>
        </w:tc>
        <w:tc>
          <w:tcPr>
            <w:tcW w:type="dxa" w:w="2353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完成标志</w:t>
            </w:r>
          </w:p>
        </w:tc>
      </w:tr>
      <w:tr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P0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读取输入、核实事实、编制计划、计划自检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本计划、合规矩阵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任务书每条要求有落点；数据限制进入设计</w:t>
            </w:r>
          </w:p>
        </w:tc>
      </w:tr>
      <w:tr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P1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建包、复制资料、初始化前后端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目录、依赖、配置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目录可浏览；后端 venv 可导入；npm 可安装</w:t>
            </w:r>
          </w:p>
        </w:tc>
      </w:tr>
      <w:tr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P2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数据层、种子、API、状态机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SQLite、REST、测试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健康检查、模型/楼层/构件/规则接口通过</w:t>
            </w:r>
          </w:p>
        </w:tc>
      </w:tr>
      <w:tr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P3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LangGraph 六节点、12 验收执行器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分析 run、trace、验收 API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T01–T12 全部返回期望结果</w:t>
            </w:r>
          </w:p>
        </w:tc>
      </w:tr>
      <w:tr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P4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前端设计系统、三维工作台、案例闭环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全部页面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真实 API 联调；刷新不丢；三维可旋转/点选</w:t>
            </w:r>
          </w:p>
        </w:tc>
      </w:tr>
      <w:tr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P5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构建、启动、浏览器实测、持久化/无密钥测试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测试报告、截图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前端构建通过；页面无阻断错误；重启后数据在</w:t>
            </w:r>
          </w:p>
        </w:tc>
      </w:tr>
      <w:tr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P6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文档、打包、Finder 入口、最终交付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交付包、演示手册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从新终端按 README 可启动；链接可打开</w:t>
            </w:r>
          </w:p>
        </w:tc>
      </w:tr>
    </w:tbl>
    <w:p>
      <w:pPr>
        <w:spacing w:after="40"/>
      </w:pPr>
    </w:p>
    <w:p>
      <w:pPr>
        <w:pBdr>
          <w:bottom w:val="single" w:sz="6" w:space="6" w:color="E2E8F0"/>
        </w:pBdr>
      </w:pPr>
    </w:p>
    <w:p>
      <w:pPr>
        <w:pStyle w:val="Heading1"/>
      </w:pPr>
      <w:r>
        <w:t>10. 计划自检</w:t>
      </w:r>
    </w:p>
    <w:p>
      <w:r>
        <w:rPr>
          <w:rFonts w:ascii="PingFang SC" w:hAnsi="PingFang SC" w:eastAsia="PingFang SC"/>
          <w:sz w:val="21"/>
        </w:rPr>
        <w:t>自检对象：本计划与任务书、原始方案、聊天记录、数据字典、12 项验收的一致性。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#</w:t>
            </w:r>
          </w:p>
        </w:tc>
        <w:tc>
          <w:tcPr>
            <w:tcW w:type="dxa" w:w="2353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2353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2353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证据/修正</w:t>
            </w:r>
          </w:p>
        </w:tc>
      </w:tr>
      <w:tr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1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是否覆盖原始方案 13 步闭环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通过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第 6、7 节；案例详情按 13 步组织</w:t>
            </w:r>
          </w:p>
        </w:tc>
      </w:tr>
      <w:tr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2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是否把 BIM 查询/几何/时间做成确定性工具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通过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第 6.4 节；BIM 不设为 LLM 节点</w:t>
            </w:r>
          </w:p>
        </w:tc>
      </w:tr>
      <w:tr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3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是否保留六类 Agent 职责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通过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第 7 节 10 个图节点、11 条实际 trace 事件映射 6 类职责</w:t>
            </w:r>
          </w:p>
        </w:tc>
      </w:tr>
      <w:tr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4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是否使用真实 S1 模型与 GUID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通过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第 2.2 节；35 网格 + 1,247 索引</w:t>
            </w:r>
          </w:p>
        </w:tc>
      </w:tr>
      <w:tr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5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是否诚实标注模拟证据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通过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第 1.1、2.3、5.3 节；全站徽章</w:t>
            </w:r>
          </w:p>
        </w:tc>
      </w:tr>
      <w:tr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6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是否避免 17.3m 当坠落高度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通过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第 1.3、2.2、T10</w:t>
            </w:r>
          </w:p>
        </w:tc>
      </w:tr>
      <w:tr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7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是否只用 active 规范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通过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第 2.2、6.4、T06</w:t>
            </w:r>
          </w:p>
        </w:tc>
      </w:tr>
      <w:tr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8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是否保留 PDF 页码与来源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通过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规范库字段</w:t>
            </w:r>
          </w:p>
        </w:tc>
      </w:tr>
      <w:tr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9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是否实现人工审核与版本冲突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通过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第 6.1、6.2 节</w:t>
            </w:r>
          </w:p>
        </w:tc>
      </w:tr>
      <w:tr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10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是否实现实施后证据与复核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通过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第 6.2 节；T07/T08</w:t>
            </w:r>
          </w:p>
        </w:tc>
      </w:tr>
      <w:tr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11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是否支持关闭后重开且保留历史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通过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第 6.2、T12</w:t>
            </w:r>
          </w:p>
        </w:tc>
      </w:tr>
      <w:tr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12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是否覆盖 12 项验收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通过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第 8 节逐项映射</w:t>
            </w:r>
          </w:p>
        </w:tc>
      </w:tr>
      <w:tr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13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是否无密钥可运行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通过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第 3.3 节</w:t>
            </w:r>
          </w:p>
        </w:tc>
      </w:tr>
      <w:tr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14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是否真实模型模式可配置且不静默降级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通过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第 3.3 节</w:t>
            </w:r>
          </w:p>
        </w:tc>
      </w:tr>
      <w:tr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15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是否提供 35 对象首屏范围说明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通过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第 2.2、5.1 节</w:t>
            </w:r>
          </w:p>
        </w:tc>
      </w:tr>
      <w:tr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16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是否按需加载而非空结果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通过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第 6.3 节 mesh 接口</w:t>
            </w:r>
          </w:p>
        </w:tc>
      </w:tr>
      <w:tr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17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是否持久化并支持刷新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通过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第 5.2、6.1 节</w:t>
            </w:r>
          </w:p>
        </w:tc>
      </w:tr>
      <w:tr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18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是否提供重置且只影响 runtime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通过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第 4、5.2 节</w:t>
            </w:r>
          </w:p>
        </w:tc>
      </w:tr>
      <w:tr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19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是否提供启动脚本与文档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通过</w:t>
            </w:r>
          </w:p>
        </w:tc>
        <w:tc>
          <w:tcPr>
            <w:tcW w:type="dxa" w:w="2353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第 1.2、4 节</w:t>
            </w:r>
          </w:p>
        </w:tc>
      </w:tr>
      <w:tr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20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是否避免工期承诺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通过</w:t>
            </w:r>
          </w:p>
        </w:tc>
        <w:tc>
          <w:tcPr>
            <w:tcW w:type="dxa" w:w="2353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第 9 节按完成标志推进</w:t>
            </w:r>
          </w:p>
        </w:tc>
      </w:tr>
    </w:tbl>
    <w:p>
      <w:pPr>
        <w:spacing w:after="40"/>
      </w:pPr>
    </w:p>
    <w:p>
      <w:r>
        <w:rPr>
          <w:rFonts w:ascii="PingFang SC" w:hAnsi="PingFang SC" w:eastAsia="PingFang SC"/>
          <w:b/>
          <w:sz w:val="21"/>
        </w:rPr>
        <w:t>自检结论：计划通过，可进入执行。</w:t>
      </w:r>
      <w:r>
        <w:rPr>
          <w:rFonts w:ascii="PingFang SC" w:hAnsi="PingFang SC" w:eastAsia="PingFang SC"/>
          <w:sz w:val="21"/>
        </w:rPr>
        <w:t xml:space="preserve"> 执行中如发现与任务书冲突，以任务书和数据事实为准，并回写本计划与合规矩阵。</w:t>
      </w:r>
    </w:p>
    <w:p>
      <w:pPr>
        <w:pBdr>
          <w:bottom w:val="single" w:sz="6" w:space="6" w:color="E2E8F0"/>
        </w:pBdr>
      </w:pPr>
    </w:p>
    <w:p>
      <w:pPr>
        <w:pStyle w:val="Heading1"/>
      </w:pPr>
      <w:r>
        <w:t>11. 风险与应对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137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3137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应对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IfcOpenShell 首次打开 376MB 慢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首屏等待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启动只用 35 网格预览；原始模型懒加载；单例缓存；超时明确提示</w:t>
            </w:r>
          </w:p>
        </w:tc>
      </w:tr>
      <w:tr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三维坐标跨度大、精度抖动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构件闪烁/偏移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前端减局部原点；后端保留世界坐标；GUID 映射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npm/pip 网络失败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无法构建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依赖锁文件；本地缓存；提供已构建 dist；失败日志与重试说明</w:t>
            </w:r>
          </w:p>
        </w:tc>
      </w:tr>
      <w:tr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端口 8000/5173 被占用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启动失败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start.sh 检测并输出占用进程；支持 PORT 环境变量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浏览器截图工具受限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报告缺图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使用 Chrome headless/Playwright；仍失败则记录命令与错误，不伪造截图</w:t>
            </w:r>
          </w:p>
        </w:tc>
      </w:tr>
      <w:tr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12 项验收相互污染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结果不稳定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每项独立 case + 唯一前缀；测试后清理；run-all 顺序执行</w:t>
            </w:r>
          </w:p>
        </w:tc>
      </w:tr>
      <w:tr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旧审批覆盖新方案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合规风险</w:t>
            </w:r>
          </w:p>
        </w:tc>
        <w:tc>
          <w:tcPr>
            <w:tcW w:type="dxa" w:w="313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expected_case_version + control_version；409</w:t>
            </w:r>
          </w:p>
        </w:tc>
      </w:tr>
      <w:tr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把模拟证据误当真实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学术诚信风险</w:t>
            </w:r>
          </w:p>
        </w:tc>
        <w:tc>
          <w:tcPr>
            <w:tcW w:type="dxa" w:w="3137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页面徽章、API provenance、导出说明、文档边界</w:t>
            </w:r>
          </w:p>
        </w:tc>
      </w:tr>
    </w:tbl>
    <w:p>
      <w:pPr>
        <w:spacing w:after="40"/>
      </w:pPr>
    </w:p>
    <w:p>
      <w:pPr>
        <w:pBdr>
          <w:bottom w:val="single" w:sz="6" w:space="6" w:color="E2E8F0"/>
        </w:pBdr>
      </w:pPr>
    </w:p>
    <w:p>
      <w:pPr>
        <w:pStyle w:val="Heading1"/>
      </w:pPr>
      <w:r>
        <w:t>12. 完成定义（DoD）</w:t>
      </w:r>
    </w:p>
    <w:p>
      <w:r>
        <w:rPr>
          <w:rFonts w:ascii="PingFang SC" w:hAnsi="PingFang SC" w:eastAsia="PingFang SC"/>
          <w:sz w:val="21"/>
        </w:rPr>
        <w:t>同时满足以下条件才算交付：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>1. scripts/start.sh 可从干净终端启动，输出实际 URL。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>2. 前端构建成功，http://127.0.0.1:8000 可打开；无控制台阻断错误。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>3. 三维区可旋转、缩放、点选构件、筛选、定位证据。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>4. 新建 → 分析 → 审核 → 实施 → 复核 → 关闭 全流程可走通；刷新后状态保留。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>5. 12 项验收全部返回期望结果，报告含实际响应摘要和时间戳。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>6. 无密钥启动、重启持久化、无效真实模型配置三项附加测试通过。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>7. 资料整合包、执行计划、自检记录、测试报告、演示手册齐全。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>8. 所有模拟/真实边界在网站与文档中可检索到。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color w:val="475569"/>
        <w:sz w:val="18"/>
      </w:rPr>
      <w:t xml:space="preserve">BIM-Safety Coordination Agent · 交付文档 v1.0 · </w:t>
    </w:r>
    <w:r>
      <w:rPr>
        <w:rFonts w:ascii="PingFang SC" w:hAnsi="PingFang SC" w:eastAsia="PingFang SC"/>
        <w:color w:val="475569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00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0B172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0B17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BIM 施工安全协同 Agent 网站</dc:title>
  <dc:subject>执行计划 · 资料整合 · 验收与交付</dc:subject>
  <dc:creator>BIM-Safety Coordination Agent</dc:creator>
  <cp:keywords/>
  <dc:description>Generated from 执行计划.md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