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6" w:color="0F766E"/>
        </w:pBdr>
      </w:pPr>
      <w:r>
        <w:rPr>
          <w:rFonts w:ascii="Menlo" w:hAnsi="Menlo" w:eastAsia="Menlo"/>
          <w:b/>
          <w:color w:val="0F766E"/>
          <w:sz w:val="18"/>
        </w:rPr>
        <w:t>CASE STUDY · 2026</w:t>
      </w:r>
    </w:p>
    <w:p>
      <w:pPr>
        <w:spacing w:before="520"/>
      </w:pPr>
      <w:r>
        <w:rPr>
          <w:rFonts w:ascii="PingFang SC" w:hAnsi="PingFang SC" w:eastAsia="PingFang SC"/>
          <w:b/>
          <w:color w:val="0B1728"/>
          <w:sz w:val="54"/>
        </w:rPr>
        <w:t>验收执行报告</w:t>
      </w:r>
    </w:p>
    <w:p>
      <w:pPr>
        <w:spacing w:before="120"/>
      </w:pPr>
      <w:r>
        <w:rPr>
          <w:rFonts w:ascii="PingFang SC" w:hAnsi="PingFang SC" w:eastAsia="PingFang SC"/>
          <w:color w:val="475569"/>
          <w:sz w:val="24"/>
        </w:rPr>
        <w:t>pytest · 12 项验收 · 浏览器全流程 · 持久化</w:t>
      </w:r>
    </w:p>
    <w:p>
      <w:pPr>
        <w:spacing w:before="600"/>
      </w:pPr>
      <w:r>
        <w:rPr>
          <w:rFonts w:ascii="PingFang SC" w:hAnsi="PingFang SC" w:eastAsia="PingFang SC"/>
          <w:color w:val="475569"/>
          <w:sz w:val="21"/>
        </w:rPr>
        <w:t>BIM 施工安全协同平台（BIM-Safety Coordination Agent）</w:t>
        <w:br/>
        <w:t>围绕 S1 真实 IFC、模拟现场证据、现行规范与 12 项验收，构建可审核、可实施、可复核、可重新打开的 Safety Case。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文档版本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v1.0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编制日期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2026-10-18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依据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原始方案 DOCX、7 张聊天截图、06_Astra任务书、数据字典、SafetyCase Schema、12 项验收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交付形态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访达资料包 + 可运行 Web 平台 + 测试报告 + 演示手册</w:t>
            </w:r>
          </w:p>
        </w:tc>
      </w:tr>
      <w:tr>
        <w:tc>
          <w:tcPr>
            <w:tcW w:type="dxa" w:w="4706"/>
            <w:shd w:val="clear" w:color="auto" w:fill="E6F4F1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0F766E"/>
                <w:sz w:val="19"/>
              </w:rPr>
              <w:t>数据边界</w:t>
            </w:r>
          </w:p>
        </w:tc>
        <w:tc>
          <w:tcPr>
            <w:tcW w:type="dxa" w:w="470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  <w:r>
              <w:rPr>
                <w:rFonts w:ascii="PingFang SC" w:hAnsi="PingFang SC" w:eastAsia="PingFang SC"/>
                <w:color w:val="0B1728"/>
                <w:sz w:val="19"/>
              </w:rPr>
              <w:t>真实 IFC 几何 + 模拟现场观察；不构成现场合规或事故概率结论</w:t>
            </w:r>
          </w:p>
        </w:tc>
      </w:tr>
    </w:tbl>
    <w:p>
      <w:pPr>
        <w:spacing w:before="440"/>
      </w:pPr>
      <w:r>
        <w:rPr>
          <w:rFonts w:ascii="PingFang SC" w:hAnsi="PingFang SC" w:eastAsia="PingFang SC"/>
          <w:color w:val="475569"/>
          <w:sz w:val="18"/>
        </w:rPr>
        <w:t>本计划按“完成标志”推进，不设日历工期。执行中如与任务书冲突，以任务书和数据事实为准。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执行日期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2026-10-18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执行环境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macOS / Python 3.14.3 / Node 24.16 / Chrome (Playwright, SwiftShader WebGL)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后端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FastAPI + Pydantic + LangGraph + SQLite + IfcOpenShell 0.9.0.post1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前端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Vue 3.5 + TypeScript + Vite 7 + Three.js 0.186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数据根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01_资料与依据（只读）；运行根 02_网站源码/backend/runtime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默认模式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DEMO_MODE=true，无 API 密钥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结论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b/>
                <w:color w:val="0B1728"/>
                <w:sz w:val="16"/>
              </w:rPr>
              <w:t>9 项后端测试通过；12/12 验收通过；浏览器全流程通过；0 console/page error</w:t>
            </w:r>
          </w:p>
        </w:tc>
      </w:tr>
    </w:tbl>
    <w:p>
      <w:pPr>
        <w:spacing w:after="40"/>
      </w:pPr>
    </w:p>
    <w:p>
      <w:pPr>
        <w:spacing w:before="80" w:after="160"/>
        <w:ind w:left="340"/>
      </w:pPr>
      <w:r>
        <w:rPr>
          <w:rFonts w:ascii="PingFang SC" w:hAnsi="PingFang SC" w:eastAsia="PingFang SC"/>
          <w:color w:val="475569"/>
          <w:sz w:val="20"/>
        </w:rPr>
        <w:t>本报告只记录实际执行结果。所有命令、日志和截图均保存在 03_测试与验收/。没有把“代码看起来正确”写成“已通过”。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1. 测试范围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1. 资料种子与 SQLite 写入。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2. 模型/楼层/1,247 构件索引/35 网格/区域边线。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3. 规则 FTS5 检索、active/retired 排除、PDF 页码。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4. Safety Case 创建、分析、审核、实施、补证、复核、关闭、重开、导出。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5. 12 项验收用例（T01–T12）。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6. 三维 WebGL、点选、属性面板、证据定位。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7. 前端构建、浏览器全流程、无 console/page error。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8. 重启持久化、无密钥启动、无效真实模型配置、真实调用失败路径。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>9. 原始 IFC 按需网格提取与缓存。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2. 后端 pytest</w:t>
      </w:r>
    </w:p>
    <w:p>
      <w:r>
        <w:rPr>
          <w:rFonts w:ascii="PingFang SC" w:hAnsi="PingFang SC" w:eastAsia="PingFang SC"/>
          <w:sz w:val="21"/>
        </w:rPr>
        <w:t>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cd 02_网站源码/backend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.venv/bin/python -m pytest tests/test_api.py -q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结果：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9 passed, 1 warning in 1.85s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覆盖：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/api/health：mode=demo、DB ok、无密钥字段。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19 楼层、35 网格、1,247 构件索引。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规则检索：GB-3.2.3 / JGJ-4.3.1 命中；retired 不进入 active；JGJ 4.1.1 排除历史强条。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无效 GUID → 422 unknown_guid，不创建悬空案例。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完整闭环：分析 → 批准 → 实施 → EV-010 → 复核 closed → EV-011 重开。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未审批直接复核 → 409 transition_rejected。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非法扩展名 → 422 file_type；伪造 PNG 签名 → 422 file_signature。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12 项验收全部 passed。</w:t>
      </w:r>
    </w:p>
    <w:p>
      <w:r>
        <w:rPr>
          <w:rFonts w:ascii="PingFang SC" w:hAnsi="PingFang SC" w:eastAsia="PingFang SC"/>
          <w:sz w:val="21"/>
        </w:rPr>
        <w:t>日志：api-tests.log</w:t>
      </w:r>
    </w:p>
    <w:p>
      <w:r>
        <w:rPr>
          <w:rFonts w:ascii="PingFang SC" w:hAnsi="PingFang SC" w:eastAsia="PingFang SC"/>
          <w:sz w:val="21"/>
        </w:rPr>
        <w:t>唯一 warning 为 Starlette 对 httpx TestClient 的弃用提示，不影响结果。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3. 12 项验收</w:t>
      </w:r>
    </w:p>
    <w:p>
      <w:r>
        <w:rPr>
          <w:rFonts w:ascii="PingFang SC" w:hAnsi="PingFang SC" w:eastAsia="PingFang SC"/>
          <w:sz w:val="21"/>
        </w:rPr>
        <w:t>命令/入口：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POST /api/demo/acceptance/run-all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结果：</w:t>
      </w:r>
      <w:r>
        <w:rPr>
          <w:rFonts w:ascii="PingFang SC" w:hAnsi="PingFang SC" w:eastAsia="PingFang SC"/>
          <w:b/>
          <w:sz w:val="21"/>
        </w:rPr>
        <w:t>12 / 12 passed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用例</w:t>
            </w:r>
          </w:p>
        </w:tc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期望</w:t>
            </w:r>
          </w:p>
        </w:tc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实际</w:t>
            </w:r>
          </w:p>
        </w:tc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569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案例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T01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正常样例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no_issue_in_checked_items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no_issue_in_checked_items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CASE-20261018-F8D5CE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T02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无防护风险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CASE-20261018-257E3D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T03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栏杆高度不足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risk_candidate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CASE-20261018-6A5740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T04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证据不足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CASE-20261018-B11C06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T05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时间不匹配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needs_evidence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CASE-20261018-E6279D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T06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失效条款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retired_rule_excluded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retired_rule_excluded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无案例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T07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整改复核失败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CASE-20261018-DB0BC4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T08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整改复核通过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closed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closed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CASE-20261018-E5D7AA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T09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无效构件GUID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validation_error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validation_error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无案例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T10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单位与标高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unit_normalized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unit_normalized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无案例</w:t>
            </w:r>
          </w:p>
        </w:tc>
      </w:tr>
      <w:tr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T11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未经审批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transition_rejected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transition_rejected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CASE-20261018-8C1367</w:t>
            </w:r>
          </w:p>
        </w:tc>
      </w:tr>
      <w:tr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T12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关闭后条件变化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reopened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PASS</w:t>
            </w:r>
          </w:p>
        </w:tc>
        <w:tc>
          <w:tcPr>
            <w:tcW w:type="dxa" w:w="1569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CASE-20261018-57C075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机器可读结果：acceptance-results.json；完整响应：acceptance-run.json。</w:t>
      </w:r>
    </w:p>
    <w:p>
      <w:r>
        <w:rPr>
          <w:rFonts w:ascii="PingFang SC" w:hAnsi="PingFang SC" w:eastAsia="PingFang SC"/>
          <w:sz w:val="21"/>
        </w:rPr>
        <w:t>补充核对：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T02/T03 的 rule_ids 含 GB-3.2.3，T03 另含 JGJ-4.3.1。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T04/T05 进入 needs_evidence，未把 unknown 落为 false。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T07 保留 EV-001/EV-006 与失败检查项，状态 reopened。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T08 仅在“批准 → 实施 → 晚于实施的 EV-010 → 人工确认”后 closed。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T12 保留 verification_passed 事件并新增 case_reopened，未覆盖 closed 历史。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4. 前端构建</w:t>
      </w:r>
    </w:p>
    <w:p>
      <w:r>
        <w:rPr>
          <w:rFonts w:ascii="PingFang SC" w:hAnsi="PingFang SC" w:eastAsia="PingFang SC"/>
          <w:sz w:val="21"/>
        </w:rPr>
        <w:t>命令：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cd 02_网站源码/frontend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npm run build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结果：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vue-tsc --noEmit &amp;&amp; vite build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✓ built in 4.52s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无 TypeScript 错误。产物：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dist/index.html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dist/assets/index-*.js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dist/assets/BimView-*.js（Three.js 约 581 KB / gzip 148 KB）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各页面按路由拆包</w:t>
      </w:r>
    </w:p>
    <w:p>
      <w:r>
        <w:rPr>
          <w:rFonts w:ascii="PingFang SC" w:hAnsi="PingFang SC" w:eastAsia="PingFang SC"/>
          <w:sz w:val="21"/>
        </w:rPr>
        <w:t>日志：frontend-build.log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5. 浏览器实际交互（Playwright + Chrome）</w:t>
      </w:r>
    </w:p>
    <w:p>
      <w:r>
        <w:rPr>
          <w:rFonts w:ascii="PingFang SC" w:hAnsi="PingFang SC" w:eastAsia="PingFang SC"/>
          <w:sz w:val="21"/>
        </w:rPr>
        <w:t>脚本：ui_playwright.py（RESET=1 从干净夹具开始）</w:t>
      </w:r>
    </w:p>
    <w:p>
      <w:r>
        <w:rPr>
          <w:rFonts w:ascii="PingFang SC" w:hAnsi="PingFang SC" w:eastAsia="PingFang SC"/>
          <w:sz w:val="21"/>
        </w:rPr>
        <w:t>实际输出：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{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"ok": true,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"checks": [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"reset runtime fixtures",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"dashboard renders",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"3D canvas + WebGL + element inspector",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"create case + real LangGraph analysis",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"human approve",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"implementation record",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"after evidence",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"verification pass -&gt; closed",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"closed -&gt; reopened with history",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"event history retained",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"12 acceptance cards",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"knowledge base",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"evidence gallery",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  "agent trace"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],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 xml:space="preserve">  "errors": []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这说明：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浏览器真实加载 Vue 应用与 Three.js WebGL，不是静态截图。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通过页面按钮完成创建 → 分析 → 批准 → 实施 → EV-010 → 复核 → 关闭 → EV-011 → 重开。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事件日志同时保留“复核通过”和“重新打开案例”。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12 个验收卡片、规范库、证据库、Agent trace 均可打开。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0 条 console error / pageerror。</w:t>
      </w:r>
    </w:p>
    <w:p>
      <w:r>
        <w:rPr>
          <w:rFonts w:ascii="PingFang SC" w:hAnsi="PingFang SC" w:eastAsia="PingFang SC"/>
          <w:sz w:val="21"/>
        </w:rPr>
        <w:t>日志：ui-test.log；截图：screenshots/ui-*.png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6. 重启持久化</w:t>
      </w:r>
    </w:p>
    <w:p>
      <w:r>
        <w:rPr>
          <w:rFonts w:ascii="PingFang SC" w:hAnsi="PingFang SC" w:eastAsia="PingFang SC"/>
          <w:sz w:val="21"/>
        </w:rPr>
        <w:t>最终演示库状态：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before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status pending_review version 3 events 3 runs 1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acceptance 12 / 12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after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status pending_review version 3 events 3 runs 1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finding risk_candidate narrative True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acceptance 12 / 12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mode demo model_cache.loaded False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操作：停止 uvicorn → 重新 scripts/start.sh → GET /api/cases/CASE-S1-DEMO-001。</w:t>
      </w:r>
    </w:p>
    <w:p>
      <w:r>
        <w:rPr>
          <w:rFonts w:ascii="PingFang SC" w:hAnsi="PingFang SC" w:eastAsia="PingFang SC"/>
          <w:sz w:val="21"/>
        </w:rPr>
        <w:t>结论：案例、版本、事件、run、验收结果均持久化；重启不丢。</w:t>
      </w:r>
    </w:p>
    <w:p>
      <w:r>
        <w:rPr>
          <w:rFonts w:ascii="PingFang SC" w:hAnsi="PingFang SC" w:eastAsia="PingFang SC"/>
          <w:sz w:val="21"/>
        </w:rPr>
        <w:t>日志：restart-persistence.log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7. 按需 IFC 网格</w:t>
      </w:r>
    </w:p>
    <w:p>
      <w:r>
        <w:rPr>
          <w:rFonts w:ascii="PingFang SC" w:hAnsi="PingFang SC" w:eastAsia="PingFang SC"/>
          <w:sz w:val="21"/>
        </w:rPr>
        <w:t>目标：非 35 预览对象的 0$0OFQ2iH9ev4krAP5VkFY（IfcBuildingElementProxy）。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首次请求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7.912 s（打开 376 MB IFC + 提取）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顶点 / 三角面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14 / 24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bbox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min [19.64, 16.335059, 17.3]；max [19.74, 16.360059, 20.135]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单位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m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缓存后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0.005 s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缓存位置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backend/runtime/mesh_cache/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结论：不是返回空结果；超出首屏范围时按 GUID 懒加载，并缓存。</w:t>
      </w:r>
    </w:p>
    <w:p>
      <w:r>
        <w:rPr>
          <w:rFonts w:ascii="PingFang SC" w:hAnsi="PingFang SC" w:eastAsia="PingFang SC"/>
          <w:sz w:val="21"/>
        </w:rPr>
        <w:t>日志：on-demand-mesh.log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8. 无密钥与真实模型配置</w:t>
      </w:r>
    </w:p>
    <w:p>
      <w:pPr>
        <w:pStyle w:val="Heading2"/>
      </w:pPr>
      <w:r>
        <w:t>8.1 默认无密钥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GET /api/health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mode=demo, live_config_complete=false, db.ok=true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12/12 验收通过</w:t>
            </w:r>
          </w:p>
        </w:tc>
      </w:tr>
    </w:tbl>
    <w:p>
      <w:pPr>
        <w:spacing w:after="40"/>
      </w:pPr>
    </w:p>
    <w:p>
      <w:pPr>
        <w:pStyle w:val="Heading2"/>
      </w:pPr>
      <w:r>
        <w:t>8.2 DEMO_MODE=false + 缺少配置（端口 8001）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GET /api/health → {"ok": true, "mode": "live_incomplete", "live_config_complete": false}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POST /api/cases/CASE-S1-DEMO-001/analyze → HTTP 503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{"error":{"code":"live_model_config_incomplete", ...}}</w:t>
            </w:r>
          </w:p>
        </w:tc>
      </w:tr>
    </w:tbl>
    <w:p>
      <w:pPr>
        <w:spacing w:after="40"/>
      </w:pPr>
    </w:p>
    <w:p>
      <w:pPr>
        <w:pStyle w:val="Heading2"/>
      </w:pPr>
      <w:r>
        <w:t>8.3 DEMO_MODE=false + 假 URL/假密钥（端口 8002）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/>
            <w:r>
              <w:rPr>
                <w:rFonts w:ascii="Menlo" w:hAnsi="Menlo" w:eastAsia="Menlo"/>
                <w:color w:val="0B1728"/>
                <w:sz w:val="16"/>
              </w:rPr>
              <w:t>GET /api/health → mode=live, live_config_complete=true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POST analyze → 202 queued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run → failed: "APIError: openai_compatible_chat 重试后失败"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case → needs_evidence, analysis_incomplete=1, findings=0</w:t>
            </w:r>
            <w:r>
              <w:br/>
            </w:r>
            <w:r>
              <w:rPr>
                <w:rFonts w:ascii="Menlo" w:hAnsi="Menlo" w:eastAsia="Menlo"/>
                <w:color w:val="0B1728"/>
                <w:sz w:val="16"/>
              </w:rPr>
              <w:t>trace → LLM 归纳 retrying → failed；Safety Coordinator 失败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/>
          <w:sz w:val="21"/>
        </w:rPr>
        <w:t>结论：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配置不完整返回可操作 503，不悄悄假装真实模式。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真实调用失败时 run failed、案例 needs_evidence，</w:t>
      </w:r>
      <w:r>
        <w:rPr>
          <w:rFonts w:ascii="PingFang SC" w:hAnsi="PingFang SC" w:eastAsia="PingFang SC"/>
          <w:b/>
          <w:sz w:val="21"/>
        </w:rPr>
        <w:t>不静默降级为演示结论</w:t>
      </w:r>
      <w:r>
        <w:rPr>
          <w:rFonts w:ascii="PingFang SC" w:hAnsi="PingFang SC" w:eastAsia="PingFang SC"/>
          <w:sz w:val="21"/>
        </w:rPr>
        <w:t>，也不自动判无风险。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未提供真实供应商密钥，因此没有伪造“真实调用成功”的结果。</w:t>
      </w:r>
    </w:p>
    <w:p>
      <w:r>
        <w:rPr>
          <w:rFonts w:ascii="PingFang SC" w:hAnsi="PingFang SC" w:eastAsia="PingFang SC"/>
          <w:sz w:val="21"/>
        </w:rPr>
        <w:t>日志：live-config.log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9. 参考截图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截图</w:t>
            </w:r>
          </w:p>
        </w:tc>
        <w:tc>
          <w:tcPr>
            <w:tcW w:type="dxa" w:w="4706"/>
            <w:shd w:val="clear" w:color="auto" w:fill="0F766E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screenshots/final-dashboard.png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总览：12/12 验收、待审核案例、六类职责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screenshots/final-case.png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案例详情：Finding、检查项、演示模型归纳、控制措施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screenshots/final-bim.png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三维工作台：真实 IFC 网格、风险高亮、属性、证据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screenshots/final-cases.png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案例列表：仅业务案例，隐藏 9 个验收案例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screenshots/final-agent.png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Agent：职责图、run 列表、实际 trace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screenshots/final-acceptance.png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验收实验室：12/12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screenshots/final-knowledge.png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规范库：active/retired、条文释义、PDF 页码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screenshots/final-evidence.png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证据库：12 张演示示意图、观察字段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screenshots/final-about.png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方案与边界、可引用表述</w:t>
            </w:r>
          </w:p>
        </w:tc>
      </w:tr>
      <w:tr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screenshots/ui-case-closed.png</w:t>
            </w:r>
          </w:p>
        </w:tc>
        <w:tc>
          <w:tcPr>
            <w:tcW w:type="dxa" w:w="4706"/>
            <w:shd w:val="clear" w:color="auto" w:fill="F7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浏览器全流程：复核通过关闭</w:t>
            </w:r>
          </w:p>
        </w:tc>
      </w:tr>
      <w:tr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screenshots/ui-case-reopened.png</w:t>
            </w:r>
          </w:p>
        </w:tc>
        <w:tc>
          <w:tcPr>
            <w:tcW w:type="dxa" w:w="4706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PingFang SC" w:hAnsi="PingFang SC" w:eastAsia="PingFang SC"/>
                <w:color w:val="0B1728"/>
                <w:sz w:val="16"/>
              </w:rPr>
              <w:t>浏览器全流程：条件变化重开</w:t>
            </w:r>
          </w:p>
        </w:tc>
      </w:tr>
    </w:tbl>
    <w:p>
      <w:pPr>
        <w:spacing w:after="40"/>
      </w:pPr>
    </w:p>
    <w:p>
      <w:pPr>
        <w:pBdr>
          <w:bottom w:val="single" w:sz="6" w:space="6" w:color="E2E8F0"/>
        </w:pBdr>
      </w:pPr>
    </w:p>
    <w:p>
      <w:pPr>
        <w:pStyle w:val="Heading1"/>
      </w:pPr>
      <w:r>
        <w:t>10. 未测试 / 已知限制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1. </w:t>
      </w:r>
      <w:r>
        <w:rPr>
          <w:rFonts w:ascii="PingFang SC" w:hAnsi="PingFang SC" w:eastAsia="PingFang SC"/>
          <w:b/>
          <w:sz w:val="21"/>
        </w:rPr>
        <w:t>真实供应商调用</w:t>
      </w:r>
      <w:r>
        <w:rPr>
          <w:rFonts w:ascii="PingFang SC" w:hAnsi="PingFang SC" w:eastAsia="PingFang SC"/>
          <w:sz w:val="21"/>
        </w:rPr>
        <w:t>：无可用密钥，未对具体供应商做端到端调用；已测试配置门禁、超时/失败路径、白名单代码。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2. </w:t>
      </w:r>
      <w:r>
        <w:rPr>
          <w:rFonts w:ascii="PingFang SC" w:hAnsi="PingFang SC" w:eastAsia="PingFang SC"/>
          <w:b/>
          <w:sz w:val="21"/>
        </w:rPr>
        <w:t>真实现场合规</w:t>
      </w:r>
      <w:r>
        <w:rPr>
          <w:rFonts w:ascii="PingFang SC" w:hAnsi="PingFang SC" w:eastAsia="PingFang SC"/>
          <w:sz w:val="21"/>
        </w:rPr>
        <w:t>：所有现场观察为模拟，不可作为现场合规或事故结论。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3. </w:t>
      </w:r>
      <w:r>
        <w:rPr>
          <w:rFonts w:ascii="PingFang SC" w:hAnsi="PingFang SC" w:eastAsia="PingFang SC"/>
          <w:b/>
          <w:sz w:val="21"/>
        </w:rPr>
        <w:t>模型全量</w:t>
      </w:r>
      <w:r>
        <w:rPr>
          <w:rFonts w:ascii="PingFang SC" w:hAnsi="PingFang SC" w:eastAsia="PingFang SC"/>
          <w:sz w:val="21"/>
        </w:rPr>
        <w:t>：首屏仅 35 个区域预览对象；其他对象按 GUID 懒加载，未做完整 16,372 构件的前端渲染。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4. </w:t>
      </w:r>
      <w:r>
        <w:rPr>
          <w:rFonts w:ascii="PingFang SC" w:hAnsi="PingFang SC" w:eastAsia="PingFang SC"/>
          <w:b/>
          <w:sz w:val="21"/>
        </w:rPr>
        <w:t>真实 4D/洞口</w:t>
      </w:r>
      <w:r>
        <w:rPr>
          <w:rFonts w:ascii="PingFang SC" w:hAnsi="PingFang SC" w:eastAsia="PingFang SC"/>
          <w:sz w:val="21"/>
        </w:rPr>
        <w:t>：S1 IFC 无 IfcTask/IfcWorkSchedule/IfcOpeningElement，未声称真实进度或洞口。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5. </w:t>
      </w:r>
      <w:r>
        <w:rPr>
          <w:rFonts w:ascii="PingFang SC" w:hAnsi="PingFang SC" w:eastAsia="PingFang SC"/>
          <w:b/>
          <w:sz w:val="21"/>
        </w:rPr>
        <w:t>移动端</w:t>
      </w:r>
      <w:r>
        <w:rPr>
          <w:rFonts w:ascii="PingFang SC" w:hAnsi="PingFang SC" w:eastAsia="PingFang SC"/>
          <w:sz w:val="21"/>
        </w:rPr>
        <w:t>：桌面优先；窄屏只保证基本可读与操作，不承诺完整三维体验。</w:t>
      </w:r>
    </w:p>
    <w:p>
      <w:pPr>
        <w:ind w:left="340" w:hanging="340"/>
      </w:pPr>
      <w:r>
        <w:rPr>
          <w:rFonts w:ascii="PingFang SC" w:hAnsi="PingFang SC" w:eastAsia="PingFang SC"/>
          <w:sz w:val="21"/>
        </w:rPr>
        <w:t xml:space="preserve">6. </w:t>
      </w:r>
      <w:r>
        <w:rPr>
          <w:rFonts w:ascii="PingFang SC" w:hAnsi="PingFang SC" w:eastAsia="PingFang SC"/>
          <w:b/>
          <w:sz w:val="21"/>
        </w:rPr>
        <w:t>Windows</w:t>
      </w:r>
      <w:r>
        <w:rPr>
          <w:rFonts w:ascii="PingFang SC" w:hAnsi="PingFang SC" w:eastAsia="PingFang SC"/>
          <w:sz w:val="21"/>
        </w:rPr>
        <w:t>：提供 start.ps1，但本次在 macOS 实测；Windows 路径/防火墙差异需按 README 排查。</w:t>
      </w:r>
    </w:p>
    <w:p>
      <w:pPr>
        <w:pBdr>
          <w:bottom w:val="single" w:sz="6" w:space="6" w:color="E2E8F0"/>
        </w:pBdr>
      </w:pPr>
    </w:p>
    <w:p>
      <w:pPr>
        <w:pStyle w:val="Heading1"/>
      </w:pPr>
      <w:r>
        <w:t>11. 最终结论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9 项后端测试通过。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12/12 验收通过，且每项保留实际响应、案例 ID、时间戳。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前端构建通过，无 TypeScript 错误。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浏览器全流程通过，0 console/page error。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重启持久化、无密钥启动、无效真实配置、真实调用失败路径、按需网格均通过。</w:t>
      </w:r>
    </w:p>
    <w:p>
      <w:pPr>
        <w:pStyle w:val="ListBullet"/>
      </w:pPr>
      <w:r>
        <w:rPr>
          <w:rFonts w:ascii="PingFang SC" w:hAnsi="PingFang SC" w:eastAsia="PingFang SC"/>
          <w:sz w:val="21"/>
        </w:rPr>
        <w:t>资料、计划、自检、合规矩阵、演示手册、截图齐全。</w:t>
      </w:r>
    </w:p>
    <w:p>
      <w:r>
        <w:rPr>
          <w:rFonts w:ascii="PingFang SC" w:hAnsi="PingFang SC" w:eastAsia="PingFang SC"/>
          <w:b/>
          <w:sz w:val="21"/>
        </w:rPr>
        <w:t>交付状态：可运行、可演示、可复核。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475569"/>
        <w:sz w:val="18"/>
      </w:rPr>
      <w:t xml:space="preserve">BIM-Safety Coordination Agent · 交付文档 v1.0 · </w:t>
    </w:r>
    <w:r>
      <w:rPr>
        <w:rFonts w:ascii="PingFang SC" w:hAnsi="PingFang SC" w:eastAsia="PingFang SC"/>
        <w:color w:val="475569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0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B17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B17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验收执行报告</dc:title>
  <dc:subject>pytest · 12 项验收 · 浏览器全流程 · 持久化</dc:subject>
  <dc:creator>BIM-Safety Coordination Agent</dc:creator>
  <cp:keywords/>
  <dc:description>Generated from 执行计划.md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