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https://ai-watch.ec.europa.eu/countries/germany/germany-ai-strategy-report_en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https://www.bmftr.bund.de/EN/Research/EmergingTechnologies/ArtificialIntelligence/artificialintelligence_node.html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https://www.reuters.com/technology/germany-plans-ai-offensive-catch-up-key-technologies-document-shows-2025-07-15/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-watch.ec.europa.eu/countries/germany/germany-ai-strategy-report_en" TargetMode="External"/><Relationship Id="rId7" Type="http://schemas.openxmlformats.org/officeDocument/2006/relationships/hyperlink" Target="https://www.bmftr.bund.de/EN/Research/EmergingTechnologies/ArtificialIntelligence/artificialintelligence_node.html" TargetMode="External"/><Relationship Id="rId8" Type="http://schemas.openxmlformats.org/officeDocument/2006/relationships/hyperlink" Target="https://www.reuters.com/technology/germany-plans-ai-offensive-catch-up-key-technologies-document-shows-2025-07-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