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https://www.youtube.com/watch?v=cg3tg-BfLIs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https://montrealethics.ai/ai-policy-corner-singapores-national-ai-strategy-2-0/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https://www.tech.gov.sg/technews/the-history-of-ai-part-2-singapore-ai-journey/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https://www.trade.gov/market-intelligence/singapore-artificial-intelligence-strategy-20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rade.gov/market-intelligence/singapore-artificial-intelligence-strategy-2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g3tg-BfLIs" TargetMode="External"/><Relationship Id="rId7" Type="http://schemas.openxmlformats.org/officeDocument/2006/relationships/hyperlink" Target="https://montrealethics.ai/ai-policy-corner-singapores-national-ai-strategy-2-0/" TargetMode="External"/><Relationship Id="rId8" Type="http://schemas.openxmlformats.org/officeDocument/2006/relationships/hyperlink" Target="https://www.tech.gov.sg/technews/the-history-of-ai-part-2-singapore-ai-journe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