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文字理念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對我來說，悲傷不是崩潰，</w:t>
        <w:br w:type="textWrapping"/>
        <w:t xml:space="preserve"> 而是一種沒有聲音的重量。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你還能上班、還能說話、還能笑，</w:t>
        <w:br w:type="textWrapping"/>
        <w:t xml:space="preserve"> 但內在其實已經被水淹到胸口。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最可怕的不是下沉，</w:t>
        <w:br w:type="textWrapping"/>
        <w:t xml:space="preserve"> 而是——</w:t>
        <w:br w:type="textWrapping"/>
        <w:t xml:space="preserve"> 沒有人發現你正在下沉。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是一種看不懂的，他人也看不清的情緒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