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753F4" w:rsidRDefault="00000000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0" w:name="_tsos2vo60wno" w:colFirst="0" w:colLast="0"/>
      <w:bookmarkEnd w:id="0"/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因子筛选与建模总结</w:t>
      </w:r>
    </w:p>
    <w:p w14:paraId="00000002" w14:textId="77777777" w:rsidR="005753F4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</w:rPr>
      </w:pPr>
      <w:bookmarkStart w:id="1" w:name="_483so8sl8ux5" w:colFirst="0" w:colLast="0"/>
      <w:bookmarkEnd w:id="1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1. 初始因子选择</w:t>
      </w:r>
    </w:p>
    <w:p w14:paraId="00000003" w14:textId="2E5E0996" w:rsidR="005753F4" w:rsidRDefault="00000000">
      <w:pPr>
        <w:spacing w:before="240" w:after="2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我们最初有 21 个唾液因子和 21 个血清因子，分别使用 XGBoost 训练模型，模型的准确率</w:t>
      </w:r>
      <w:r w:rsidR="00E662E9">
        <w:rPr>
          <w:rFonts w:ascii="Arial Unicode MS" w:eastAsia="Arial Unicode MS" w:hAnsi="Arial Unicode MS" w:cs="Arial Unicode MS" w:hint="eastAsia"/>
        </w:rPr>
        <w:t>都</w:t>
      </w:r>
      <w:r>
        <w:rPr>
          <w:rFonts w:ascii="Arial Unicode MS" w:eastAsia="Arial Unicode MS" w:hAnsi="Arial Unicode MS" w:cs="Arial Unicode MS"/>
        </w:rPr>
        <w:t>为 0.75，并基于特征重要性矩阵筛选出了 5 个唾液因子和 3 个血清因子。</w:t>
      </w:r>
      <w:r w:rsidR="00E662E9">
        <w:rPr>
          <w:rFonts w:ascii="Arial Unicode MS" w:eastAsia="Arial Unicode MS" w:hAnsi="Arial Unicode MS" w:cs="Arial Unicode MS" w:hint="eastAsia"/>
        </w:rPr>
        <w:t>对重叠的三个因子进行比较：</w:t>
      </w:r>
    </w:p>
    <w:p w14:paraId="3FE14F10" w14:textId="60158BF4" w:rsidR="00E662E9" w:rsidRDefault="00E662E9">
      <w:pPr>
        <w:spacing w:before="240" w:after="240"/>
      </w:pPr>
      <w:r>
        <w:rPr>
          <w:rFonts w:hint="eastAsia"/>
          <w:noProof/>
        </w:rPr>
        <w:drawing>
          <wp:inline distT="0" distB="0" distL="0" distR="0" wp14:anchorId="35A70A86" wp14:editId="03A47993">
            <wp:extent cx="5733415" cy="4300220"/>
            <wp:effectExtent l="0" t="0" r="0" b="5080"/>
            <wp:docPr id="153566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68795" name="Picture 15356687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C972" w14:textId="52AD4708" w:rsidR="00E662E9" w:rsidRDefault="00E662E9">
      <w:pPr>
        <w:spacing w:before="240" w:after="240"/>
      </w:pPr>
      <w:r>
        <w:rPr>
          <w:rFonts w:hint="eastAsia"/>
          <w:noProof/>
        </w:rPr>
        <w:lastRenderedPageBreak/>
        <w:drawing>
          <wp:inline distT="0" distB="0" distL="0" distR="0" wp14:anchorId="5C8AEF1F" wp14:editId="49C41D4A">
            <wp:extent cx="5733415" cy="4300220"/>
            <wp:effectExtent l="0" t="0" r="0" b="5080"/>
            <wp:docPr id="2045246608" name="Picture 2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46608" name="Picture 2" descr="A graph with blue and orange bar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9115" w14:textId="1B8964AB" w:rsidR="00E662E9" w:rsidRDefault="00E662E9">
      <w:pPr>
        <w:spacing w:before="240" w:after="240"/>
      </w:pPr>
      <w:r>
        <w:rPr>
          <w:rFonts w:hint="eastAsia"/>
          <w:noProof/>
        </w:rPr>
        <w:drawing>
          <wp:inline distT="0" distB="0" distL="0" distR="0" wp14:anchorId="00E7C01A" wp14:editId="2E3887F2">
            <wp:extent cx="5733415" cy="4300220"/>
            <wp:effectExtent l="0" t="0" r="0" b="5080"/>
            <wp:docPr id="458517204" name="Picture 3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17204" name="Picture 3" descr="A graph with blue and orange ba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BD59" w14:textId="54AE4500" w:rsidR="00E662E9" w:rsidRPr="00E662E9" w:rsidRDefault="00E662E9">
      <w:pPr>
        <w:spacing w:before="240" w:after="240"/>
        <w:rPr>
          <w:lang w:val="en-US"/>
        </w:rPr>
      </w:pPr>
      <w:r>
        <w:rPr>
          <w:rFonts w:hint="eastAsia"/>
          <w:noProof/>
        </w:rPr>
        <w:lastRenderedPageBreak/>
        <w:drawing>
          <wp:inline distT="0" distB="0" distL="0" distR="0" wp14:anchorId="3C9A02E4" wp14:editId="49A085C4">
            <wp:extent cx="5733415" cy="4300220"/>
            <wp:effectExtent l="0" t="0" r="0" b="5080"/>
            <wp:docPr id="1600934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34567" name="Picture 16009345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136C0C81" w:rsidR="005753F4" w:rsidRPr="00E662E9" w:rsidRDefault="00000000">
      <w:pPr>
        <w:pStyle w:val="Heading4"/>
        <w:keepNext w:val="0"/>
        <w:keepLines w:val="0"/>
        <w:spacing w:before="240" w:after="40"/>
        <w:rPr>
          <w:rFonts w:hint="eastAsia"/>
          <w:color w:val="000000"/>
          <w:sz w:val="22"/>
          <w:szCs w:val="22"/>
          <w:lang w:val="en-US"/>
        </w:rPr>
      </w:pPr>
      <w:bookmarkStart w:id="2" w:name="_e96j3st0rvda" w:colFirst="0" w:colLast="0"/>
      <w:bookmarkEnd w:id="2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2. XGBoost 模型</w:t>
      </w:r>
      <w:r w:rsidR="00E662E9">
        <w:rPr>
          <w:rFonts w:ascii="Arial Unicode MS" w:eastAsia="Arial Unicode MS" w:hAnsi="Arial Unicode MS" w:cs="Arial Unicode MS" w:hint="eastAsia"/>
          <w:color w:val="000000"/>
          <w:sz w:val="22"/>
          <w:szCs w:val="22"/>
          <w:lang w:val="en-US"/>
        </w:rPr>
        <w:t>评估</w:t>
      </w:r>
    </w:p>
    <w:p w14:paraId="00000005" w14:textId="77777777" w:rsidR="005753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对于构建的 XGBoost 模型，并进行模型验证，F1-score 均为 0.7778，表现良好。随后，我们进行交叉验证，互换数据集进行预测，以评估数据来源的影响：</w:t>
      </w:r>
    </w:p>
    <w:p w14:paraId="00000006" w14:textId="3A736454" w:rsidR="005753F4" w:rsidRDefault="00000000">
      <w:pPr>
        <w:numPr>
          <w:ilvl w:val="0"/>
          <w:numId w:val="1"/>
        </w:numPr>
        <w:spacing w:before="240"/>
      </w:pPr>
      <w:r>
        <w:rPr>
          <w:rFonts w:ascii="Arial Unicode MS" w:eastAsia="Arial Unicode MS" w:hAnsi="Arial Unicode MS" w:cs="Arial Unicode MS"/>
        </w:rPr>
        <w:t xml:space="preserve">使用唾液因子训练 XGBoost 模型，并用血清数据测试，计算 </w:t>
      </w:r>
      <w:r w:rsidR="00E662E9">
        <w:rPr>
          <w:rFonts w:ascii="Arial Unicode MS" w:eastAsia="Arial Unicode MS" w:hAnsi="Arial Unicode MS" w:cs="Arial Unicode MS" w:hint="eastAsia"/>
        </w:rPr>
        <w:t>F1score</w:t>
      </w:r>
      <w:r>
        <w:rPr>
          <w:rFonts w:ascii="Arial Unicode MS" w:eastAsia="Arial Unicode MS" w:hAnsi="Arial Unicode MS" w:cs="Arial Unicode MS"/>
        </w:rPr>
        <w:t>等评估指标。</w:t>
      </w:r>
    </w:p>
    <w:p w14:paraId="00000007" w14:textId="3CB83174" w:rsidR="005753F4" w:rsidRDefault="00000000">
      <w:pPr>
        <w:numPr>
          <w:ilvl w:val="0"/>
          <w:numId w:val="1"/>
        </w:numPr>
        <w:spacing w:after="240"/>
      </w:pPr>
      <w:r>
        <w:rPr>
          <w:rFonts w:ascii="Arial Unicode MS" w:eastAsia="Arial Unicode MS" w:hAnsi="Arial Unicode MS" w:cs="Arial Unicode MS"/>
        </w:rPr>
        <w:t>使用血清因子训练 XGBoost 模型，并用唾液数据测试，</w:t>
      </w:r>
      <w:r w:rsidR="00E662E9">
        <w:rPr>
          <w:rFonts w:ascii="Arial Unicode MS" w:eastAsia="Arial Unicode MS" w:hAnsi="Arial Unicode MS" w:cs="Arial Unicode MS"/>
        </w:rPr>
        <w:t xml:space="preserve">计算 </w:t>
      </w:r>
      <w:r w:rsidR="00E662E9">
        <w:rPr>
          <w:rFonts w:ascii="Arial Unicode MS" w:eastAsia="Arial Unicode MS" w:hAnsi="Arial Unicode MS" w:cs="Arial Unicode MS" w:hint="eastAsia"/>
        </w:rPr>
        <w:t>F1score</w:t>
      </w:r>
      <w:r>
        <w:rPr>
          <w:rFonts w:ascii="Arial Unicode MS" w:eastAsia="Arial Unicode MS" w:hAnsi="Arial Unicode MS" w:cs="Arial Unicode MS"/>
        </w:rPr>
        <w:t>等评估指标。</w:t>
      </w:r>
    </w:p>
    <w:p w14:paraId="00000008" w14:textId="77777777" w:rsidR="005753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交叉测试结果分析：</w:t>
      </w:r>
    </w:p>
    <w:p w14:paraId="0000000C" w14:textId="77777777" w:rsidR="005753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整体来看，血清因子模型表现较优，而唾液因子的分类能力一般（Accuracy = 0.5）。由于血清模型可能存在过拟合，我们采用 5 折交叉验证重新评估 AUC 和 F1-score。</w:t>
      </w:r>
    </w:p>
    <w:p w14:paraId="0000000D" w14:textId="77777777" w:rsidR="005753F4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</w:rPr>
      </w:pPr>
      <w:bookmarkStart w:id="3" w:name="_835gmxii9mq1" w:colFirst="0" w:colLast="0"/>
      <w:bookmarkEnd w:id="3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3. 交叉验证评估</w:t>
      </w:r>
    </w:p>
    <w:p w14:paraId="0000000E" w14:textId="77777777" w:rsidR="005753F4" w:rsidRDefault="00000000">
      <w:pPr>
        <w:numPr>
          <w:ilvl w:val="0"/>
          <w:numId w:val="2"/>
        </w:numPr>
        <w:spacing w:before="240" w:after="240"/>
      </w:pPr>
      <w:r>
        <w:rPr>
          <w:rFonts w:ascii="Arial Unicode MS" w:eastAsia="Arial Unicode MS" w:hAnsi="Arial Unicode MS" w:cs="Arial Unicode MS"/>
        </w:rPr>
        <w:t>评价指标</w:t>
      </w:r>
    </w:p>
    <w:p w14:paraId="0000000F" w14:textId="77777777" w:rsidR="005753F4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RMSE（均方根误差）：衡量模型预测值与实际值的差异，值越小越好。</w:t>
      </w:r>
    </w:p>
    <w:p w14:paraId="00000010" w14:textId="77777777" w:rsidR="005753F4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lastRenderedPageBreak/>
        <w:t>R-squared（R² 值）：反映模型拟合优度，值越接近 1 越好。</w:t>
      </w:r>
    </w:p>
    <w:p w14:paraId="00000011" w14:textId="77777777" w:rsidR="005753F4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MAE（平均绝对误差）：衡量预测值与实际值的平均绝对差异，值越小越好。</w:t>
      </w:r>
    </w:p>
    <w:p w14:paraId="00000012" w14:textId="77777777" w:rsidR="005753F4" w:rsidRDefault="00000000">
      <w:pPr>
        <w:numPr>
          <w:ilvl w:val="0"/>
          <w:numId w:val="2"/>
        </w:numPr>
        <w:spacing w:before="240"/>
      </w:pPr>
      <w:r>
        <w:rPr>
          <w:rFonts w:ascii="Arial Unicode MS" w:eastAsia="Arial Unicode MS" w:hAnsi="Arial Unicode MS" w:cs="Arial Unicode MS"/>
        </w:rPr>
        <w:t>模型表现</w:t>
      </w:r>
    </w:p>
    <w:p w14:paraId="00000013" w14:textId="77777777" w:rsidR="005753F4" w:rsidRDefault="00000000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在多种超参数组合下，RMSE 值较小，R² 值接近 1，模型拟合较好。</w:t>
      </w:r>
    </w:p>
    <w:p w14:paraId="00000014" w14:textId="77777777" w:rsidR="005753F4" w:rsidRDefault="00000000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例如，在 eta = 0.3, max_depth = 1, colsample_bytree = 0.6, subsample = 0.875 时，RMSE 和 MAE 均较小，表明模型性能较优。</w:t>
      </w:r>
    </w:p>
    <w:p w14:paraId="00000015" w14:textId="77777777" w:rsidR="005753F4" w:rsidRDefault="00000000">
      <w:pPr>
        <w:numPr>
          <w:ilvl w:val="1"/>
          <w:numId w:val="2"/>
        </w:numPr>
        <w:spacing w:after="240"/>
      </w:pPr>
      <w:r>
        <w:rPr>
          <w:rFonts w:ascii="Arial Unicode MS" w:eastAsia="Arial Unicode MS" w:hAnsi="Arial Unicode MS" w:cs="Arial Unicode MS"/>
        </w:rPr>
        <w:t>RMSE 和 R² 差距较小，未出现明显过拟合。</w:t>
      </w:r>
    </w:p>
    <w:p w14:paraId="00000016" w14:textId="77777777" w:rsidR="005753F4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</w:rPr>
      </w:pPr>
      <w:bookmarkStart w:id="4" w:name="_ia4mrovk2fuk" w:colFirst="0" w:colLast="0"/>
      <w:bookmarkEnd w:id="4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4. 线性回归验证</w:t>
      </w:r>
    </w:p>
    <w:p w14:paraId="00000017" w14:textId="77777777" w:rsidR="005753F4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在此基础上，我们提取 8 个因子进行线性回归分析，并对不同组合的预测能力进行比较。</w:t>
      </w:r>
    </w:p>
    <w:p w14:paraId="00000018" w14:textId="77777777" w:rsidR="005753F4" w:rsidRDefault="00000000">
      <w:pPr>
        <w:numPr>
          <w:ilvl w:val="0"/>
          <w:numId w:val="4"/>
        </w:numPr>
        <w:spacing w:before="240"/>
      </w:pPr>
      <w:r>
        <w:rPr>
          <w:rFonts w:ascii="Arial Unicode MS" w:eastAsia="Arial Unicode MS" w:hAnsi="Arial Unicode MS" w:cs="Arial Unicode MS"/>
        </w:rPr>
        <w:t>单独使用血清因子（xueqing）相比唾液因子（tuoye）表现更优（MSE 更低，R² 更高），尤其在 BV/TV 和 Tb.Sp 变量上：</w:t>
      </w:r>
      <w:r>
        <w:rPr>
          <w:rFonts w:ascii="Arial Unicode MS" w:eastAsia="Arial Unicode MS" w:hAnsi="Arial Unicode MS" w:cs="Arial Unicode MS"/>
        </w:rPr>
        <w:br/>
      </w:r>
    </w:p>
    <w:p w14:paraId="00000019" w14:textId="77777777" w:rsidR="005753F4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BV/TV: 血清因子 R² = 0.39，高于唾液因子的 0.14。</w:t>
      </w:r>
    </w:p>
    <w:p w14:paraId="0000001A" w14:textId="77777777" w:rsidR="005753F4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Tb.Sp: 血清因子 R² = 0.95，高于唾液因子的 0.82。</w:t>
      </w:r>
    </w:p>
    <w:p w14:paraId="0000001B" w14:textId="77777777" w:rsidR="005753F4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M1: 唾液因子 R² = 0.75，高于血清因子的 0.69，可能表明 M1 变量与唾液因子的关系更强。</w:t>
      </w:r>
    </w:p>
    <w:p w14:paraId="0000001C" w14:textId="77777777" w:rsidR="005753F4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合并因子（Combined）后，整体预测效果得到提升：</w:t>
      </w:r>
      <w:r>
        <w:rPr>
          <w:rFonts w:ascii="Arial Unicode MS" w:eastAsia="Arial Unicode MS" w:hAnsi="Arial Unicode MS" w:cs="Arial Unicode MS"/>
        </w:rPr>
        <w:br/>
      </w:r>
    </w:p>
    <w:p w14:paraId="0000001D" w14:textId="77777777" w:rsidR="005753F4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所有目标变量的 MSE 降低，R² 提高。</w:t>
      </w:r>
    </w:p>
    <w:p w14:paraId="0000001E" w14:textId="77777777" w:rsidR="005753F4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BV/TV: R² 提升至 0.50。</w:t>
      </w:r>
    </w:p>
    <w:p w14:paraId="0000001F" w14:textId="77777777" w:rsidR="005753F4" w:rsidRDefault="00000000">
      <w:pPr>
        <w:numPr>
          <w:ilvl w:val="1"/>
          <w:numId w:val="4"/>
        </w:numPr>
        <w:spacing w:after="240"/>
      </w:pPr>
      <w:r>
        <w:rPr>
          <w:rFonts w:ascii="Arial Unicode MS" w:eastAsia="Arial Unicode MS" w:hAnsi="Arial Unicode MS" w:cs="Arial Unicode MS"/>
        </w:rPr>
        <w:t>Tb.Sp: R² 提升至 0.96。</w:t>
      </w:r>
    </w:p>
    <w:p w14:paraId="00000020" w14:textId="77777777" w:rsidR="005753F4" w:rsidRDefault="00000000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5" w:name="_5ccxio4gtsi5" w:colFirst="0" w:colLast="0"/>
      <w:bookmarkEnd w:id="5"/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结论</w:t>
      </w:r>
    </w:p>
    <w:p w14:paraId="00000021" w14:textId="77777777" w:rsidR="005753F4" w:rsidRDefault="00000000">
      <w:pPr>
        <w:numPr>
          <w:ilvl w:val="0"/>
          <w:numId w:val="5"/>
        </w:numPr>
        <w:spacing w:before="240"/>
      </w:pPr>
      <w:r>
        <w:rPr>
          <w:rFonts w:ascii="Arial Unicode MS" w:eastAsia="Arial Unicode MS" w:hAnsi="Arial Unicode MS" w:cs="Arial Unicode MS"/>
        </w:rPr>
        <w:t>血清因子在 BV/TV 和 Tb.Sp 的预测能力更强。</w:t>
      </w:r>
    </w:p>
    <w:p w14:paraId="00000022" w14:textId="77777777" w:rsidR="005753F4" w:rsidRDefault="0000000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唾液因子在 M1 的预测能力更强，可能与其生物学特性有关。</w:t>
      </w:r>
    </w:p>
    <w:p w14:paraId="00000023" w14:textId="77777777" w:rsidR="005753F4" w:rsidRDefault="00000000">
      <w:pPr>
        <w:numPr>
          <w:ilvl w:val="0"/>
          <w:numId w:val="5"/>
        </w:numPr>
        <w:spacing w:after="240"/>
      </w:pPr>
      <w:r>
        <w:rPr>
          <w:rFonts w:ascii="Arial Unicode MS" w:eastAsia="Arial Unicode MS" w:hAnsi="Arial Unicode MS" w:cs="Arial Unicode MS"/>
        </w:rPr>
        <w:t>合并因子后预测效果最佳，建议使用联合模型以提升预测能力。</w:t>
      </w:r>
    </w:p>
    <w:p w14:paraId="00000024" w14:textId="6BD3F5AB" w:rsidR="005753F4" w:rsidRDefault="00E662E9">
      <w:r>
        <w:rPr>
          <w:noProof/>
        </w:rPr>
        <w:lastRenderedPageBreak/>
        <w:drawing>
          <wp:inline distT="0" distB="0" distL="0" distR="0" wp14:anchorId="3D84878C" wp14:editId="21515E6F">
            <wp:extent cx="4686617" cy="3905428"/>
            <wp:effectExtent l="0" t="0" r="0" b="0"/>
            <wp:docPr id="4745206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20697" name="Picture 4745206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836" cy="39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E3A99" wp14:editId="6166016B">
            <wp:extent cx="5127591" cy="4272898"/>
            <wp:effectExtent l="0" t="0" r="3810" b="0"/>
            <wp:docPr id="1926308923" name="Picture 6" descr="A graph with colored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08923" name="Picture 6" descr="A graph with colored dots and lin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666" cy="428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FDAC96" wp14:editId="59991922">
            <wp:extent cx="4963507" cy="4136164"/>
            <wp:effectExtent l="0" t="0" r="2540" b="4445"/>
            <wp:docPr id="1877954020" name="Picture 5" descr="A graph with colored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54020" name="Picture 5" descr="A graph with colored dots and line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87" cy="41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3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73085"/>
    <w:multiLevelType w:val="multilevel"/>
    <w:tmpl w:val="46B05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07685A"/>
    <w:multiLevelType w:val="multilevel"/>
    <w:tmpl w:val="12862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132A76"/>
    <w:multiLevelType w:val="multilevel"/>
    <w:tmpl w:val="6F9AC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DA1D47"/>
    <w:multiLevelType w:val="multilevel"/>
    <w:tmpl w:val="E31C5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980079"/>
    <w:multiLevelType w:val="multilevel"/>
    <w:tmpl w:val="9B569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6413799">
    <w:abstractNumId w:val="4"/>
  </w:num>
  <w:num w:numId="2" w16cid:durableId="655115298">
    <w:abstractNumId w:val="2"/>
  </w:num>
  <w:num w:numId="3" w16cid:durableId="958880858">
    <w:abstractNumId w:val="0"/>
  </w:num>
  <w:num w:numId="4" w16cid:durableId="430786236">
    <w:abstractNumId w:val="3"/>
  </w:num>
  <w:num w:numId="5" w16cid:durableId="912202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3F4"/>
    <w:rsid w:val="003E4775"/>
    <w:rsid w:val="005753F4"/>
    <w:rsid w:val="00E6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9AE18"/>
  <w15:docId w15:val="{B3DB4F83-30AE-D142-BC77-E2623E69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Haodi Yang</cp:lastModifiedBy>
  <cp:revision>2</cp:revision>
  <dcterms:created xsi:type="dcterms:W3CDTF">2025-03-21T14:00:00Z</dcterms:created>
  <dcterms:modified xsi:type="dcterms:W3CDTF">2025-03-21T14:04:00Z</dcterms:modified>
</cp:coreProperties>
</file>