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193996C">
      <w:pPr>
        <w:spacing w:before="240" w:beforeLines="100"/>
        <w:rPr>
          <w:b/>
          <w:bCs/>
          <w:sz w:val="28"/>
        </w:rPr>
      </w:pPr>
    </w:p>
    <w:p w14:paraId="7671B945">
      <w:pPr>
        <w:spacing w:before="240" w:beforeLines="100"/>
        <w:rPr>
          <w:b/>
          <w:bCs/>
          <w:sz w:val="28"/>
        </w:rPr>
      </w:pPr>
    </w:p>
    <w:p w14:paraId="03DD81A2">
      <w:pPr>
        <w:spacing w:before="360" w:beforeLines="150" w:after="120" w:afterLines="50"/>
        <w:jc w:val="center"/>
        <w:rPr>
          <w:rFonts w:ascii="宋体" w:hAnsi="宋体"/>
          <w:spacing w:val="20"/>
          <w:sz w:val="48"/>
          <w:szCs w:val="48"/>
        </w:rPr>
      </w:pPr>
      <w:r>
        <w:rPr>
          <w:rFonts w:hint="eastAsia" w:ascii="宋体" w:hAnsi="宋体"/>
          <w:spacing w:val="20"/>
          <w:sz w:val="48"/>
          <w:szCs w:val="48"/>
        </w:rPr>
        <w:t>东北大学秦皇岛分校</w:t>
      </w:r>
    </w:p>
    <w:p w14:paraId="63C2D72D">
      <w:pPr>
        <w:spacing w:before="240" w:beforeLines="100"/>
        <w:jc w:val="center"/>
        <w:rPr>
          <w:rFonts w:ascii="宋体" w:hAnsi="宋体"/>
          <w:spacing w:val="20"/>
          <w:sz w:val="60"/>
          <w:szCs w:val="60"/>
        </w:rPr>
      </w:pPr>
      <w:r>
        <w:rPr>
          <w:rFonts w:hint="eastAsia" w:ascii="宋体" w:hAnsi="宋体"/>
          <w:spacing w:val="20"/>
          <w:sz w:val="60"/>
          <w:szCs w:val="60"/>
        </w:rPr>
        <w:t>《大数据分析实践》</w:t>
      </w:r>
    </w:p>
    <w:p w14:paraId="44C5C372">
      <w:pPr>
        <w:spacing w:before="240" w:beforeLines="100"/>
        <w:jc w:val="center"/>
        <w:rPr>
          <w:rFonts w:ascii="宋体" w:hAnsi="宋体"/>
          <w:b/>
          <w:bCs/>
          <w:color w:val="FF0000"/>
          <w:sz w:val="60"/>
          <w:szCs w:val="60"/>
        </w:rPr>
      </w:pPr>
      <w:r>
        <w:rPr>
          <w:rFonts w:hint="eastAsia" w:ascii="宋体" w:hAnsi="宋体"/>
          <w:spacing w:val="20"/>
          <w:sz w:val="60"/>
          <w:szCs w:val="60"/>
        </w:rPr>
        <w:t>课程</w:t>
      </w:r>
      <w:r>
        <w:rPr>
          <w:rFonts w:ascii="宋体" w:hAnsi="宋体"/>
          <w:spacing w:val="20"/>
          <w:sz w:val="60"/>
          <w:szCs w:val="60"/>
        </w:rPr>
        <w:t>设计</w:t>
      </w:r>
      <w:r>
        <w:rPr>
          <w:rFonts w:hint="eastAsia" w:ascii="宋体" w:hAnsi="宋体"/>
          <w:spacing w:val="20"/>
          <w:sz w:val="60"/>
          <w:szCs w:val="60"/>
        </w:rPr>
        <w:t>报告</w:t>
      </w:r>
    </w:p>
    <w:p w14:paraId="71E7CE0B">
      <w:pPr>
        <w:spacing w:before="240" w:beforeLines="100"/>
        <w:jc w:val="center"/>
        <w:rPr>
          <w:b/>
          <w:bCs/>
          <w:sz w:val="28"/>
        </w:rPr>
      </w:pPr>
    </w:p>
    <w:p w14:paraId="050F1754">
      <w:pPr>
        <w:keepNext w:val="0"/>
        <w:keepLines w:val="0"/>
        <w:pageBreakBefore w:val="0"/>
        <w:kinsoku/>
        <w:overflowPunct/>
        <w:topLinePunct w:val="0"/>
        <w:bidi w:val="0"/>
        <w:snapToGrid/>
        <w:spacing w:line="360" w:lineRule="auto"/>
        <w:jc w:val="center"/>
        <w:rPr>
          <w:rFonts w:ascii="黑体" w:eastAsia="黑体"/>
          <w:color w:val="auto"/>
          <w:sz w:val="48"/>
          <w:szCs w:val="48"/>
        </w:rPr>
      </w:pPr>
      <w:r>
        <w:rPr>
          <w:rFonts w:hint="eastAsia" w:ascii="黑体" w:eastAsia="黑体"/>
          <w:color w:val="auto"/>
          <w:sz w:val="44"/>
          <w:szCs w:val="44"/>
          <w:lang w:val="en-US" w:eastAsia="zh-CN"/>
        </w:rPr>
        <w:t>餐厅消费与小费影响因素分析及分类预测</w:t>
      </w:r>
    </w:p>
    <w:p w14:paraId="4E2755BC">
      <w:pPr>
        <w:jc w:val="center"/>
        <w:rPr>
          <w:rFonts w:ascii="黑体" w:eastAsia="黑体"/>
          <w:sz w:val="48"/>
          <w:szCs w:val="48"/>
        </w:rPr>
      </w:pPr>
    </w:p>
    <w:p w14:paraId="5E4737B0">
      <w:pPr>
        <w:jc w:val="center"/>
        <w:rPr>
          <w:rFonts w:ascii="黑体" w:eastAsia="黑体"/>
          <w:sz w:val="48"/>
          <w:szCs w:val="48"/>
        </w:rPr>
      </w:pPr>
    </w:p>
    <w:p w14:paraId="6D3037B2">
      <w:pPr>
        <w:jc w:val="center"/>
        <w:rPr>
          <w:rFonts w:ascii="黑体" w:eastAsia="黑体"/>
          <w:sz w:val="48"/>
          <w:szCs w:val="48"/>
        </w:rPr>
      </w:pPr>
      <w:bookmarkStart w:id="7" w:name="_GoBack"/>
      <w:bookmarkEnd w:id="7"/>
    </w:p>
    <w:p w14:paraId="6DD5A2EB">
      <w:pPr>
        <w:spacing w:before="240" w:beforeLines="100"/>
        <w:jc w:val="center"/>
        <w:rPr>
          <w:b/>
          <w:bCs/>
          <w:sz w:val="28"/>
        </w:rPr>
      </w:pPr>
    </w:p>
    <w:tbl>
      <w:tblPr>
        <w:tblStyle w:val="30"/>
        <w:tblW w:w="589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4062"/>
      </w:tblGrid>
      <w:tr w14:paraId="3F158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32" w:type="dxa"/>
          </w:tcPr>
          <w:p w14:paraId="37D809EE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学    院</w:t>
            </w:r>
          </w:p>
        </w:tc>
        <w:tc>
          <w:tcPr>
            <w:tcW w:w="4062" w:type="dxa"/>
            <w:tcBorders>
              <w:bottom w:val="single" w:color="auto" w:sz="4" w:space="0"/>
            </w:tcBorders>
            <w:vAlign w:val="center"/>
          </w:tcPr>
          <w:p w14:paraId="7601D356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数学与统计学院</w:t>
            </w:r>
          </w:p>
        </w:tc>
      </w:tr>
      <w:tr w14:paraId="30185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832" w:type="dxa"/>
          </w:tcPr>
          <w:p w14:paraId="3927E0AE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专    业</w:t>
            </w:r>
          </w:p>
        </w:tc>
        <w:tc>
          <w:tcPr>
            <w:tcW w:w="4062" w:type="dxa"/>
            <w:tcBorders>
              <w:bottom w:val="single" w:color="auto" w:sz="4" w:space="0"/>
            </w:tcBorders>
            <w:vAlign w:val="center"/>
          </w:tcPr>
          <w:p w14:paraId="49E34D46">
            <w:pPr>
              <w:spacing w:line="600" w:lineRule="exact"/>
              <w:ind w:firstLine="14" w:firstLineChars="4"/>
              <w:jc w:val="center"/>
              <w:rPr>
                <w:rFonts w:hint="default" w:eastAsia="黑体"/>
                <w:spacing w:val="30"/>
                <w:kern w:val="10"/>
                <w:sz w:val="30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数据科学与大数据技术</w:t>
            </w:r>
          </w:p>
        </w:tc>
      </w:tr>
      <w:tr w14:paraId="0B0B8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832" w:type="dxa"/>
          </w:tcPr>
          <w:p w14:paraId="36689EC3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eastAsia="黑体"/>
                <w:kern w:val="10"/>
                <w:sz w:val="30"/>
              </w:rPr>
              <w:t>学</w:t>
            </w:r>
            <w:r>
              <w:rPr>
                <w:rFonts w:hint="eastAsia" w:eastAsia="黑体"/>
                <w:kern w:val="10"/>
                <w:sz w:val="30"/>
              </w:rPr>
              <w:t xml:space="preserve">    </w:t>
            </w:r>
            <w:r>
              <w:rPr>
                <w:rFonts w:eastAsia="黑体"/>
                <w:kern w:val="10"/>
                <w:sz w:val="30"/>
              </w:rPr>
              <w:t>号</w:t>
            </w:r>
          </w:p>
        </w:tc>
        <w:tc>
          <w:tcPr>
            <w:tcW w:w="4062" w:type="dxa"/>
            <w:tcBorders>
              <w:bottom w:val="single" w:color="auto" w:sz="4" w:space="0"/>
            </w:tcBorders>
            <w:vAlign w:val="center"/>
          </w:tcPr>
          <w:p w14:paraId="669F5EFA">
            <w:pPr>
              <w:spacing w:line="600" w:lineRule="exact"/>
              <w:jc w:val="center"/>
              <w:rPr>
                <w:rFonts w:hint="default" w:eastAsia="黑体"/>
                <w:spacing w:val="30"/>
                <w:kern w:val="10"/>
                <w:sz w:val="30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202410262</w:t>
            </w:r>
          </w:p>
        </w:tc>
      </w:tr>
      <w:tr w14:paraId="6D534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832" w:type="dxa"/>
          </w:tcPr>
          <w:p w14:paraId="549CE2FE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eastAsia="黑体"/>
                <w:kern w:val="10"/>
                <w:sz w:val="30"/>
              </w:rPr>
              <w:t>姓</w:t>
            </w:r>
            <w:r>
              <w:rPr>
                <w:rFonts w:hint="eastAsia" w:eastAsia="黑体"/>
                <w:kern w:val="10"/>
                <w:sz w:val="30"/>
              </w:rPr>
              <w:t xml:space="preserve">    </w:t>
            </w:r>
            <w:r>
              <w:rPr>
                <w:rFonts w:eastAsia="黑体"/>
                <w:kern w:val="10"/>
                <w:sz w:val="30"/>
              </w:rPr>
              <w:t>名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BD1174">
            <w:pPr>
              <w:spacing w:line="600" w:lineRule="exact"/>
              <w:jc w:val="center"/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杨浩展</w:t>
            </w:r>
          </w:p>
        </w:tc>
      </w:tr>
      <w:tr w14:paraId="1E44F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32" w:type="dxa"/>
          </w:tcPr>
          <w:p w14:paraId="2EDED12F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指导教师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0BBC56">
            <w:pPr>
              <w:spacing w:line="600" w:lineRule="exact"/>
              <w:jc w:val="center"/>
              <w:rPr>
                <w:rFonts w:hint="default" w:eastAsia="黑体"/>
                <w:spacing w:val="30"/>
                <w:kern w:val="10"/>
                <w:sz w:val="30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张建波、陆杰</w:t>
            </w:r>
          </w:p>
        </w:tc>
      </w:tr>
      <w:tr w14:paraId="5DBD8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32" w:type="dxa"/>
          </w:tcPr>
          <w:p w14:paraId="5674FF17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开始</w:t>
            </w:r>
            <w:r>
              <w:rPr>
                <w:rFonts w:eastAsia="黑体"/>
                <w:kern w:val="10"/>
                <w:sz w:val="30"/>
              </w:rPr>
              <w:t>日期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6AEAC6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20</w:t>
            </w: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26年6</w:t>
            </w:r>
            <w:r>
              <w:rPr>
                <w:rFonts w:eastAsia="黑体"/>
                <w:spacing w:val="30"/>
                <w:kern w:val="10"/>
                <w:sz w:val="30"/>
              </w:rPr>
              <w:t>月</w:t>
            </w: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15</w:t>
            </w:r>
            <w:r>
              <w:rPr>
                <w:rFonts w:eastAsia="黑体"/>
                <w:spacing w:val="30"/>
                <w:kern w:val="10"/>
                <w:sz w:val="30"/>
              </w:rPr>
              <w:t>日</w:t>
            </w:r>
          </w:p>
        </w:tc>
      </w:tr>
      <w:tr w14:paraId="570D1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32" w:type="dxa"/>
          </w:tcPr>
          <w:p w14:paraId="4B75DD95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结束日期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C27B9E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20</w:t>
            </w: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26</w:t>
            </w:r>
            <w:r>
              <w:rPr>
                <w:rFonts w:eastAsia="黑体"/>
                <w:spacing w:val="30"/>
                <w:kern w:val="10"/>
                <w:sz w:val="30"/>
              </w:rPr>
              <w:t>年</w:t>
            </w: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6</w:t>
            </w:r>
            <w:r>
              <w:rPr>
                <w:rFonts w:eastAsia="黑体"/>
                <w:spacing w:val="30"/>
                <w:kern w:val="10"/>
                <w:sz w:val="30"/>
              </w:rPr>
              <w:t>月</w:t>
            </w:r>
            <w:r>
              <w:rPr>
                <w:rFonts w:hint="eastAsia" w:eastAsia="黑体"/>
                <w:spacing w:val="30"/>
                <w:kern w:val="10"/>
                <w:sz w:val="30"/>
                <w:lang w:val="en-US" w:eastAsia="zh-CN"/>
              </w:rPr>
              <w:t>24</w:t>
            </w:r>
            <w:r>
              <w:rPr>
                <w:rFonts w:eastAsia="黑体"/>
                <w:spacing w:val="30"/>
                <w:kern w:val="10"/>
                <w:sz w:val="30"/>
              </w:rPr>
              <w:t>日</w:t>
            </w:r>
          </w:p>
        </w:tc>
      </w:tr>
    </w:tbl>
    <w:p w14:paraId="2B6EB2D1">
      <w:pPr>
        <w:rPr>
          <w:b/>
          <w:bCs/>
          <w:spacing w:val="22"/>
          <w:kern w:val="10"/>
          <w:sz w:val="28"/>
          <w:szCs w:val="28"/>
        </w:rPr>
      </w:pPr>
    </w:p>
    <w:p w14:paraId="50CEBB04">
      <w:pPr>
        <w:spacing w:line="600" w:lineRule="exact"/>
        <w:jc w:val="center"/>
        <w:rPr>
          <w:rFonts w:eastAsia="黑体"/>
          <w:spacing w:val="22"/>
          <w:kern w:val="10"/>
          <w:sz w:val="30"/>
        </w:rPr>
      </w:pPr>
    </w:p>
    <w:p w14:paraId="25E9600C">
      <w:pPr>
        <w:widowControl/>
        <w:jc w:val="left"/>
        <w:rPr>
          <w:color w:val="000000"/>
          <w:sz w:val="24"/>
          <w:szCs w:val="24"/>
          <w:lang w:val="zh-CN"/>
        </w:rPr>
      </w:pPr>
      <w:bookmarkStart w:id="0" w:name="OLE_LINK6"/>
      <w:bookmarkStart w:id="1" w:name="OLE_LINK5"/>
      <w:r>
        <w:rPr>
          <w:color w:val="000000"/>
          <w:sz w:val="24"/>
          <w:szCs w:val="24"/>
          <w:lang w:val="zh-CN"/>
        </w:rPr>
        <w:br w:type="page"/>
      </w:r>
    </w:p>
    <w:p w14:paraId="05166CCD">
      <w:pPr>
        <w:spacing w:before="240" w:beforeLines="100" w:after="120" w:afterLines="50" w:line="360" w:lineRule="auto"/>
        <w:jc w:val="center"/>
        <w:rPr>
          <w:color w:val="000000"/>
          <w:sz w:val="24"/>
          <w:szCs w:val="24"/>
          <w:lang w:val="zh-CN"/>
        </w:rPr>
      </w:pPr>
      <w:r>
        <w:rPr>
          <w:rFonts w:hint="eastAsia" w:eastAsia="黑体"/>
          <w:bCs/>
          <w:sz w:val="32"/>
        </w:rPr>
        <w:t>教师评阅意见书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6803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gridSpan w:val="2"/>
            <w:vAlign w:val="center"/>
          </w:tcPr>
          <w:p w14:paraId="4858B00A">
            <w:pPr>
              <w:autoSpaceDE w:val="0"/>
              <w:autoSpaceDN w:val="0"/>
              <w:adjustRightInd w:val="0"/>
              <w:spacing w:before="72" w:beforeLines="30" w:line="360" w:lineRule="auto"/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一、态度</w:t>
            </w:r>
          </w:p>
          <w:p w14:paraId="0D6658FC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工作态度（□认真、□较好、□一般、□较差）</w:t>
            </w:r>
          </w:p>
          <w:p w14:paraId="2A707DDC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出勤情况（□无缺勤、□缺勤</w:t>
            </w:r>
            <w:r>
              <w:rPr>
                <w:color w:val="000000"/>
                <w:sz w:val="28"/>
                <w:szCs w:val="28"/>
                <w:lang w:val="zh-CN"/>
              </w:rPr>
              <w:t>不超过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1/3、□</w:t>
            </w:r>
            <w:r>
              <w:rPr>
                <w:color w:val="000000"/>
                <w:sz w:val="28"/>
                <w:szCs w:val="28"/>
                <w:lang w:val="zh-CN"/>
              </w:rPr>
              <w:t>缺勤超过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1</w:t>
            </w:r>
            <w:r>
              <w:rPr>
                <w:color w:val="000000"/>
                <w:sz w:val="28"/>
                <w:szCs w:val="28"/>
                <w:lang w:val="zh-CN"/>
              </w:rPr>
              <w:t>/3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）</w:t>
            </w:r>
          </w:p>
          <w:p w14:paraId="3899313F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上交时间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□按时、□迟交1天、□迟交1天</w:t>
            </w:r>
            <w:r>
              <w:rPr>
                <w:color w:val="000000"/>
                <w:sz w:val="28"/>
                <w:szCs w:val="28"/>
                <w:lang w:val="zh-CN"/>
              </w:rPr>
              <w:t>以上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）</w:t>
            </w:r>
          </w:p>
        </w:tc>
      </w:tr>
      <w:tr w14:paraId="275D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gridSpan w:val="2"/>
            <w:vAlign w:val="center"/>
          </w:tcPr>
          <w:p w14:paraId="58141EDD">
            <w:pPr>
              <w:autoSpaceDE w:val="0"/>
              <w:autoSpaceDN w:val="0"/>
              <w:adjustRightInd w:val="0"/>
              <w:spacing w:before="72" w:beforeLines="30" w:line="360" w:lineRule="auto"/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二</w:t>
            </w: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、格式规范</w:t>
            </w:r>
          </w:p>
          <w:p w14:paraId="16F0EFA9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文字</w:t>
            </w:r>
            <w:r>
              <w:rPr>
                <w:color w:val="000000"/>
                <w:sz w:val="28"/>
                <w:szCs w:val="28"/>
                <w:lang w:val="zh-CN"/>
              </w:rPr>
              <w:t>部分（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3426E509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图表部分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532D5E6A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数学</w:t>
            </w:r>
            <w:r>
              <w:rPr>
                <w:color w:val="000000"/>
                <w:sz w:val="28"/>
                <w:szCs w:val="28"/>
                <w:lang w:val="zh-CN"/>
              </w:rPr>
              <w:t>公式（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0E8BE1AD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参考文献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</w:tc>
      </w:tr>
      <w:tr w14:paraId="0036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gridSpan w:val="2"/>
            <w:vAlign w:val="center"/>
          </w:tcPr>
          <w:p w14:paraId="44B240BD">
            <w:pPr>
              <w:autoSpaceDE w:val="0"/>
              <w:autoSpaceDN w:val="0"/>
              <w:adjustRightInd w:val="0"/>
              <w:spacing w:before="72" w:beforeLines="30" w:line="360" w:lineRule="auto"/>
              <w:jc w:val="left"/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三、报告内容</w:t>
            </w:r>
          </w:p>
          <w:p w14:paraId="056A5D84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任务量和</w:t>
            </w:r>
            <w:r>
              <w:rPr>
                <w:color w:val="000000"/>
                <w:sz w:val="28"/>
                <w:szCs w:val="28"/>
                <w:lang w:val="zh-CN"/>
              </w:rPr>
              <w:t>可行性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（□合理、□较为</w:t>
            </w:r>
            <w:r>
              <w:rPr>
                <w:color w:val="000000"/>
                <w:sz w:val="28"/>
                <w:szCs w:val="28"/>
                <w:lang w:val="zh-CN"/>
              </w:rPr>
              <w:t>合理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、□一般、□不合理）</w:t>
            </w:r>
          </w:p>
          <w:p w14:paraId="5C925609">
            <w:pPr>
              <w:pStyle w:val="62"/>
              <w:numPr>
                <w:ilvl w:val="0"/>
                <w:numId w:val="1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报告结构（□合理、□较合理、□一般、□不合理）</w:t>
            </w:r>
          </w:p>
          <w:p w14:paraId="74FB833D">
            <w:pPr>
              <w:pStyle w:val="62"/>
              <w:numPr>
                <w:ilvl w:val="0"/>
                <w:numId w:val="1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文字</w:t>
            </w:r>
            <w:r>
              <w:rPr>
                <w:color w:val="000000"/>
                <w:sz w:val="28"/>
                <w:szCs w:val="28"/>
                <w:lang w:val="zh-CN"/>
              </w:rPr>
              <w:t>叙述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（□</w:t>
            </w:r>
            <w:r>
              <w:rPr>
                <w:color w:val="000000"/>
                <w:sz w:val="28"/>
                <w:szCs w:val="28"/>
                <w:lang w:val="zh-CN"/>
              </w:rPr>
              <w:t>清晰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流畅、□较</w:t>
            </w:r>
            <w:r>
              <w:rPr>
                <w:color w:val="000000"/>
                <w:sz w:val="28"/>
                <w:szCs w:val="28"/>
                <w:lang w:val="zh-CN"/>
              </w:rPr>
              <w:t>为清晰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、□一般、□不清晰）</w:t>
            </w:r>
          </w:p>
          <w:p w14:paraId="6FE6B18B">
            <w:pPr>
              <w:pStyle w:val="62"/>
              <w:numPr>
                <w:ilvl w:val="0"/>
                <w:numId w:val="1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图表准确性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□准确、□较准确、□一般、□不准确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</w:tc>
      </w:tr>
      <w:tr w14:paraId="44B9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gridSpan w:val="2"/>
            <w:vAlign w:val="center"/>
          </w:tcPr>
          <w:p w14:paraId="37AC224B">
            <w:pPr>
              <w:autoSpaceDE w:val="0"/>
              <w:autoSpaceDN w:val="0"/>
              <w:adjustRightInd w:val="0"/>
              <w:spacing w:before="72" w:beforeLines="30" w:line="360" w:lineRule="auto"/>
              <w:jc w:val="left"/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四</w:t>
            </w: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、</w:t>
            </w: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综合能力</w:t>
            </w:r>
          </w:p>
          <w:p w14:paraId="61AC61B9">
            <w:pPr>
              <w:pStyle w:val="62"/>
              <w:numPr>
                <w:ilvl w:val="0"/>
                <w:numId w:val="1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综合运用知识能力（□很强、□较强、□一般、□较弱）</w:t>
            </w:r>
          </w:p>
          <w:p w14:paraId="2D2DF390">
            <w:pPr>
              <w:pStyle w:val="62"/>
              <w:numPr>
                <w:ilvl w:val="0"/>
                <w:numId w:val="1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实践</w:t>
            </w:r>
            <w:r>
              <w:rPr>
                <w:color w:val="000000"/>
                <w:sz w:val="28"/>
                <w:szCs w:val="28"/>
                <w:lang w:val="zh-CN"/>
              </w:rPr>
              <w:t>与动手能力（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□很强、□较强、□一般、□较弱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56E5B0BB">
            <w:pPr>
              <w:pStyle w:val="62"/>
              <w:numPr>
                <w:ilvl w:val="0"/>
                <w:numId w:val="1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创新意识（□很强、□较强、□一般、□较弱）</w:t>
            </w:r>
          </w:p>
        </w:tc>
      </w:tr>
      <w:tr w14:paraId="5EBE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</w:trPr>
        <w:tc>
          <w:tcPr>
            <w:tcW w:w="9061" w:type="dxa"/>
            <w:gridSpan w:val="2"/>
            <w:tcBorders>
              <w:bottom w:val="single" w:color="auto" w:sz="4" w:space="0"/>
            </w:tcBorders>
            <w:vAlign w:val="center"/>
          </w:tcPr>
          <w:p w14:paraId="27CC2BF3">
            <w:pPr>
              <w:autoSpaceDE w:val="0"/>
              <w:autoSpaceDN w:val="0"/>
              <w:adjustRightInd w:val="0"/>
              <w:jc w:val="left"/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综合</w:t>
            </w: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评价</w:t>
            </w: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□优秀、□良好、□中等、□及格、□不及格</w:t>
            </w:r>
          </w:p>
        </w:tc>
      </w:tr>
      <w:tr w14:paraId="5576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</w:trPr>
        <w:tc>
          <w:tcPr>
            <w:tcW w:w="4530" w:type="dxa"/>
            <w:tcBorders>
              <w:left w:val="nil"/>
              <w:bottom w:val="nil"/>
              <w:right w:val="nil"/>
            </w:tcBorders>
            <w:vAlign w:val="center"/>
          </w:tcPr>
          <w:p w14:paraId="3F47F9F7"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eastAsia="黑体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评阅</w:t>
            </w:r>
            <w:r>
              <w:rPr>
                <w:color w:val="000000"/>
                <w:sz w:val="28"/>
                <w:szCs w:val="28"/>
                <w:lang w:val="zh-CN"/>
              </w:rPr>
              <w:t>教师签字：</w:t>
            </w:r>
          </w:p>
        </w:tc>
        <w:tc>
          <w:tcPr>
            <w:tcW w:w="4531" w:type="dxa"/>
            <w:tcBorders>
              <w:left w:val="nil"/>
              <w:bottom w:val="nil"/>
              <w:right w:val="nil"/>
            </w:tcBorders>
            <w:vAlign w:val="center"/>
          </w:tcPr>
          <w:p w14:paraId="70750CBB"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eastAsia="黑体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日期</w:t>
            </w:r>
            <w:r>
              <w:rPr>
                <w:color w:val="000000"/>
                <w:sz w:val="28"/>
                <w:szCs w:val="28"/>
                <w:lang w:val="zh-CN"/>
              </w:rPr>
              <w:t>：</w:t>
            </w:r>
          </w:p>
        </w:tc>
      </w:tr>
      <w:bookmarkEnd w:id="0"/>
      <w:bookmarkEnd w:id="1"/>
    </w:tbl>
    <w:p w14:paraId="570E41C4">
      <w:pPr>
        <w:tabs>
          <w:tab w:val="left" w:pos="567"/>
        </w:tabs>
        <w:autoSpaceDE w:val="0"/>
        <w:autoSpaceDN w:val="0"/>
        <w:adjustRightInd w:val="0"/>
        <w:spacing w:before="240" w:beforeLines="100" w:line="360" w:lineRule="auto"/>
        <w:jc w:val="left"/>
        <w:rPr>
          <w:color w:val="000000"/>
          <w:sz w:val="28"/>
          <w:szCs w:val="28"/>
          <w:lang w:val="zh-CN"/>
        </w:rPr>
      </w:pPr>
    </w:p>
    <w:p w14:paraId="2100193F">
      <w:pPr>
        <w:spacing w:before="240" w:beforeLines="100" w:after="120" w:afterLines="50" w:line="360" w:lineRule="auto"/>
        <w:outlineLvl w:val="0"/>
        <w:rPr>
          <w:rFonts w:eastAsia="黑体"/>
          <w:color w:val="000000"/>
          <w:sz w:val="28"/>
          <w:szCs w:val="28"/>
        </w:rPr>
        <w:sectPr>
          <w:footerReference r:id="rId3" w:type="default"/>
          <w:pgSz w:w="11906" w:h="16838"/>
          <w:pgMar w:top="1701" w:right="1134" w:bottom="1418" w:left="1701" w:header="567" w:footer="85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linePitch="312" w:charSpace="0"/>
        </w:sectPr>
      </w:pPr>
      <w:bookmarkStart w:id="2" w:name="_Toc266177623"/>
    </w:p>
    <w:p w14:paraId="1EEC1FF2">
      <w:pPr>
        <w:spacing w:before="240" w:beforeLines="100" w:after="120" w:afterLines="50" w:line="360" w:lineRule="auto"/>
        <w:jc w:val="center"/>
        <w:outlineLvl w:val="0"/>
        <w:rPr>
          <w:rFonts w:eastAsia="黑体"/>
          <w:color w:val="000000"/>
          <w:sz w:val="32"/>
        </w:rPr>
      </w:pPr>
      <w:r>
        <w:rPr>
          <w:rFonts w:hint="eastAsia" w:eastAsia="黑体"/>
          <w:color w:val="000000"/>
          <w:sz w:val="32"/>
        </w:rPr>
        <w:t>1  绪论</w:t>
      </w:r>
    </w:p>
    <w:p w14:paraId="154360E2"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在餐饮服务行业中，小费</w:t>
      </w:r>
      <w:r>
        <w:rPr>
          <w:rFonts w:hint="eastAsia"/>
          <w:sz w:val="24"/>
          <w:szCs w:val="24"/>
          <w:vertAlign w:val="superscript"/>
        </w:rPr>
        <w:t>[1]</w:t>
      </w:r>
      <w:r>
        <w:rPr>
          <w:rFonts w:hint="eastAsia"/>
          <w:sz w:val="24"/>
          <w:szCs w:val="24"/>
        </w:rPr>
        <w:t>是服务员收入的重要组成部分，也是衡量服务质量的重要指标。</w:t>
      </w:r>
    </w:p>
    <w:p w14:paraId="2EAF6D63"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本项目基于网络爬</w:t>
      </w:r>
      <w:r>
        <w:rPr>
          <w:rFonts w:hint="eastAsia"/>
          <w:sz w:val="24"/>
          <w:szCs w:val="24"/>
          <w:lang w:val="en-US" w:eastAsia="zh-CN"/>
        </w:rPr>
        <w:t>虫</w:t>
      </w:r>
      <w:r>
        <w:rPr>
          <w:rFonts w:hint="eastAsia"/>
          <w:sz w:val="24"/>
          <w:szCs w:val="24"/>
        </w:rPr>
        <w:t>request爬取的餐厅小费数据集（tips数据集），运用Python数据分析工具链进行系统的数据探索与建模分析。利用Pandas进行数据处理、Matplotlib和Seaborn进行可视化</w:t>
      </w:r>
      <w:r>
        <w:rPr>
          <w:rFonts w:hint="eastAsia"/>
          <w:sz w:val="24"/>
          <w:szCs w:val="24"/>
          <w:vertAlign w:val="superscript"/>
        </w:rPr>
        <w:t>[2]</w:t>
      </w:r>
      <w:r>
        <w:rPr>
          <w:rFonts w:hint="eastAsia"/>
          <w:sz w:val="24"/>
          <w:szCs w:val="24"/>
        </w:rPr>
        <w:t>分析、Scikit-learn构建机器学习分类模型，探究总消费金额、性别、用餐时间、就餐人数等因素与小费金额之间的关系，并构建小费高低分类预测模型。</w:t>
      </w:r>
    </w:p>
    <w:p w14:paraId="23A25E4C"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共分为七个部分：引言、数据获取与说明、数据处理、模型构建与评估、总结、参考文献及附录。内容涵盖从数据探索、可视化分析、特征工程，到使用逻辑回归与随机森林模型进行预测和评估的全过程。</w:t>
      </w:r>
    </w:p>
    <w:p w14:paraId="4C6C2E4D">
      <w:pPr>
        <w:spacing w:before="240" w:beforeLines="100" w:after="120" w:afterLines="50" w:line="360" w:lineRule="auto"/>
        <w:jc w:val="center"/>
        <w:outlineLvl w:val="0"/>
        <w:rPr>
          <w:rFonts w:eastAsia="黑体"/>
          <w:sz w:val="32"/>
        </w:rPr>
      </w:pPr>
      <w:r>
        <w:rPr>
          <w:rFonts w:hint="eastAsia" w:eastAsia="黑体"/>
          <w:sz w:val="32"/>
        </w:rPr>
        <w:t>2  数据的获取及简介</w:t>
      </w:r>
    </w:p>
    <w:p w14:paraId="60717F6F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本项目使用的tip数据集来源于网络爬虫</w:t>
      </w:r>
      <w:r>
        <w:rPr>
          <w:rFonts w:hint="eastAsia"/>
          <w:sz w:val="24"/>
          <w:szCs w:val="24"/>
          <w:lang w:eastAsia="zh-CN"/>
        </w:rPr>
        <w:t>。</w:t>
      </w:r>
    </w:p>
    <w:p w14:paraId="6E3FD1D8">
      <w:pPr>
        <w:spacing w:line="360" w:lineRule="auto"/>
        <w:ind w:firstLine="480" w:firstLineChars="20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网址为url = "https://gitee.com/yang-haozhan/vscode/raw/main/tips.csv"</w:t>
      </w:r>
      <w:r>
        <w:rPr>
          <w:rFonts w:hint="eastAsia"/>
          <w:sz w:val="24"/>
          <w:szCs w:val="24"/>
          <w:lang w:eastAsia="zh-CN"/>
        </w:rPr>
        <w:t>。</w:t>
      </w:r>
    </w:p>
    <w:p w14:paraId="216B7C65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包含244条样本，以CSV（逗号分隔值）文本文件的形式存储数据，用 pandas 读取，是分析小费影响因素的经典数据集。数据条数：244 条，本数据集共包含 244 条用餐记录，</w:t>
      </w:r>
      <w:r>
        <w:rPr>
          <w:rFonts w:hint="eastAsia"/>
          <w:sz w:val="24"/>
          <w:szCs w:val="24"/>
          <w:lang w:val="en-US" w:eastAsia="zh-CN"/>
        </w:rPr>
        <w:t>数据类型见表2.1</w:t>
      </w:r>
    </w:p>
    <w:p w14:paraId="408C490C">
      <w:pPr>
        <w:spacing w:line="360" w:lineRule="auto"/>
        <w:jc w:val="center"/>
        <w:textAlignment w:val="baseline"/>
        <w:rPr>
          <w:rFonts w:hint="default"/>
          <w:sz w:val="24"/>
          <w:szCs w:val="24"/>
          <w:lang w:val="en-US" w:eastAsia="zh-CN"/>
        </w:rPr>
      </w:pPr>
      <w:r>
        <w:rPr>
          <w:rFonts w:eastAsia="黑体"/>
          <w:b/>
          <w:bCs/>
          <w:color w:val="000000"/>
          <w:kern w:val="0"/>
          <w:sz w:val="21"/>
        </w:rPr>
        <w:t>表</w:t>
      </w:r>
      <w:r>
        <w:rPr>
          <w:rFonts w:hint="eastAsia" w:eastAsia="黑体"/>
          <w:b/>
          <w:bCs/>
          <w:color w:val="000000"/>
          <w:kern w:val="0"/>
          <w:sz w:val="21"/>
          <w:lang w:val="en-US" w:eastAsia="zh-CN"/>
        </w:rPr>
        <w:t>2.</w:t>
      </w:r>
      <w:r>
        <w:rPr>
          <w:rFonts w:hint="eastAsia" w:eastAsia="黑体"/>
          <w:b/>
          <w:bCs/>
          <w:color w:val="000000"/>
          <w:kern w:val="0"/>
          <w:sz w:val="21"/>
        </w:rPr>
        <w:t>1</w:t>
      </w:r>
      <w:r>
        <w:rPr>
          <w:rFonts w:eastAsia="黑体"/>
          <w:b/>
          <w:bCs/>
          <w:color w:val="000000"/>
          <w:kern w:val="0"/>
          <w:sz w:val="21"/>
        </w:rPr>
        <w:t xml:space="preserve"> </w:t>
      </w:r>
      <w:r>
        <w:rPr>
          <w:rFonts w:hint="eastAsia" w:eastAsia="黑体"/>
          <w:b/>
          <w:bCs/>
          <w:color w:val="000000"/>
          <w:kern w:val="0"/>
          <w:sz w:val="21"/>
          <w:lang w:val="en-US" w:eastAsia="zh-CN"/>
        </w:rPr>
        <w:t xml:space="preserve"> 原始</w:t>
      </w:r>
      <w:r>
        <w:rPr>
          <w:rFonts w:hint="eastAsia" w:eastAsia="黑体"/>
          <w:b/>
          <w:bCs/>
          <w:color w:val="000000"/>
          <w:kern w:val="0"/>
          <w:sz w:val="21"/>
        </w:rPr>
        <w:t>数据字段及含义</w:t>
      </w:r>
    </w:p>
    <w:tbl>
      <w:tblPr>
        <w:tblStyle w:val="31"/>
        <w:tblW w:w="4998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1053"/>
        <w:gridCol w:w="1395"/>
        <w:gridCol w:w="1403"/>
        <w:gridCol w:w="886"/>
        <w:gridCol w:w="1395"/>
        <w:gridCol w:w="1059"/>
      </w:tblGrid>
      <w:tr w14:paraId="19105D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bottom w:val="single" w:color="auto" w:sz="4" w:space="0"/>
            </w:tcBorders>
            <w:vAlign w:val="center"/>
          </w:tcPr>
          <w:p w14:paraId="76182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total_bill</w:t>
            </w:r>
          </w:p>
        </w:tc>
        <w:tc>
          <w:tcPr>
            <w:tcW w:w="567" w:type="pct"/>
            <w:tcBorders>
              <w:bottom w:val="single" w:color="auto" w:sz="4" w:space="0"/>
            </w:tcBorders>
            <w:vAlign w:val="center"/>
          </w:tcPr>
          <w:p w14:paraId="74EBB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tip</w:t>
            </w:r>
          </w:p>
        </w:tc>
        <w:tc>
          <w:tcPr>
            <w:tcW w:w="751" w:type="pct"/>
            <w:tcBorders>
              <w:bottom w:val="single" w:color="auto" w:sz="4" w:space="0"/>
            </w:tcBorders>
            <w:vAlign w:val="center"/>
          </w:tcPr>
          <w:p w14:paraId="389EE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sex</w:t>
            </w:r>
          </w:p>
        </w:tc>
        <w:tc>
          <w:tcPr>
            <w:tcW w:w="755" w:type="pct"/>
            <w:tcBorders>
              <w:bottom w:val="single" w:color="auto" w:sz="4" w:space="0"/>
            </w:tcBorders>
            <w:vAlign w:val="center"/>
          </w:tcPr>
          <w:p w14:paraId="075DF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smoker</w:t>
            </w:r>
          </w:p>
        </w:tc>
        <w:tc>
          <w:tcPr>
            <w:tcW w:w="477" w:type="pct"/>
            <w:tcBorders>
              <w:bottom w:val="single" w:color="auto" w:sz="4" w:space="0"/>
            </w:tcBorders>
            <w:vAlign w:val="center"/>
          </w:tcPr>
          <w:p w14:paraId="259FA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day</w:t>
            </w:r>
          </w:p>
        </w:tc>
        <w:tc>
          <w:tcPr>
            <w:tcW w:w="751" w:type="pct"/>
            <w:tcBorders>
              <w:bottom w:val="single" w:color="auto" w:sz="4" w:space="0"/>
            </w:tcBorders>
            <w:vAlign w:val="center"/>
          </w:tcPr>
          <w:p w14:paraId="1FA56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time</w:t>
            </w:r>
          </w:p>
        </w:tc>
        <w:tc>
          <w:tcPr>
            <w:tcW w:w="570" w:type="pct"/>
            <w:tcBorders>
              <w:bottom w:val="single" w:color="auto" w:sz="4" w:space="0"/>
            </w:tcBorders>
            <w:vAlign w:val="center"/>
          </w:tcPr>
          <w:p w14:paraId="12A4F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size</w:t>
            </w:r>
          </w:p>
        </w:tc>
      </w:tr>
      <w:tr w14:paraId="4BA505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A298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16.99</w:t>
            </w:r>
          </w:p>
        </w:tc>
        <w:tc>
          <w:tcPr>
            <w:tcW w:w="56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1515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1.01</w:t>
            </w:r>
          </w:p>
        </w:tc>
        <w:tc>
          <w:tcPr>
            <w:tcW w:w="75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34E9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Female</w:t>
            </w:r>
          </w:p>
        </w:tc>
        <w:tc>
          <w:tcPr>
            <w:tcW w:w="755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AA22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11576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FEA0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435E5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</w:tr>
      <w:tr w14:paraId="1108E7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7E764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10.34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5E500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1.66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3CFC8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55D4A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6A5E1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101DD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19079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</w:tr>
      <w:tr w14:paraId="6728034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6F2CE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21.01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1C5CB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3.50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5FA5C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3C3FE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77F40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6F15F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3943A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</w:tr>
      <w:tr w14:paraId="259FC1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3BF06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23.68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0D36F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3.31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3B310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7F28C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2A2F8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20C33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6E1A0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</w:tr>
      <w:tr w14:paraId="21FC7F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0D4B22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24.59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613C0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3.61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63870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Female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3E726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71592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5F159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383FB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</w:tr>
      <w:tr w14:paraId="1D97B3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687B6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25.29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74951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4.71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0A735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68B38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4FFEE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191F8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39180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</w:tr>
      <w:tr w14:paraId="4A3521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65BAB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8.77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5A886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2.00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224C7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67CCE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6BB7D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52913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1E785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</w:tr>
      <w:tr w14:paraId="412ACD1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7A51A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26.88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010DD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3.12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4796E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69B06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19FE9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2D7E9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6D566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</w:tr>
      <w:tr w14:paraId="7ADFC9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3AAD1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15.04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27F0F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1.96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53C60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1A968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73F85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03F24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5C59D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</w:tr>
      <w:tr w14:paraId="6C61BB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283CF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14.78</w:t>
            </w:r>
          </w:p>
        </w:tc>
        <w:tc>
          <w:tcPr>
            <w:tcW w:w="567" w:type="pct"/>
            <w:tcBorders>
              <w:tl2br w:val="nil"/>
              <w:tr2bl w:val="nil"/>
            </w:tcBorders>
            <w:vAlign w:val="center"/>
          </w:tcPr>
          <w:p w14:paraId="0B0D7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3.23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34501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Male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2A2D1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No</w:t>
            </w:r>
          </w:p>
        </w:tc>
        <w:tc>
          <w:tcPr>
            <w:tcW w:w="477" w:type="pct"/>
            <w:tcBorders>
              <w:tl2br w:val="nil"/>
              <w:tr2bl w:val="nil"/>
            </w:tcBorders>
            <w:vAlign w:val="center"/>
          </w:tcPr>
          <w:p w14:paraId="39EA4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Sun</w:t>
            </w:r>
          </w:p>
        </w:tc>
        <w:tc>
          <w:tcPr>
            <w:tcW w:w="751" w:type="pct"/>
            <w:tcBorders>
              <w:tl2br w:val="nil"/>
              <w:tr2bl w:val="nil"/>
            </w:tcBorders>
            <w:vAlign w:val="center"/>
          </w:tcPr>
          <w:p w14:paraId="6E5EE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Dinner</w:t>
            </w:r>
          </w:p>
        </w:tc>
        <w:tc>
          <w:tcPr>
            <w:tcW w:w="570" w:type="pct"/>
            <w:tcBorders>
              <w:tl2br w:val="nil"/>
              <w:tr2bl w:val="nil"/>
            </w:tcBorders>
            <w:vAlign w:val="center"/>
          </w:tcPr>
          <w:p w14:paraId="46497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</w:tr>
    </w:tbl>
    <w:p w14:paraId="6E4A5F1D">
      <w:pPr>
        <w:spacing w:line="360" w:lineRule="auto"/>
        <w:rPr>
          <w:rFonts w:hint="eastAsia"/>
          <w:sz w:val="24"/>
          <w:szCs w:val="24"/>
        </w:rPr>
      </w:pPr>
    </w:p>
    <w:p w14:paraId="30BC0FA3">
      <w:pPr>
        <w:spacing w:before="240" w:beforeLines="100" w:after="120" w:afterLines="50" w:line="360" w:lineRule="auto"/>
        <w:jc w:val="center"/>
        <w:outlineLvl w:val="0"/>
        <w:rPr>
          <w:rFonts w:eastAsia="黑体"/>
          <w:sz w:val="32"/>
        </w:rPr>
      </w:pPr>
      <w:r>
        <w:rPr>
          <w:rFonts w:eastAsia="黑体"/>
          <w:sz w:val="32"/>
        </w:rPr>
        <w:t>3</w:t>
      </w:r>
      <w:r>
        <w:rPr>
          <w:rFonts w:hint="eastAsia" w:eastAsia="黑体"/>
          <w:sz w:val="32"/>
        </w:rPr>
        <w:t xml:space="preserve">  数据的处理</w:t>
      </w:r>
    </w:p>
    <w:p w14:paraId="2DAF6497">
      <w:pPr>
        <w:spacing w:before="120" w:beforeLines="50" w:after="120" w:afterLines="50" w:line="360" w:lineRule="auto"/>
        <w:outlineLvl w:val="1"/>
        <w:rPr>
          <w:rFonts w:hint="default" w:eastAsia="黑体"/>
          <w:color w:val="000000"/>
          <w:sz w:val="24"/>
          <w:lang w:val="en-US" w:eastAsia="zh-CN"/>
        </w:rPr>
      </w:pPr>
      <w:r>
        <w:rPr>
          <w:rFonts w:eastAsia="黑体"/>
          <w:color w:val="000000"/>
          <w:sz w:val="24"/>
        </w:rPr>
        <w:t>3.1</w:t>
      </w:r>
      <w:r>
        <w:rPr>
          <w:rFonts w:hint="eastAsia" w:eastAsia="黑体"/>
          <w:color w:val="000000"/>
          <w:sz w:val="24"/>
        </w:rPr>
        <w:t xml:space="preserve">  数据</w:t>
      </w:r>
      <w:r>
        <w:rPr>
          <w:rFonts w:hint="eastAsia" w:eastAsia="黑体"/>
          <w:color w:val="000000"/>
          <w:sz w:val="24"/>
          <w:lang w:val="en-US" w:eastAsia="zh-CN"/>
        </w:rPr>
        <w:t>的加载</w:t>
      </w:r>
    </w:p>
    <w:p w14:paraId="3CB2D1D8">
      <w:pPr>
        <w:spacing w:line="360" w:lineRule="auto"/>
        <w:ind w:firstLine="480" w:firstLineChars="20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数据集共244条样本，7个特征变量[3]，1条缺失值，数据类型包括float64（2个）、int64（1个）和category（4个）。在Jupyter Notebook中，使用pd.read_csv读取CSV文件，并输出数据规模和字段列表。单元格中运行raw.head(10)方法，弹出加载数据的前十行，说明CSV数据文件路径正确，数据读取成功。后续如果模型结果需要复现，只需要重新运行Notebook即可。</w:t>
      </w:r>
    </w:p>
    <w:p w14:paraId="33290EE8">
      <w:pPr>
        <w:spacing w:before="120" w:beforeLines="50" w:after="120" w:afterLines="50" w:line="360" w:lineRule="auto"/>
        <w:outlineLvl w:val="1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3.2</w:t>
      </w:r>
      <w:r>
        <w:rPr>
          <w:rFonts w:hint="eastAsia" w:eastAsia="黑体"/>
          <w:color w:val="000000"/>
          <w:sz w:val="24"/>
        </w:rPr>
        <w:t xml:space="preserve">  数据预处理</w:t>
      </w:r>
    </w:p>
    <w:p w14:paraId="492DA00A">
      <w:pPr>
        <w:spacing w:line="360" w:lineRule="auto"/>
        <w:ind w:firstLine="480" w:firstLineChars="200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对数据集进行缺失值检查和重复值检查，结果显示数据集中不存在缺失值，但存在1条重复记录。去除重复记录后，数据质量良好，无需进行缺失值填补等处理。本项目使用独热编码（One-Hot Encoding）对sex、smoker、day和time四个分类变量进行转换，并使用drop_first=True参数避免多重共线性问题。转换后，计算得到类别型变量的虚拟变量。</w:t>
      </w:r>
    </w:p>
    <w:p w14:paraId="76617D97">
      <w:pPr>
        <w:spacing w:before="120" w:beforeLines="50" w:after="120" w:afterLines="50" w:line="360" w:lineRule="auto"/>
        <w:outlineLvl w:val="1"/>
        <w:rPr>
          <w:rFonts w:hint="eastAsia"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3.3</w:t>
      </w:r>
      <w:r>
        <w:rPr>
          <w:rFonts w:hint="eastAsia" w:eastAsia="黑体"/>
          <w:color w:val="000000"/>
          <w:sz w:val="24"/>
        </w:rPr>
        <w:t xml:space="preserve">  数据的分析</w:t>
      </w:r>
    </w:p>
    <w:p w14:paraId="151C0185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结合你要研究的应用问题（在绪论里），利用可视化（可能会用到Matplotlib、Seaborn等工具包）或其他等方法观察数据的特点，介绍你对数据的理解与分析，打算对数据进行什么样的处理、构建什么样的模型等。</w:t>
      </w:r>
    </w:p>
    <w:p w14:paraId="15CD8E25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.1小费金额分布和小费金额箱线图</w:t>
      </w:r>
    </w:p>
    <w:p w14:paraId="406854CA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通过设置全局字体解决中文显示问题，利用plt.subplots创建双列画布[4]。左侧子</w:t>
      </w:r>
    </w:p>
    <w:p w14:paraId="7977524C">
      <w:pPr>
        <w:spacing w:line="360" w:lineRule="auto"/>
        <w:jc w:val="center"/>
        <w:rPr>
          <w:rFonts w:hint="default" w:eastAsia="黑体"/>
          <w:color w:val="000000"/>
          <w:sz w:val="24"/>
          <w:lang w:val="en-US" w:eastAsia="zh-CN"/>
        </w:rPr>
      </w:pPr>
      <w:r>
        <w:rPr>
          <w:rFonts w:hint="default" w:eastAsia="黑体"/>
          <w:color w:val="000000"/>
          <w:sz w:val="24"/>
          <w:lang w:val="en-US" w:eastAsia="zh-CN"/>
        </w:rPr>
        <w:drawing>
          <wp:inline distT="0" distB="0" distL="114300" distR="114300">
            <wp:extent cx="5085715" cy="2002155"/>
            <wp:effectExtent l="0" t="0" r="6985" b="4445"/>
            <wp:docPr id="4" name="图片 4" descr="tip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ip_distrib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C7F2">
      <w:pPr>
        <w:spacing w:line="360" w:lineRule="auto"/>
        <w:jc w:val="center"/>
        <w:rPr>
          <w:rFonts w:hint="eastAsia" w:eastAsia="黑体"/>
          <w:color w:val="000000"/>
          <w:sz w:val="21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3.3.1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lang w:val="en-US" w:eastAsia="zh-CN"/>
        </w:rPr>
        <w:t>小费金额分布和小费金额箱线图</w:t>
      </w:r>
    </w:p>
    <w:p w14:paraId="1AAD6E49">
      <w:pPr>
        <w:spacing w:line="360" w:lineRule="auto"/>
        <w:jc w:val="both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图调用hist绘制直方图并添加均值、中位数辅助线；右侧使用sns.boxplot生成箱线图。最后通过tight_layout调整布局，保存并展示图表，直观呈现小费分布特征。</w:t>
      </w:r>
      <w:r>
        <w:rPr>
          <w:rFonts w:hint="eastAsia"/>
          <w:iCs/>
          <w:sz w:val="24"/>
          <w:szCs w:val="24"/>
          <w:lang w:val="en-US" w:eastAsia="zh-CN"/>
        </w:rPr>
        <w:t>图片如图3.3.1所示。</w:t>
      </w:r>
    </w:p>
    <w:p w14:paraId="214ABE87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左图，数据的众数为2.00美元，表明这是顾客最常支付的小费金额。中位数为2.90美元，意味着有一半的订单小费低于此数值。平均数为3.00美元，略高于中位数。由于平均数大于中位数且大于众数（Mean &gt; Median &gt; Mode），且直方图右侧存在长尾，说明虽然大部分小费集中在低金额区间（2-4美元），但仍有少部分高额小费拉高了整体平均水平。</w:t>
      </w:r>
    </w:p>
    <w:p w14:paraId="29662F30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右图，该数据集的小费金额并非标准的正态分布，而是呈现右偏形态。大部分顾客倾向于支付2-3美元左右的小费，但存在少量高额小费拉高了平均值。</w:t>
      </w:r>
    </w:p>
    <w:p w14:paraId="4DBFA373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.2吸烟对小费的影响</w:t>
      </w:r>
    </w:p>
    <w:p w14:paraId="57CC06E5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通过plt.subplots创建双列画布，分别调用sns.countplot和sns.barplot绘制人数统计图与小费均值柱状图。利用palette参数统一配色，并通过set_xticklabels将英文标签替换为中文。最后配置标题、轴标签并自动调整布局，保存高清图片，直观对比了吸烟与不吸烟顾客的人数规模及小费支付水平。</w:t>
      </w:r>
    </w:p>
    <w:p w14:paraId="18A58B1D">
      <w:pPr>
        <w:spacing w:line="360" w:lineRule="auto"/>
        <w:ind w:firstLine="480" w:firstLineChars="200"/>
        <w:rPr>
          <w:rFonts w:hint="default" w:eastAsia="宋体"/>
          <w:iCs/>
          <w:sz w:val="24"/>
          <w:szCs w:val="24"/>
          <w:lang w:val="en-US" w:eastAsia="zh-CN"/>
        </w:rPr>
      </w:pPr>
      <w:r>
        <w:rPr>
          <w:rFonts w:hint="eastAsia"/>
          <w:iCs/>
          <w:sz w:val="24"/>
          <w:szCs w:val="24"/>
        </w:rPr>
        <w:t>左图，数据的样本分布呈现明显的不均衡特征，不吸烟者的人数约为151人（根据柱状高度估算），显著多于吸烟者的93人。这表明在该数据集中，不吸烟顾客占据了大多数（约占总人数的62%），而吸烟顾客占比较小。这种样本量的差异提示我们在后续分析中，需要注意样本不平衡可能带来的统计偏差，或者在建模时考虑是否需要加权处理。</w:t>
      </w:r>
      <w:r>
        <w:rPr>
          <w:rFonts w:hint="eastAsia"/>
          <w:iCs/>
          <w:sz w:val="24"/>
          <w:szCs w:val="24"/>
          <w:lang w:val="en-US" w:eastAsia="zh-CN"/>
        </w:rPr>
        <w:t>图片如图3.3.2所示。</w:t>
      </w:r>
    </w:p>
    <w:p w14:paraId="5B194688">
      <w:pPr>
        <w:spacing w:line="360" w:lineRule="auto"/>
        <w:ind w:firstLine="480" w:firstLineChars="200"/>
        <w:jc w:val="center"/>
        <w:rPr>
          <w:rFonts w:hint="default" w:eastAsia="黑体"/>
          <w:color w:val="000000"/>
          <w:sz w:val="24"/>
          <w:lang w:val="en-US" w:eastAsia="zh-CN"/>
        </w:rPr>
      </w:pPr>
      <w:r>
        <w:rPr>
          <w:rFonts w:hint="default" w:eastAsia="黑体"/>
          <w:color w:val="000000"/>
          <w:sz w:val="24"/>
          <w:lang w:val="en-US" w:eastAsia="zh-CN"/>
        </w:rPr>
        <w:drawing>
          <wp:inline distT="0" distB="0" distL="114300" distR="114300">
            <wp:extent cx="4305300" cy="1694815"/>
            <wp:effectExtent l="0" t="0" r="0" b="6985"/>
            <wp:docPr id="11" name="图片 11" descr="smoker_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moker_ti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0C63">
      <w:pPr>
        <w:spacing w:line="360" w:lineRule="auto"/>
        <w:jc w:val="center"/>
        <w:rPr>
          <w:rFonts w:hint="eastAsia" w:eastAsia="黑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3.3.2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lang w:val="en-US" w:eastAsia="zh-CN"/>
        </w:rPr>
        <w:t>吸烟对小费的影响</w:t>
      </w:r>
    </w:p>
    <w:p w14:paraId="25A75954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右图，展示了不同吸烟习惯下的小费支付水平。数据显示，吸烟者与不吸烟者的平均小费金额非常接近，均约为3.00美元。虽然吸烟者的平均小费在视觉上略微高于不吸烟者，但两者之间的差距极小。此外，图中的黑色误差线（Error Bar）显示了数据的波动范围，两者的误差区间存在较大重叠，这暗示了吸烟习惯对小费金额的影响并不显著，即无论顾客是否吸烟，其支付小费的平均水平基本保持一致。</w:t>
      </w:r>
    </w:p>
    <w:p w14:paraId="21CB6985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.3就餐人数对小费的影响</w:t>
      </w:r>
    </w:p>
    <w:p w14:paraId="04158F68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用matplotlib和seaborn进行可视化，传入参数渲染</w:t>
      </w:r>
    </w:p>
    <w:p w14:paraId="0E0B8201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左图，数据的样本分布呈现极度不均衡的特征，2人就餐的频次最高，达到约157次，占据了绝对主导地位。3人和4人就餐的频次相近，均在40次左右，而1人、5人及6人就餐的情况极为罕见（尤其是1人和6人，频次极低）。这表明该餐厅的主要客源为双人组合（情侣或朋友），大团体或单人顾客属于少数群体。这种数据分布提示我们在分析“6人就餐”等极端情况时，由于样本量过小，统计结果可能存在较大的随机性偏差</w:t>
      </w:r>
      <w:r>
        <w:rPr>
          <w:rFonts w:hint="eastAsia"/>
          <w:iCs/>
          <w:sz w:val="24"/>
          <w:szCs w:val="24"/>
          <w:lang w:val="en-US" w:eastAsia="zh-CN"/>
        </w:rPr>
        <w:t>图片如图3.3.3所示</w:t>
      </w:r>
      <w:r>
        <w:rPr>
          <w:rFonts w:hint="eastAsia"/>
          <w:iCs/>
          <w:sz w:val="24"/>
          <w:szCs w:val="24"/>
        </w:rPr>
        <w:t>。</w:t>
      </w:r>
    </w:p>
    <w:p w14:paraId="4EC408ED">
      <w:pPr>
        <w:spacing w:line="360" w:lineRule="auto"/>
        <w:jc w:val="center"/>
        <w:rPr>
          <w:rFonts w:hint="default" w:eastAsia="黑体"/>
          <w:color w:val="000000"/>
          <w:sz w:val="24"/>
          <w:lang w:val="en-US" w:eastAsia="zh-CN"/>
        </w:rPr>
      </w:pPr>
      <w:r>
        <w:rPr>
          <w:rFonts w:hint="default" w:eastAsia="黑体"/>
          <w:color w:val="000000"/>
          <w:sz w:val="24"/>
          <w:lang w:val="en-US" w:eastAsia="zh-CN"/>
        </w:rPr>
        <w:drawing>
          <wp:inline distT="0" distB="0" distL="114300" distR="114300">
            <wp:extent cx="5245100" cy="2064385"/>
            <wp:effectExtent l="0" t="0" r="0" b="5715"/>
            <wp:docPr id="13" name="图片 13" descr="party_size_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arty_size_ti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FDF8">
      <w:pPr>
        <w:spacing w:line="360" w:lineRule="auto"/>
        <w:jc w:val="center"/>
        <w:rPr>
          <w:rFonts w:hint="eastAsia" w:eastAsia="黑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3.3.3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lang w:val="en-US" w:eastAsia="zh-CN"/>
        </w:rPr>
        <w:t>就餐人数对小费的影响</w:t>
      </w:r>
    </w:p>
    <w:p w14:paraId="1C6A2FD6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右图，该图表揭示了就餐人数与小费金额之间的正相关趋势。数据显示，随着就餐人数的增加，平均小费金额呈现明显的上升趋势。从1人时的约1.5美元逐步攀升至6人时的约5.2美元。特别是当人数从2人增加到3人及以上时，小费均值有显著的跳跃。虽然图中的误差线显示数据存在一定的波动（尤其是人数较少或较多时波动较大），但整体趋势表明，聚餐规模越大，顾客支付的小费总额越高，这符合多人消费总金额较高从而带动小费增加的常理。</w:t>
      </w:r>
    </w:p>
    <w:p w14:paraId="1A968106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.4性别对小费的影响</w:t>
      </w:r>
    </w:p>
    <w:p w14:paraId="08A0FE40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通过plt.subplots创建双列画布，利用sns.barplot和sns.boxplot分别绘制柱状图与箱线图。使用 palette 参数统一配色方案，并通过 ax 参数将图表精准映射至对应子图位置。最后配置标题、轴标签并自动调整布局，保存高清图片，直观对比了不同性别顾客的小费均值及分布差异。</w:t>
      </w:r>
    </w:p>
    <w:p w14:paraId="3EE1B2A9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左图，数据的集中趋势显示，男性（Male）的平均小费略高于女性（Female）。具体来看，男性的平均小费约为3.07美元，而女性的平均小费约为2.83美元。虽然两者在数值上存在差异，但图中的误差线（Error Bar）显示两者的波动范围有重叠，说明这种差异可能并不十分显著。这表明在该数据集中，性别并不是决定小费金额高低的唯一关键因素，男性的平均支付水平稍高</w:t>
      </w:r>
      <w:r>
        <w:rPr>
          <w:rFonts w:hint="eastAsia"/>
          <w:iCs/>
          <w:sz w:val="24"/>
          <w:szCs w:val="24"/>
          <w:lang w:val="en-US" w:eastAsia="zh-CN"/>
        </w:rPr>
        <w:t>图片如图3.3.4所示</w:t>
      </w:r>
      <w:r>
        <w:rPr>
          <w:rFonts w:hint="eastAsia"/>
          <w:iCs/>
          <w:sz w:val="24"/>
          <w:szCs w:val="24"/>
        </w:rPr>
        <w:t>。</w:t>
      </w:r>
    </w:p>
    <w:p w14:paraId="4D1C26CA">
      <w:pPr>
        <w:spacing w:line="360" w:lineRule="auto"/>
        <w:jc w:val="center"/>
        <w:rPr>
          <w:rFonts w:hint="default" w:ascii="宋体" w:hAnsi="宋体" w:eastAsia="宋体" w:cs="宋体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lang w:val="en-US" w:eastAsia="zh-CN"/>
        </w:rPr>
        <w:drawing>
          <wp:inline distT="0" distB="0" distL="114300" distR="114300">
            <wp:extent cx="5226050" cy="1711960"/>
            <wp:effectExtent l="0" t="0" r="6350" b="2540"/>
            <wp:docPr id="14" name="图片 14" descr="gender_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gender_ti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443F"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1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3.3.4 性别对小费的影响</w:t>
      </w:r>
    </w:p>
    <w:p w14:paraId="52A2E4FF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右图，该图表展示了不同性别下小费金额的离散程度与异常值情况。中位数对比：箱体内的横线代表中位数，可以看出男性的中位数（约3.0美元）略高于女性（约2.8美元），这与左图的均值趋势一致。分布范围：男性的箱体（代表中间50%的数据）整体位置略高于女性，且上须更长，说明男性支付较高小费的跨度更大。异常值：图中出现了多个圆圈代表的异常值。女性有一个约6.5美元的异常高值，而男性则有多个极端高值（最高接近10美元）。这进一步证实了男性群体中存在更多出手阔绰的“高额小费”案例，拉高了整体的平均水平。</w:t>
      </w:r>
    </w:p>
    <w:p w14:paraId="17AFE593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.5用餐时间对小费的影响</w:t>
      </w:r>
    </w:p>
    <w:p w14:paraId="43E4EDCF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通过 plt.subplots 创建双列画布，分别调用 sns.countplot 和 sns.barplot 绘制计数图与柱状图。利用 hue 参数按用餐时间分组着色，并通过 legend 自定义中文标签以优化显示。最后配置标题、轴标签并自动调整布局，保存高清图片，直观展示了各天用餐人数分布及不同时段的小费均值差异。</w:t>
      </w:r>
    </w:p>
    <w:p w14:paraId="42D20F2B">
      <w:pPr>
        <w:spacing w:line="360" w:lineRule="auto"/>
        <w:ind w:firstLine="480" w:firstLineChars="200"/>
        <w:rPr>
          <w:rFonts w:hint="eastAsia"/>
          <w:iCs/>
          <w:sz w:val="24"/>
          <w:szCs w:val="24"/>
          <w:lang w:eastAsia="zh-CN"/>
        </w:rPr>
      </w:pPr>
      <w:r>
        <w:rPr>
          <w:rFonts w:hint="eastAsia"/>
          <w:iCs/>
          <w:sz w:val="24"/>
          <w:szCs w:val="24"/>
        </w:rPr>
        <w:t>左图，数据的样本分布呈现出明显的时段集中特征。周六（Sat）的用餐人数最多，达到约90人，是餐厅最繁忙的一天。周日（Sun）紧随其后，约有75人。相比之下，周四（Thur）和周五（Fri）的客流量显著较少，尤其是周五仅有不到20人。此外，从颜色区分来看，周末（周六、周日）主要集中在午餐时段（蓝色），而周四和周五则完全集中在晚餐时段（橙色）。这表明该数据集主要反映了周末午餐和周中晚餐的经营情况</w:t>
      </w:r>
      <w:r>
        <w:rPr>
          <w:rFonts w:hint="eastAsia"/>
          <w:iCs/>
          <w:sz w:val="24"/>
          <w:szCs w:val="24"/>
          <w:lang w:eastAsia="zh-CN"/>
        </w:rPr>
        <w:t>，</w:t>
      </w:r>
      <w:r>
        <w:rPr>
          <w:rFonts w:hint="eastAsia"/>
          <w:iCs/>
          <w:sz w:val="24"/>
          <w:szCs w:val="24"/>
          <w:lang w:val="en-US" w:eastAsia="zh-CN"/>
        </w:rPr>
        <w:t>图片如图3.3.5所示</w:t>
      </w:r>
      <w:r>
        <w:rPr>
          <w:rFonts w:hint="eastAsia"/>
          <w:iCs/>
          <w:sz w:val="24"/>
          <w:szCs w:val="24"/>
        </w:rPr>
        <w:t>。</w:t>
      </w:r>
    </w:p>
    <w:p w14:paraId="67EE6A97">
      <w:pPr>
        <w:spacing w:line="360" w:lineRule="auto"/>
        <w:ind w:firstLine="480" w:firstLineChars="200"/>
        <w:rPr>
          <w:rFonts w:hint="default" w:ascii="宋体" w:hAnsi="宋体" w:eastAsia="宋体" w:cs="宋体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lang w:val="en-US" w:eastAsia="zh-CN"/>
        </w:rPr>
        <w:drawing>
          <wp:inline distT="0" distB="0" distL="114300" distR="114300">
            <wp:extent cx="5499735" cy="1801495"/>
            <wp:effectExtent l="0" t="0" r="12065" b="1905"/>
            <wp:docPr id="15" name="图片 15" descr="day_time_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ay_time_ti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FA4D"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3.3.5 用餐时间对小费的影响</w:t>
      </w:r>
    </w:p>
    <w:p w14:paraId="560295DA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右图，该图表揭示了用餐时间与星期对平均小费的交互影响。数据显示，午餐时段（蓝色柱子）的平均小费普遍高于晚餐时段（橙色柱子）。具体来看，周日的午餐小费最高，约为3.25美元；而周五的晚餐小费最低，仅为2.4美元左右。尽管晚餐时段的误差线较长，表明数据波动较大，但整体趋势显示顾客在午餐时似乎更慷慨。这可能与午餐通常较为轻松、或者特定日期的消费群体差异有关。</w:t>
      </w:r>
    </w:p>
    <w:p w14:paraId="5F887FD6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.6总消费和小费的关系</w:t>
      </w:r>
    </w:p>
    <w:p w14:paraId="44A3C602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通过plt.figure设定画布尺寸，调用sns.scatterplot绘制散点图。利用hue参数按性别映射颜色，style 参数按用餐时间区分形状，直观展示多维数据关系。随后配置标题、轴标签及图例位置，最后调整布局并保存高清晰度图片。</w:t>
      </w:r>
      <w:r>
        <w:rPr>
          <w:rFonts w:hint="eastAsia"/>
          <w:iCs/>
          <w:sz w:val="24"/>
          <w:szCs w:val="24"/>
          <w:lang w:val="en-US" w:eastAsia="zh-CN"/>
        </w:rPr>
        <w:t>图片如图3.3.6所示。</w:t>
      </w:r>
    </w:p>
    <w:p w14:paraId="45B298F4">
      <w:pPr>
        <w:spacing w:line="360" w:lineRule="auto"/>
        <w:ind w:firstLine="480" w:firstLineChars="200"/>
        <w:jc w:val="center"/>
        <w:rPr>
          <w:rFonts w:hint="default" w:ascii="宋体" w:hAnsi="宋体" w:eastAsia="宋体" w:cs="宋体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lang w:val="en-US" w:eastAsia="zh-CN"/>
        </w:rPr>
        <w:drawing>
          <wp:inline distT="0" distB="0" distL="114300" distR="114300">
            <wp:extent cx="3034030" cy="2264410"/>
            <wp:effectExtent l="0" t="0" r="1270" b="8890"/>
            <wp:docPr id="5" name="图片 5" descr="bill_vs_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ill_vs_ti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0D05"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3.3.6 总消费和小费的关系</w:t>
      </w:r>
    </w:p>
    <w:p w14:paraId="2AA70761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数据的分布特征揭示了总消费金额（Total Bill）与小费金额（Tip）之间存在显著的正相关关系。具体来看，随着横轴总消费金额的增加，纵轴的小费金额也呈现出明显的上升趋势。大部分数据点集中在总消费10-30美元、小费2-4美元的区间内，形成一个向右上方延伸的带状分布。</w:t>
      </w:r>
    </w:p>
    <w:p w14:paraId="2B9615BC">
      <w:pPr>
        <w:spacing w:line="360" w:lineRule="auto"/>
        <w:ind w:firstLine="480" w:firstLineChars="200"/>
        <w:rPr>
          <w:rFonts w:hint="eastAsia" w:eastAsia="黑体"/>
          <w:color w:val="000000"/>
          <w:sz w:val="24"/>
        </w:rPr>
      </w:pPr>
      <w:r>
        <w:rPr>
          <w:rFonts w:hint="eastAsia"/>
          <w:iCs/>
          <w:sz w:val="24"/>
          <w:szCs w:val="24"/>
        </w:rPr>
        <w:t>这表明顾客支付的小费通常是基于账单总额按比例计算的，消费越高，给的小费越多。性别差异：橙色圆点（男性）在右上角高消费、高小费区域分布较多，说明男性更有可能产生高额消费并支付高额小费；而蓝色圆点（女性）则更多集中在中低消费区间。用餐时间：叉号（午餐）主要集中在左侧低消费区域（30美元以下），而圆点（晚餐）则广泛分布于整个X轴，涵盖了从低到高的所有消费水平，这印证了晚餐通常是该餐厅的主要高消费时段。</w:t>
      </w:r>
    </w:p>
    <w:p w14:paraId="52600D74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.7特征相关性热力图</w:t>
      </w:r>
    </w:p>
    <w:p w14:paraId="5FE1908C">
      <w:pPr>
        <w:spacing w:line="360" w:lineRule="auto"/>
        <w:ind w:firstLine="480" w:firstLineChars="200"/>
        <w:rPr>
          <w:rFonts w:hint="default"/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</w:rPr>
        <w:t>总消费与小费的相关性最强，就餐人数也与小费正相关。</w:t>
      </w:r>
      <w:r>
        <w:rPr>
          <w:rFonts w:hint="eastAsia"/>
          <w:iCs/>
          <w:sz w:val="24"/>
          <w:szCs w:val="24"/>
          <w:lang w:val="en-US" w:eastAsia="zh-CN"/>
        </w:rPr>
        <w:t>图片如图3.3.7所示。</w:t>
      </w:r>
    </w:p>
    <w:p w14:paraId="70025AB7">
      <w:pPr>
        <w:spacing w:line="360" w:lineRule="auto"/>
        <w:jc w:val="center"/>
        <w:rPr>
          <w:rFonts w:hint="default" w:ascii="宋体" w:hAnsi="宋体" w:eastAsia="宋体" w:cs="宋体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lang w:val="en-US" w:eastAsia="zh-CN"/>
        </w:rPr>
        <w:drawing>
          <wp:inline distT="0" distB="0" distL="114300" distR="114300">
            <wp:extent cx="3134360" cy="2780665"/>
            <wp:effectExtent l="0" t="0" r="2540" b="635"/>
            <wp:docPr id="17" name="图片 17" descr="correlation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orrelation_heatma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681B"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3.3.7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lang w:val="en-US" w:eastAsia="zh-CN"/>
        </w:rPr>
        <w:t>特征相关性热力图</w:t>
      </w:r>
    </w:p>
    <w:p w14:paraId="6ACD7C8A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首先对分类变量进行数值映射编码，随后调用sns.heatmap绘制相关性热力图。利用annot参数显示相关系cmap设置红蓝渐变色系fmt保留两位小数，并配置标题。最后调整布局并保存高清图片，直观量化了各特征间的关联强度，揭示了总消费与小费的最强相关性。</w:t>
      </w:r>
    </w:p>
    <w:p w14:paraId="7F125184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.8逻辑回归模型和随机森林的准确率对比</w:t>
      </w:r>
    </w:p>
    <w:p w14:paraId="0BC4C88C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首先调用train_test_split按 7:3 比例划分数据集，并通过stratify参数确保训练集与测试集的标签分布一致。随后实例化StandardScaler利用训练集数据进行拟合（fit）以获取均值与方差，再对训练集和测试集分别进行转换（transform）。这一标准化操作消除了特征间的量纲差异，确保了各特征在模型中的权重公平性。</w:t>
      </w:r>
      <w:r>
        <w:rPr>
          <w:rFonts w:hint="eastAsia"/>
          <w:iCs/>
          <w:sz w:val="24"/>
          <w:szCs w:val="24"/>
          <w:lang w:val="en-US" w:eastAsia="zh-CN"/>
        </w:rPr>
        <w:t>图片如图3.3.8所示</w:t>
      </w:r>
    </w:p>
    <w:p w14:paraId="3D6818D0">
      <w:pPr>
        <w:spacing w:line="360" w:lineRule="auto"/>
        <w:jc w:val="center"/>
        <w:rPr>
          <w:rFonts w:hint="default" w:ascii="宋体" w:hAnsi="宋体" w:eastAsia="宋体" w:cs="宋体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lang w:val="en-US" w:eastAsia="zh-CN"/>
        </w:rPr>
        <w:drawing>
          <wp:inline distT="0" distB="0" distL="114300" distR="114300">
            <wp:extent cx="3345180" cy="2208530"/>
            <wp:effectExtent l="0" t="0" r="7620" b="1270"/>
            <wp:docPr id="18" name="图片 18" descr="model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model_compar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D618"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3.3.8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lang w:val="en-US" w:eastAsia="zh-CN"/>
        </w:rPr>
        <w:t>逻辑回归模型和随机森林的准确率对比</w:t>
      </w:r>
    </w:p>
    <w:p w14:paraId="1500AF04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首先实例化包含100棵决策树的RandomForestClassifier，并使用标准化后的训练集数据进行模型拟合（fit）。随后，利用训练好的模型对测试集进行预测，并调用 accuracy_score计算整体准确率。最后，通过classification_report输出包含精确率（precision）、召回率（recall）、F1分数及样本支持度（support）在内的详细分类报告，全面评估了模型对“低小费”与“高小费”类别的预测性能。</w:t>
      </w:r>
    </w:p>
    <w:p w14:paraId="0297977D">
      <w:pPr>
        <w:spacing w:line="360" w:lineRule="auto"/>
        <w:ind w:firstLine="480" w:firstLineChars="200"/>
        <w:rPr>
          <w:rFonts w:hint="eastAsia" w:eastAsia="黑体"/>
          <w:color w:val="000000"/>
          <w:sz w:val="24"/>
        </w:rPr>
      </w:pPr>
      <w:r>
        <w:rPr>
          <w:rFonts w:hint="eastAsia"/>
          <w:iCs/>
          <w:sz w:val="24"/>
          <w:szCs w:val="24"/>
        </w:rPr>
        <w:t>逻辑回归以 74.32% 的准确率优于随机森林的 70.27%。这可能意味着该数据集的特征与目标变量之间存在较强的线性关系，或者数据量较小、特征较少，使得简单的线性模型（逻辑回归）反而比复杂的非线性模型（随机森林）更具泛化能力，不易过拟合。</w:t>
      </w:r>
    </w:p>
    <w:p w14:paraId="4D92EA74">
      <w:pPr>
        <w:spacing w:before="120" w:beforeLines="50" w:after="120" w:afterLines="50" w:line="360" w:lineRule="auto"/>
        <w:outlineLvl w:val="2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3.</w:t>
      </w:r>
      <w:r>
        <w:rPr>
          <w:rFonts w:hint="eastAsia" w:eastAsia="黑体"/>
          <w:color w:val="000000"/>
          <w:sz w:val="24"/>
          <w:lang w:val="en-US" w:eastAsia="zh-CN"/>
        </w:rPr>
        <w:t>3</w:t>
      </w:r>
      <w:r>
        <w:rPr>
          <w:rFonts w:hint="eastAsia" w:eastAsia="黑体"/>
          <w:color w:val="000000"/>
          <w:sz w:val="24"/>
        </w:rPr>
        <w:t>.9逻辑回归和随机森林混淆矩阵</w:t>
      </w:r>
    </w:p>
    <w:p w14:paraId="093CBE1E">
      <w:pPr>
        <w:spacing w:line="360" w:lineRule="auto"/>
        <w:ind w:firstLine="480" w:firstLineChars="200"/>
        <w:rPr>
          <w:rFonts w:hint="default" w:eastAsia="宋体"/>
          <w:iCs/>
          <w:sz w:val="24"/>
          <w:szCs w:val="24"/>
          <w:lang w:val="en-US" w:eastAsia="zh-CN"/>
        </w:rPr>
      </w:pPr>
      <w:r>
        <w:rPr>
          <w:rFonts w:hint="eastAsia"/>
          <w:iCs/>
          <w:sz w:val="24"/>
          <w:szCs w:val="24"/>
          <w:lang w:val="en-US" w:eastAsia="zh-CN"/>
        </w:rPr>
        <w:t>把逻辑回归和随机森林的混淆矩可视化，图片如图3.3.9所示。</w:t>
      </w:r>
    </w:p>
    <w:p w14:paraId="48A33E60">
      <w:pPr>
        <w:spacing w:line="360" w:lineRule="auto"/>
        <w:jc w:val="center"/>
        <w:rPr>
          <w:rFonts w:hint="default" w:ascii="宋体" w:hAnsi="宋体" w:eastAsia="宋体" w:cs="宋体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lang w:val="en-US" w:eastAsia="zh-CN"/>
        </w:rPr>
        <w:drawing>
          <wp:inline distT="0" distB="0" distL="114300" distR="114300">
            <wp:extent cx="4641215" cy="1878965"/>
            <wp:effectExtent l="0" t="0" r="6985" b="635"/>
            <wp:docPr id="19" name="图片 19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onfusion_matri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A1A5">
      <w:pPr>
        <w:spacing w:line="360" w:lineRule="auto"/>
        <w:jc w:val="center"/>
        <w:rPr>
          <w:rFonts w:hint="eastAsia"/>
          <w:iCs/>
          <w:sz w:val="24"/>
          <w:szCs w:val="24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3.3.9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lang w:val="en-US" w:eastAsia="zh-CN"/>
        </w:rPr>
        <w:t>逻辑回归和随机森林混淆矩阵</w:t>
      </w:r>
    </w:p>
    <w:p w14:paraId="6E7301F0">
      <w:pPr>
        <w:spacing w:before="120" w:beforeLines="50" w:after="120" w:afterLines="50" w:line="360" w:lineRule="auto"/>
        <w:outlineLvl w:val="1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3.4</w:t>
      </w:r>
      <w:r>
        <w:rPr>
          <w:rFonts w:hint="eastAsia" w:eastAsia="黑体"/>
          <w:color w:val="000000"/>
          <w:sz w:val="24"/>
        </w:rPr>
        <w:t xml:space="preserve">  数据的处理</w:t>
      </w:r>
    </w:p>
    <w:p w14:paraId="09E2C2B5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特别地，一定要根据求解的结果对“绪论”里介绍的应用问题进行解释和说明。从而使得整篇报告前后</w:t>
      </w:r>
    </w:p>
    <w:p w14:paraId="01733618">
      <w:pPr>
        <w:spacing w:line="360" w:lineRule="auto"/>
        <w:ind w:firstLine="480" w:firstLineChars="200"/>
        <w:rPr>
          <w:rFonts w:hint="eastAsia"/>
          <w:iCs/>
          <w:sz w:val="24"/>
          <w:szCs w:val="24"/>
          <w:lang w:val="en-US" w:eastAsia="zh-CN"/>
        </w:rPr>
      </w:pPr>
      <w:r>
        <w:rPr>
          <w:rFonts w:hint="eastAsia"/>
          <w:iCs/>
          <w:sz w:val="24"/>
          <w:szCs w:val="24"/>
        </w:rPr>
        <w:t>通过设置全局字体解决中文显示问题，利用plt.subplots创建双列画布[4]。左侧子图调用hist绘制直方图并添加均值、中位数辅助线；右侧使用sns.boxplot生成箱线图。最后通过tight_layout调整布局，保存并展示图表，直观呈现小费分布特征。</w:t>
      </w:r>
      <w:r>
        <w:rPr>
          <w:rFonts w:hint="eastAsia"/>
          <w:iCs/>
          <w:sz w:val="24"/>
          <w:szCs w:val="24"/>
          <w:lang w:val="en-US" w:eastAsia="zh-CN"/>
        </w:rPr>
        <w:t>如图3.4.1所示</w:t>
      </w:r>
    </w:p>
    <w:p w14:paraId="761A4148">
      <w:pPr>
        <w:spacing w:line="360" w:lineRule="auto"/>
        <w:jc w:val="center"/>
        <w:rPr>
          <w:rFonts w:hint="default" w:eastAsia="黑体"/>
          <w:color w:val="000000"/>
          <w:sz w:val="24"/>
          <w:lang w:val="en-US" w:eastAsia="zh-CN"/>
        </w:rPr>
      </w:pPr>
      <w:r>
        <w:rPr>
          <w:rFonts w:hint="default" w:eastAsia="黑体"/>
          <w:color w:val="000000"/>
          <w:sz w:val="24"/>
          <w:lang w:val="en-US" w:eastAsia="zh-CN"/>
        </w:rPr>
        <w:drawing>
          <wp:inline distT="0" distB="0" distL="114300" distR="114300">
            <wp:extent cx="5752465" cy="2264410"/>
            <wp:effectExtent l="0" t="0" r="635" b="8890"/>
            <wp:docPr id="10" name="图片 10" descr="tip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ip_distrib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61D1">
      <w:pPr>
        <w:spacing w:line="360" w:lineRule="auto"/>
        <w:jc w:val="center"/>
        <w:rPr>
          <w:rFonts w:hint="default" w:eastAsia="黑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3.4.1</w:t>
      </w:r>
    </w:p>
    <w:p w14:paraId="6B89AA21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左图，数据的众数为2.00美元，表明这是顾客最常支付的小费金额。中位数为2.90美元，意味着有一半的订单小费低于此数值。平均数为3.00美元，略高于中位数。由于平均数大于中位数且大于众数（Mean &gt; Median &gt; Mode），且直方图右侧存在长尾，说明虽然大部分小费集中在低金额区间（2-4美元），但仍有少部分高额小费拉高了整体平均水平。</w:t>
      </w:r>
    </w:p>
    <w:p w14:paraId="4D1E3DFC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右图，该数据集的小费金额并非标准的正态分布，而是呈现右偏形态。大部分顾客倾向于支付2-3美元左右的小费，但存在少量高额小费拉高了平均值。呼应，形成一共闭环。</w:t>
      </w:r>
    </w:p>
    <w:p w14:paraId="6D154B03">
      <w:pPr>
        <w:spacing w:line="360" w:lineRule="auto"/>
        <w:ind w:firstLine="480" w:firstLineChars="200"/>
        <w:rPr>
          <w:rFonts w:hint="eastAsia"/>
          <w:iCs/>
          <w:sz w:val="24"/>
          <w:szCs w:val="24"/>
          <w:lang w:val="en-US" w:eastAsia="zh-CN"/>
        </w:rPr>
      </w:pPr>
      <w:r>
        <w:rPr>
          <w:rFonts w:hint="eastAsia"/>
          <w:iCs/>
          <w:sz w:val="24"/>
          <w:szCs w:val="24"/>
        </w:rPr>
        <w:t>通过 plt.subplots 创建双列画布，分别调用 sns.countplot 和 sns.barplot 绘制人数统计图与小费均值柱状图。利用 palette 参数统一配色，并通过 set_xticklabels 将英文标签替换为中文。最后配置标题、轴标签并自动调整布局，保存高清图片，直观对比了吸烟与不吸烟顾客的人数规模及小费支付水平。</w:t>
      </w:r>
      <w:r>
        <w:rPr>
          <w:rFonts w:hint="eastAsia"/>
          <w:iCs/>
          <w:sz w:val="24"/>
          <w:szCs w:val="24"/>
          <w:lang w:val="en-US" w:eastAsia="zh-CN"/>
        </w:rPr>
        <w:t>如图3.4.2所示</w:t>
      </w:r>
    </w:p>
    <w:p w14:paraId="08D35957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</w:p>
    <w:p w14:paraId="148554C3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左图，数据的样本分布呈现明显的不均衡特征，不吸烟者的人数约为151人（根据柱状高度估算），显著多于吸烟者的93人。这表明在该数据集中，不吸烟顾客占据了大多数（约占总人数的62%），而吸烟顾客占比较小。这种样本量的差异提示我们在后续分析中，需要注意样本不平衡可能带来的统计偏差，或者在建模时考虑是否需要加权处理。</w:t>
      </w:r>
    </w:p>
    <w:p w14:paraId="67326698">
      <w:pPr>
        <w:spacing w:line="360" w:lineRule="auto"/>
        <w:jc w:val="center"/>
        <w:rPr>
          <w:rFonts w:hint="default" w:eastAsia="黑体"/>
          <w:color w:val="000000"/>
          <w:sz w:val="24"/>
          <w:lang w:val="en-US" w:eastAsia="zh-CN"/>
        </w:rPr>
      </w:pPr>
      <w:r>
        <w:rPr>
          <w:rFonts w:hint="default" w:eastAsia="黑体"/>
          <w:color w:val="000000"/>
          <w:sz w:val="24"/>
          <w:lang w:val="en-US" w:eastAsia="zh-CN"/>
        </w:rPr>
        <w:drawing>
          <wp:inline distT="0" distB="0" distL="114300" distR="114300">
            <wp:extent cx="4305300" cy="1694815"/>
            <wp:effectExtent l="0" t="0" r="0" b="6985"/>
            <wp:docPr id="6" name="图片 6" descr="smoker_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moker_ti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A512">
      <w:pPr>
        <w:spacing w:line="360" w:lineRule="auto"/>
        <w:jc w:val="center"/>
        <w:rPr>
          <w:rFonts w:hint="default" w:eastAsia="黑体"/>
          <w:color w:val="000000"/>
          <w:sz w:val="24"/>
          <w:lang w:val="en-US" w:eastAsia="zh-CN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  <w:lang w:val="en-US" w:eastAsia="zh-CN"/>
        </w:rPr>
        <w:t>3.4.2</w:t>
      </w:r>
    </w:p>
    <w:p w14:paraId="426D6C3F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右图，展示了不同吸烟习惯下的小费支付水平。数据显示，吸烟者与不吸烟者的平均小费金额非常接近，均约为3.00美元。虽然吸烟者的平均小费在视觉上略微高于不吸烟者，但两者之间的差距极小。此外，图中的黑色误差线（Error Bar）显示了数据的波动范围，两者的误差区间存在较大重叠，这暗示了吸烟习惯对小费金额的影响并不显著，即无论顾客是否吸烟，其支付小费的平均水平基本保持一致。</w:t>
      </w:r>
    </w:p>
    <w:p w14:paraId="0E9B07E9">
      <w:pPr>
        <w:spacing w:before="240" w:beforeLines="100" w:after="120" w:afterLines="50" w:line="360" w:lineRule="auto"/>
        <w:jc w:val="center"/>
        <w:outlineLvl w:val="0"/>
        <w:rPr>
          <w:rFonts w:eastAsia="黑体"/>
          <w:sz w:val="32"/>
        </w:rPr>
      </w:pPr>
      <w:r>
        <w:rPr>
          <w:rFonts w:eastAsia="黑体"/>
          <w:sz w:val="32"/>
        </w:rPr>
        <w:t>4  结论</w:t>
      </w:r>
    </w:p>
    <w:p w14:paraId="7EAB7F3C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本课程设计以"餐厅消费与小费影响因素分析及分类预测"为题，基于seaborn内置的tips数据集，综合运用Python数据分析工具和机器学习方法，对小费的影响因素进行了系统分析和预测建模。</w:t>
      </w:r>
    </w:p>
    <w:p w14:paraId="345FAC63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通过本次课程设计，主要完成了以下工作：</w:t>
      </w:r>
    </w:p>
    <w:p w14:paraId="57D2DD57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（1）数据获取与预处理：使用seaborn成功加载tips数据集，进行了缺失值检查、重复值处理、数据类型转换和特征工程等操作，为后续分析奠定了数据基础。</w:t>
      </w:r>
    </w:p>
    <w:p w14:paraId="5AEB1C3C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（2）探索性数据分析与可视化：利用Matplotlib和Seaborn绘制了包括散点图、箱线图、条形图、热力图等多种图表，直观展示了各因素与小费之间的关系。主要发现有：总消费金额与小费呈正相关（相关系数r=0.676）；晚餐时段的小费高于午餐；周末的小费高于工作日；男性顾客小费略高于女性；就餐人数越多，小费越高。</w:t>
      </w:r>
    </w:p>
    <w:p w14:paraId="2B40F91D">
      <w:pPr>
        <w:spacing w:line="360" w:lineRule="auto"/>
        <w:ind w:firstLine="480" w:firstLineChars="200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本项目的不足之处和未来改进方向包括：（1）可以引入更多特征维度进行扩展分析，如顾客评价、菜品类型、餐厅档次等，以进一步提高模型的预测精度；（2）可以尝试使用深度学习模型（如神经网络）进行小费预测；（3）可以将模型部署到实际的餐饮管理系统中，为服务人员和管理者提供决策支持。</w:t>
      </w:r>
    </w:p>
    <w:p w14:paraId="0228F08F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iCs/>
          <w:kern w:val="2"/>
          <w:sz w:val="24"/>
          <w:szCs w:val="24"/>
          <w:lang w:val="en-US" w:eastAsia="zh-CN" w:bidi="ar-SA"/>
        </w:rPr>
      </w:pPr>
      <w:r>
        <w:rPr>
          <w:rFonts w:hint="eastAsia"/>
          <w:iCs/>
          <w:sz w:val="24"/>
          <w:szCs w:val="24"/>
        </w:rPr>
        <w:t>通过本次课程设计，加深了对数据分析全流程的理解，掌握了从数据获取、数据预处理、探索性分析到机器学习建模的完整方法体系，提升了运用Python进行大数据分析实践的能力。</w:t>
      </w:r>
      <w:r>
        <w:rPr>
          <w:rFonts w:hint="eastAsia" w:ascii="Times New Roman" w:hAnsi="Times New Roman" w:eastAsia="宋体" w:cs="Times New Roman"/>
          <w:iCs/>
          <w:kern w:val="2"/>
          <w:sz w:val="24"/>
          <w:szCs w:val="24"/>
          <w:lang w:val="en-US" w:eastAsia="zh-CN" w:bidi="ar-SA"/>
        </w:rPr>
        <w:t>在实践过程中，</w:t>
      </w:r>
      <w:r>
        <w:rPr>
          <w:rFonts w:hint="eastAsia" w:cs="Times New Roman"/>
          <w:iCs/>
          <w:kern w:val="2"/>
          <w:sz w:val="24"/>
          <w:szCs w:val="24"/>
          <w:lang w:val="en-US" w:eastAsia="zh-CN" w:bidi="ar-SA"/>
        </w:rPr>
        <w:t>我</w:t>
      </w:r>
      <w:r>
        <w:rPr>
          <w:rFonts w:hint="eastAsia" w:ascii="Times New Roman" w:hAnsi="Times New Roman" w:eastAsia="宋体" w:cs="Times New Roman"/>
          <w:iCs/>
          <w:kern w:val="2"/>
          <w:sz w:val="24"/>
          <w:szCs w:val="24"/>
          <w:lang w:val="en-US" w:eastAsia="zh-CN" w:bidi="ar-SA"/>
        </w:rPr>
        <w:t>不仅加深了对</w:t>
      </w:r>
      <w:r>
        <w:rPr>
          <w:rFonts w:hint="eastAsia" w:cs="Times New Roman"/>
          <w:iCs/>
          <w:kern w:val="2"/>
          <w:sz w:val="24"/>
          <w:szCs w:val="24"/>
          <w:lang w:val="en-US" w:eastAsia="zh-CN" w:bidi="ar-SA"/>
        </w:rPr>
        <w:t>Python爬虫</w:t>
      </w:r>
      <w:r>
        <w:rPr>
          <w:rFonts w:hint="eastAsia" w:ascii="Times New Roman" w:hAnsi="Times New Roman" w:eastAsia="宋体" w:cs="Times New Roman"/>
          <w:iCs/>
          <w:kern w:val="2"/>
          <w:sz w:val="24"/>
          <w:szCs w:val="24"/>
          <w:lang w:val="en-US" w:eastAsia="zh-CN" w:bidi="ar-SA"/>
        </w:rPr>
        <w:t>技术及Pandas、Scikit-learn等工具的理解，也进一步熟悉了数据预处理与多元线性回归模型的实际应用方法。同时，我也体会到数据分析报告的核心不仅在于代码能够运行并得到结果，更重要的是能够清晰地表达数据处理思路、变量构造逻辑以及模型结果的统计意义，使分析过程具有可解释性与逻辑闭环。</w:t>
      </w:r>
    </w:p>
    <w:p w14:paraId="783E1198">
      <w:pPr>
        <w:spacing w:line="360" w:lineRule="auto"/>
        <w:ind w:firstLine="480" w:firstLineChars="200"/>
        <w:rPr>
          <w:iCs/>
          <w:sz w:val="24"/>
          <w:szCs w:val="24"/>
        </w:rPr>
      </w:pPr>
      <w:r>
        <w:rPr>
          <w:rFonts w:hint="eastAsia" w:ascii="Times New Roman" w:hAnsi="Times New Roman" w:eastAsia="宋体" w:cs="Times New Roman"/>
          <w:iCs/>
          <w:kern w:val="2"/>
          <w:sz w:val="24"/>
          <w:szCs w:val="24"/>
          <w:lang w:val="en-US" w:eastAsia="zh-CN" w:bidi="ar-SA"/>
        </w:rPr>
        <w:t>通过本次大数据分析实践</w:t>
      </w:r>
      <w:r>
        <w:rPr>
          <w:rFonts w:hint="eastAsia" w:cs="Times New Roman"/>
          <w:iCs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="Times New Roman" w:hAnsi="Times New Roman" w:eastAsia="宋体" w:cs="Times New Roman"/>
          <w:iCs/>
          <w:kern w:val="2"/>
          <w:sz w:val="24"/>
          <w:szCs w:val="24"/>
          <w:lang w:val="en-US" w:eastAsia="zh-CN" w:bidi="ar-SA"/>
        </w:rPr>
        <w:t>课程设计，我系统性地掌握了从数据获取、数据清洗、特征工程到建模分析与结果解释的完整数据分析流程</w:t>
      </w:r>
      <w:r>
        <w:rPr>
          <w:rFonts w:hint="eastAsia" w:cs="Times New Roman"/>
          <w:iCs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iCs/>
          <w:kern w:val="2"/>
          <w:sz w:val="24"/>
          <w:szCs w:val="24"/>
          <w:lang w:val="en-US" w:eastAsia="zh-CN" w:bidi="ar-SA"/>
        </w:rPr>
        <w:t>对“数据—特征—模型—结论”的分析框架有了更加直观的认识，</w:t>
      </w:r>
      <w:r>
        <w:rPr>
          <w:rFonts w:hint="eastAsia" w:cs="Times New Roman"/>
          <w:iCs/>
          <w:kern w:val="2"/>
          <w:sz w:val="24"/>
          <w:szCs w:val="24"/>
          <w:lang w:val="en-US" w:eastAsia="zh-CN" w:bidi="ar-SA"/>
        </w:rPr>
        <w:t>本次实践经历为后续进行更复杂的数据分析与科研实践奠定了基础。</w:t>
      </w:r>
    </w:p>
    <w:p w14:paraId="62C562E4">
      <w:pPr>
        <w:spacing w:before="240" w:beforeLines="100" w:after="120" w:afterLines="50" w:line="360" w:lineRule="auto"/>
        <w:jc w:val="center"/>
        <w:outlineLvl w:val="0"/>
        <w:rPr>
          <w:rFonts w:eastAsia="黑体"/>
          <w:color w:val="000000"/>
          <w:sz w:val="32"/>
        </w:rPr>
      </w:pPr>
      <w:bookmarkStart w:id="3" w:name="_Toc266177658"/>
      <w:r>
        <w:rPr>
          <w:rFonts w:eastAsia="黑体"/>
          <w:color w:val="000000"/>
          <w:sz w:val="32"/>
        </w:rPr>
        <w:t>参考文献</w:t>
      </w:r>
      <w:bookmarkEnd w:id="3"/>
    </w:p>
    <w:p w14:paraId="7B39519F">
      <w:pPr>
        <w:numPr>
          <w:ilvl w:val="0"/>
          <w:numId w:val="2"/>
        </w:numPr>
        <w:tabs>
          <w:tab w:val="left" w:pos="504"/>
          <w:tab w:val="clear" w:pos="420"/>
        </w:tabs>
        <w:spacing w:line="360" w:lineRule="auto"/>
        <w:ind w:left="504" w:hanging="504"/>
        <w:rPr>
          <w:rFonts w:hint="eastAsia"/>
          <w:sz w:val="24"/>
          <w:lang w:val="zh-CN"/>
        </w:rPr>
      </w:pPr>
      <w:bookmarkStart w:id="4" w:name="_Ref4937"/>
      <w:r>
        <w:rPr>
          <w:rFonts w:hint="eastAsia"/>
          <w:sz w:val="24"/>
        </w:rPr>
        <w:t>McKinney W. Python for Data Analysis: Data Wrangling with Pandas, NumPy, and IPython[M]. 2nd ed. Sebastopol: O</w:t>
      </w:r>
      <w:r>
        <w:rPr>
          <w:rFonts w:hint="default"/>
          <w:sz w:val="24"/>
          <w:lang w:val="en-US" w:eastAsia="zh-CN"/>
        </w:rPr>
        <w:t>’</w:t>
      </w:r>
      <w:r>
        <w:rPr>
          <w:rFonts w:hint="eastAsia"/>
          <w:sz w:val="24"/>
        </w:rPr>
        <w:t>Reilly Media, 2017.</w:t>
      </w:r>
      <w:bookmarkEnd w:id="4"/>
    </w:p>
    <w:p w14:paraId="064F833F">
      <w:pPr>
        <w:numPr>
          <w:ilvl w:val="0"/>
          <w:numId w:val="2"/>
        </w:numPr>
        <w:tabs>
          <w:tab w:val="left" w:pos="504"/>
          <w:tab w:val="clear" w:pos="420"/>
        </w:tabs>
        <w:spacing w:line="360" w:lineRule="auto"/>
        <w:ind w:left="504" w:hanging="504"/>
        <w:rPr>
          <w:rFonts w:hint="eastAsia"/>
          <w:sz w:val="24"/>
          <w:lang w:val="zh-CN"/>
        </w:rPr>
      </w:pPr>
      <w:bookmarkStart w:id="5" w:name="_Ref4967"/>
      <w:r>
        <w:rPr>
          <w:rFonts w:hint="eastAsia"/>
          <w:sz w:val="24"/>
          <w:lang w:val="zh-CN"/>
        </w:rPr>
        <w:t>Hunter J D. Matplotlib: a 2D graphics environment[J]. Computing in Science &amp; Engineering, 2007, 9(3): 90-95.</w:t>
      </w:r>
      <w:bookmarkEnd w:id="5"/>
    </w:p>
    <w:p w14:paraId="60CD8A7E">
      <w:pPr>
        <w:numPr>
          <w:ilvl w:val="0"/>
          <w:numId w:val="2"/>
        </w:numPr>
        <w:tabs>
          <w:tab w:val="left" w:pos="504"/>
          <w:tab w:val="clear" w:pos="420"/>
        </w:tabs>
        <w:spacing w:line="360" w:lineRule="auto"/>
        <w:ind w:left="504" w:hanging="504"/>
        <w:rPr>
          <w:rFonts w:hint="eastAsia"/>
          <w:sz w:val="24"/>
          <w:lang w:val="zh-CN"/>
        </w:rPr>
      </w:pPr>
      <w:bookmarkStart w:id="6" w:name="_Ref5035"/>
      <w:r>
        <w:rPr>
          <w:rFonts w:hint="eastAsia"/>
          <w:sz w:val="24"/>
          <w:lang w:val="zh-CN"/>
        </w:rPr>
        <w:t>Hastie T, Tibshirani R, Friedman J. The elements of statistical learning: data mining, inference, and prediction[M]. 2nd ed. New York: Springer, 2009.</w:t>
      </w:r>
      <w:bookmarkEnd w:id="6"/>
    </w:p>
    <w:p w14:paraId="3E559C57">
      <w:pPr>
        <w:numPr>
          <w:ilvl w:val="0"/>
          <w:numId w:val="2"/>
        </w:numPr>
        <w:tabs>
          <w:tab w:val="left" w:pos="504"/>
          <w:tab w:val="clear" w:pos="420"/>
        </w:tabs>
        <w:spacing w:line="360" w:lineRule="auto"/>
        <w:ind w:left="504" w:hanging="504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Draper N R, Smith H. Applied regression analysis[M]. 3rd ed. New York: John Wiley &amp; Sons, 1998.</w:t>
      </w:r>
    </w:p>
    <w:bookmarkEnd w:id="2"/>
    <w:p w14:paraId="6440F6DE">
      <w:pPr>
        <w:spacing w:line="360" w:lineRule="auto"/>
        <w:jc w:val="left"/>
        <w:rPr>
          <w:rFonts w:hint="eastAsia"/>
          <w:sz w:val="21"/>
          <w:lang w:val="zh-CN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701" w:right="1134" w:bottom="1418" w:left="1701" w:header="993" w:footer="851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DAE9B">
    <w:pPr>
      <w:pStyle w:val="19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957942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-376010759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76D511EB">
            <w:pPr>
              <w:pStyle w:val="19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Cs/>
                <w:sz w:val="21"/>
                <w:szCs w:val="21"/>
              </w:rPr>
              <w:fldChar w:fldCharType="begin"/>
            </w:r>
            <w:r>
              <w:rPr>
                <w:bCs/>
                <w:sz w:val="21"/>
                <w:szCs w:val="21"/>
              </w:rPr>
              <w:instrText xml:space="preserve">PAGE</w:instrText>
            </w:r>
            <w:r>
              <w:rPr>
                <w:bCs/>
                <w:sz w:val="21"/>
                <w:szCs w:val="21"/>
              </w:rPr>
              <w:fldChar w:fldCharType="separate"/>
            </w:r>
            <w:r>
              <w:rPr>
                <w:bCs/>
                <w:sz w:val="21"/>
                <w:szCs w:val="21"/>
              </w:rPr>
              <w:t>1</w:t>
            </w:r>
            <w:r>
              <w:rPr>
                <w:bCs/>
                <w:sz w:val="21"/>
                <w:szCs w:val="21"/>
              </w:rPr>
              <w:fldChar w:fldCharType="end"/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zh-CN"/>
              </w:rPr>
              <w:t>页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C4860">
    <w:pPr>
      <w:pStyle w:val="19"/>
      <w:jc w:val="center"/>
    </w:pPr>
    <w:r>
      <w:rPr>
        <w:rFonts w:hint="eastAsia"/>
        <w:sz w:val="21"/>
        <w:szCs w:val="22"/>
        <w:lang w:val="en-US" w:eastAsia="zh-CN"/>
      </w:rPr>
      <w:t xml:space="preserve">第 </w:t>
    </w:r>
    <w:r>
      <w:rPr>
        <w:sz w:val="21"/>
        <w:szCs w:val="22"/>
      </w:rPr>
      <w:fldChar w:fldCharType="begin"/>
    </w:r>
    <w:r>
      <w:rPr>
        <w:sz w:val="21"/>
        <w:szCs w:val="22"/>
      </w:rPr>
      <w:instrText xml:space="preserve"> PAGE  \* MERGEFORMAT </w:instrText>
    </w:r>
    <w:r>
      <w:rPr>
        <w:sz w:val="21"/>
        <w:szCs w:val="22"/>
      </w:rPr>
      <w:fldChar w:fldCharType="separate"/>
    </w:r>
    <w:r>
      <w:rPr>
        <w:sz w:val="21"/>
        <w:szCs w:val="22"/>
      </w:rPr>
      <w:t>2</w:t>
    </w:r>
    <w:r>
      <w:rPr>
        <w:sz w:val="21"/>
        <w:szCs w:val="22"/>
      </w:rPr>
      <w:fldChar w:fldCharType="end"/>
    </w:r>
    <w:r>
      <w:rPr>
        <w:rFonts w:hint="eastAsia"/>
        <w:sz w:val="21"/>
        <w:szCs w:val="22"/>
        <w:lang w:val="en-US"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A1318">
    <w:pPr>
      <w:pStyle w:val="20"/>
      <w:pBdr>
        <w:bottom w:val="none" w:color="auto" w:sz="0" w:space="0"/>
      </w:pBdr>
      <w:tabs>
        <w:tab w:val="center" w:pos="4253"/>
        <w:tab w:val="right" w:pos="9057"/>
        <w:tab w:val="clear" w:pos="4153"/>
        <w:tab w:val="clear" w:pos="8306"/>
      </w:tabs>
      <w:spacing w:after="240" w:afterLines="100"/>
      <w:jc w:val="distribute"/>
      <w:rPr>
        <w:rFonts w:ascii="宋体" w:hAnsi="宋体" w:eastAsia="宋体"/>
        <w:sz w:val="24"/>
        <w:u w:val="single"/>
        <w:lang w:val="en-US"/>
      </w:rPr>
    </w:pPr>
    <w:r>
      <w:rPr>
        <w:rFonts w:eastAsia="黑体"/>
        <w:sz w:val="30"/>
        <w:u w:val="single"/>
        <w:lang w:eastAsia="zh-CN"/>
      </w:rPr>
      <w:tab/>
    </w:r>
    <w:r>
      <w:rPr>
        <w:rFonts w:hint="eastAsia" w:eastAsia="黑体"/>
        <w:sz w:val="28"/>
        <w:szCs w:val="18"/>
        <w:u w:val="single"/>
        <w:lang w:eastAsia="zh-CN"/>
      </w:rPr>
      <w:t>数学与统计学院课程设计（实习）报告</w:t>
    </w:r>
    <w:r>
      <w:rPr>
        <w:rFonts w:eastAsia="黑体"/>
        <w:sz w:val="30"/>
        <w:u w:val="single"/>
        <w:lang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ACA22">
    <w:pPr>
      <w:pStyle w:val="20"/>
      <w:pBdr>
        <w:bottom w:val="none" w:color="auto" w:sz="0" w:space="0"/>
      </w:pBdr>
      <w:tabs>
        <w:tab w:val="center" w:pos="4395"/>
        <w:tab w:val="right" w:pos="9071"/>
        <w:tab w:val="clear" w:pos="4153"/>
        <w:tab w:val="clear" w:pos="8306"/>
      </w:tabs>
      <w:spacing w:after="240" w:afterLines="100"/>
      <w:jc w:val="both"/>
      <w:rPr>
        <w:rFonts w:hint="eastAsia" w:ascii="宋体" w:hAnsi="宋体" w:eastAsia="宋体"/>
        <w:sz w:val="24"/>
        <w:u w:val="single"/>
        <w:lang w:val="en-US"/>
      </w:rPr>
    </w:pPr>
    <w:r>
      <w:rPr>
        <w:u w:val="single"/>
      </w:rPr>
      <w:tab/>
    </w:r>
    <w:r>
      <w:rPr>
        <w:rFonts w:hint="eastAsia" w:eastAsia="黑体"/>
        <w:sz w:val="28"/>
        <w:szCs w:val="18"/>
        <w:u w:val="single"/>
        <w:lang w:eastAsia="zh-CN"/>
      </w:rPr>
      <w:t>数学与统计学院课程设计（实习）报告</w:t>
    </w:r>
    <w:r>
      <w:rPr>
        <w:rFonts w:eastAsia="黑体"/>
        <w:sz w:val="30"/>
        <w:u w:val="single"/>
        <w:lang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FD27E33"/>
    <w:multiLevelType w:val="multilevel"/>
    <w:tmpl w:val="7FD27E33"/>
    <w:lvl w:ilvl="0" w:tentative="0">
      <w:start w:val="1"/>
      <w:numFmt w:val="decimal"/>
      <w:lvlText w:val="%1．"/>
      <w:lvlJc w:val="left"/>
      <w:pPr>
        <w:ind w:left="803" w:hanging="38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59" w:hanging="420"/>
      </w:pPr>
    </w:lvl>
    <w:lvl w:ilvl="2" w:tentative="0">
      <w:start w:val="1"/>
      <w:numFmt w:val="lowerRoman"/>
      <w:lvlText w:val="%3."/>
      <w:lvlJc w:val="right"/>
      <w:pPr>
        <w:ind w:left="1679" w:hanging="420"/>
      </w:pPr>
    </w:lvl>
    <w:lvl w:ilvl="3" w:tentative="0">
      <w:start w:val="1"/>
      <w:numFmt w:val="decimal"/>
      <w:lvlText w:val="%4."/>
      <w:lvlJc w:val="left"/>
      <w:pPr>
        <w:ind w:left="2099" w:hanging="420"/>
      </w:pPr>
    </w:lvl>
    <w:lvl w:ilvl="4" w:tentative="0">
      <w:start w:val="1"/>
      <w:numFmt w:val="lowerLetter"/>
      <w:lvlText w:val="%5)"/>
      <w:lvlJc w:val="left"/>
      <w:pPr>
        <w:ind w:left="2519" w:hanging="420"/>
      </w:pPr>
    </w:lvl>
    <w:lvl w:ilvl="5" w:tentative="0">
      <w:start w:val="1"/>
      <w:numFmt w:val="lowerRoman"/>
      <w:lvlText w:val="%6."/>
      <w:lvlJc w:val="right"/>
      <w:pPr>
        <w:ind w:left="2939" w:hanging="420"/>
      </w:pPr>
    </w:lvl>
    <w:lvl w:ilvl="6" w:tentative="0">
      <w:start w:val="1"/>
      <w:numFmt w:val="decimal"/>
      <w:lvlText w:val="%7."/>
      <w:lvlJc w:val="left"/>
      <w:pPr>
        <w:ind w:left="3359" w:hanging="420"/>
      </w:pPr>
    </w:lvl>
    <w:lvl w:ilvl="7" w:tentative="0">
      <w:start w:val="1"/>
      <w:numFmt w:val="lowerLetter"/>
      <w:lvlText w:val="%8)"/>
      <w:lvlJc w:val="left"/>
      <w:pPr>
        <w:ind w:left="3779" w:hanging="420"/>
      </w:pPr>
    </w:lvl>
    <w:lvl w:ilvl="8" w:tentative="0">
      <w:start w:val="1"/>
      <w:numFmt w:val="lowerRoman"/>
      <w:lvlText w:val="%9."/>
      <w:lvlJc w:val="right"/>
      <w:pPr>
        <w:ind w:left="4199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19"/>
  <w:evenAndOddHeaders w:val="1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3NjM3MzA4NDdmMDhlMGYzNWU0ZWRkMmVjOTE2OTYifQ=="/>
  </w:docVars>
  <w:rsids>
    <w:rsidRoot w:val="00172A27"/>
    <w:rsid w:val="00002D71"/>
    <w:rsid w:val="00004281"/>
    <w:rsid w:val="0000573E"/>
    <w:rsid w:val="00006E10"/>
    <w:rsid w:val="00007217"/>
    <w:rsid w:val="000077BE"/>
    <w:rsid w:val="00032006"/>
    <w:rsid w:val="00032DED"/>
    <w:rsid w:val="00036745"/>
    <w:rsid w:val="00077E12"/>
    <w:rsid w:val="000815C8"/>
    <w:rsid w:val="000A68EB"/>
    <w:rsid w:val="000B0868"/>
    <w:rsid w:val="000C1438"/>
    <w:rsid w:val="000D3EBB"/>
    <w:rsid w:val="000F323E"/>
    <w:rsid w:val="000F7201"/>
    <w:rsid w:val="00106268"/>
    <w:rsid w:val="0011455D"/>
    <w:rsid w:val="00114590"/>
    <w:rsid w:val="0011778A"/>
    <w:rsid w:val="00126D6B"/>
    <w:rsid w:val="001316B8"/>
    <w:rsid w:val="0013457A"/>
    <w:rsid w:val="00134737"/>
    <w:rsid w:val="001354B4"/>
    <w:rsid w:val="0013571D"/>
    <w:rsid w:val="00142D10"/>
    <w:rsid w:val="001503D6"/>
    <w:rsid w:val="001541F4"/>
    <w:rsid w:val="00160DDD"/>
    <w:rsid w:val="00166E0D"/>
    <w:rsid w:val="00167412"/>
    <w:rsid w:val="00172796"/>
    <w:rsid w:val="00172A27"/>
    <w:rsid w:val="00176C88"/>
    <w:rsid w:val="001776B5"/>
    <w:rsid w:val="0018165E"/>
    <w:rsid w:val="00191B9B"/>
    <w:rsid w:val="001A0931"/>
    <w:rsid w:val="001A1327"/>
    <w:rsid w:val="001A2159"/>
    <w:rsid w:val="001D3529"/>
    <w:rsid w:val="001D5161"/>
    <w:rsid w:val="00211D59"/>
    <w:rsid w:val="00217F57"/>
    <w:rsid w:val="0022399F"/>
    <w:rsid w:val="002279F8"/>
    <w:rsid w:val="00237F1E"/>
    <w:rsid w:val="00242659"/>
    <w:rsid w:val="00251BAB"/>
    <w:rsid w:val="00260465"/>
    <w:rsid w:val="00266705"/>
    <w:rsid w:val="00287887"/>
    <w:rsid w:val="002A4371"/>
    <w:rsid w:val="002C69F1"/>
    <w:rsid w:val="002D2956"/>
    <w:rsid w:val="002E099B"/>
    <w:rsid w:val="00300BBB"/>
    <w:rsid w:val="00312D30"/>
    <w:rsid w:val="0031647A"/>
    <w:rsid w:val="00322714"/>
    <w:rsid w:val="003401CF"/>
    <w:rsid w:val="00365918"/>
    <w:rsid w:val="00367C27"/>
    <w:rsid w:val="00397932"/>
    <w:rsid w:val="00397ABC"/>
    <w:rsid w:val="003A1AD4"/>
    <w:rsid w:val="003A718C"/>
    <w:rsid w:val="003C39CF"/>
    <w:rsid w:val="003D2454"/>
    <w:rsid w:val="003D3750"/>
    <w:rsid w:val="003E4EA2"/>
    <w:rsid w:val="003E6151"/>
    <w:rsid w:val="004076B8"/>
    <w:rsid w:val="004104DC"/>
    <w:rsid w:val="004143D0"/>
    <w:rsid w:val="00423CF6"/>
    <w:rsid w:val="00427666"/>
    <w:rsid w:val="00430600"/>
    <w:rsid w:val="004802E2"/>
    <w:rsid w:val="00485077"/>
    <w:rsid w:val="00490809"/>
    <w:rsid w:val="00494031"/>
    <w:rsid w:val="004A4C30"/>
    <w:rsid w:val="004A5F12"/>
    <w:rsid w:val="004B0C29"/>
    <w:rsid w:val="004D2366"/>
    <w:rsid w:val="004D4833"/>
    <w:rsid w:val="004E2ABB"/>
    <w:rsid w:val="004E32E1"/>
    <w:rsid w:val="004E4DFC"/>
    <w:rsid w:val="004E4E2E"/>
    <w:rsid w:val="004F4AE4"/>
    <w:rsid w:val="005018F3"/>
    <w:rsid w:val="0051194E"/>
    <w:rsid w:val="00515576"/>
    <w:rsid w:val="0053467C"/>
    <w:rsid w:val="0054462C"/>
    <w:rsid w:val="00546487"/>
    <w:rsid w:val="00554300"/>
    <w:rsid w:val="00556618"/>
    <w:rsid w:val="00556CF2"/>
    <w:rsid w:val="0055735E"/>
    <w:rsid w:val="00574533"/>
    <w:rsid w:val="005921D8"/>
    <w:rsid w:val="005A19A9"/>
    <w:rsid w:val="005A3822"/>
    <w:rsid w:val="005B2CF4"/>
    <w:rsid w:val="005B58A1"/>
    <w:rsid w:val="005B5985"/>
    <w:rsid w:val="005B7C63"/>
    <w:rsid w:val="005D247F"/>
    <w:rsid w:val="005D40F0"/>
    <w:rsid w:val="005E109B"/>
    <w:rsid w:val="005E1FF0"/>
    <w:rsid w:val="005E2570"/>
    <w:rsid w:val="005E3F1B"/>
    <w:rsid w:val="006025FE"/>
    <w:rsid w:val="00605500"/>
    <w:rsid w:val="00636067"/>
    <w:rsid w:val="00637CBC"/>
    <w:rsid w:val="006420B5"/>
    <w:rsid w:val="0064639D"/>
    <w:rsid w:val="006516F2"/>
    <w:rsid w:val="006538AE"/>
    <w:rsid w:val="00654555"/>
    <w:rsid w:val="00656B36"/>
    <w:rsid w:val="006B62B3"/>
    <w:rsid w:val="006C08ED"/>
    <w:rsid w:val="006D21A6"/>
    <w:rsid w:val="006D373A"/>
    <w:rsid w:val="006D7D1A"/>
    <w:rsid w:val="006E0EA0"/>
    <w:rsid w:val="006F1C05"/>
    <w:rsid w:val="006F224C"/>
    <w:rsid w:val="0070070C"/>
    <w:rsid w:val="00714C31"/>
    <w:rsid w:val="00752645"/>
    <w:rsid w:val="0075285C"/>
    <w:rsid w:val="007532BE"/>
    <w:rsid w:val="00760FBC"/>
    <w:rsid w:val="00783775"/>
    <w:rsid w:val="00797F25"/>
    <w:rsid w:val="007B7B18"/>
    <w:rsid w:val="007C167D"/>
    <w:rsid w:val="007C3122"/>
    <w:rsid w:val="00822A12"/>
    <w:rsid w:val="00824847"/>
    <w:rsid w:val="00824F54"/>
    <w:rsid w:val="0083407F"/>
    <w:rsid w:val="00845415"/>
    <w:rsid w:val="00870106"/>
    <w:rsid w:val="008714C7"/>
    <w:rsid w:val="00873811"/>
    <w:rsid w:val="00877291"/>
    <w:rsid w:val="008820C5"/>
    <w:rsid w:val="00887C5C"/>
    <w:rsid w:val="008901DA"/>
    <w:rsid w:val="008A2B01"/>
    <w:rsid w:val="008A40BE"/>
    <w:rsid w:val="008B50AC"/>
    <w:rsid w:val="008C18F8"/>
    <w:rsid w:val="008D44FC"/>
    <w:rsid w:val="00903735"/>
    <w:rsid w:val="00912FA1"/>
    <w:rsid w:val="00917702"/>
    <w:rsid w:val="009203A7"/>
    <w:rsid w:val="009206EA"/>
    <w:rsid w:val="0092251C"/>
    <w:rsid w:val="00923F9B"/>
    <w:rsid w:val="00933ED7"/>
    <w:rsid w:val="009428A5"/>
    <w:rsid w:val="00945044"/>
    <w:rsid w:val="00946578"/>
    <w:rsid w:val="0095469C"/>
    <w:rsid w:val="009632B0"/>
    <w:rsid w:val="00966EE4"/>
    <w:rsid w:val="00986F11"/>
    <w:rsid w:val="00995CDF"/>
    <w:rsid w:val="009B11A5"/>
    <w:rsid w:val="009B146F"/>
    <w:rsid w:val="009D02F5"/>
    <w:rsid w:val="009D4A70"/>
    <w:rsid w:val="009E16AF"/>
    <w:rsid w:val="009E336F"/>
    <w:rsid w:val="009E66CF"/>
    <w:rsid w:val="009F149A"/>
    <w:rsid w:val="009F27AE"/>
    <w:rsid w:val="009F5B8C"/>
    <w:rsid w:val="009F6E6A"/>
    <w:rsid w:val="00A02191"/>
    <w:rsid w:val="00A14413"/>
    <w:rsid w:val="00A14D3F"/>
    <w:rsid w:val="00A21729"/>
    <w:rsid w:val="00A26D41"/>
    <w:rsid w:val="00A3289F"/>
    <w:rsid w:val="00A404A1"/>
    <w:rsid w:val="00A52AD8"/>
    <w:rsid w:val="00A7519A"/>
    <w:rsid w:val="00A82BFF"/>
    <w:rsid w:val="00A85121"/>
    <w:rsid w:val="00A95144"/>
    <w:rsid w:val="00AA52A7"/>
    <w:rsid w:val="00AB14FC"/>
    <w:rsid w:val="00AC2858"/>
    <w:rsid w:val="00AC7EDE"/>
    <w:rsid w:val="00AD3903"/>
    <w:rsid w:val="00AD5959"/>
    <w:rsid w:val="00AE325A"/>
    <w:rsid w:val="00AF0838"/>
    <w:rsid w:val="00AF1F24"/>
    <w:rsid w:val="00B026DA"/>
    <w:rsid w:val="00B05D42"/>
    <w:rsid w:val="00B06E07"/>
    <w:rsid w:val="00B131E9"/>
    <w:rsid w:val="00B17DFE"/>
    <w:rsid w:val="00B20C7E"/>
    <w:rsid w:val="00B31124"/>
    <w:rsid w:val="00B379CC"/>
    <w:rsid w:val="00B4442D"/>
    <w:rsid w:val="00B55AF2"/>
    <w:rsid w:val="00B60570"/>
    <w:rsid w:val="00B679BD"/>
    <w:rsid w:val="00B72111"/>
    <w:rsid w:val="00B7519E"/>
    <w:rsid w:val="00B75B9D"/>
    <w:rsid w:val="00B76394"/>
    <w:rsid w:val="00B84B7E"/>
    <w:rsid w:val="00B93339"/>
    <w:rsid w:val="00B9480B"/>
    <w:rsid w:val="00BB3D07"/>
    <w:rsid w:val="00BD36D3"/>
    <w:rsid w:val="00BD37CA"/>
    <w:rsid w:val="00BD5E2F"/>
    <w:rsid w:val="00BE48DD"/>
    <w:rsid w:val="00BE749A"/>
    <w:rsid w:val="00BF1EDA"/>
    <w:rsid w:val="00BF2BBC"/>
    <w:rsid w:val="00C115F0"/>
    <w:rsid w:val="00C15F8D"/>
    <w:rsid w:val="00C21193"/>
    <w:rsid w:val="00C22EB0"/>
    <w:rsid w:val="00C266E3"/>
    <w:rsid w:val="00C4779C"/>
    <w:rsid w:val="00C5247B"/>
    <w:rsid w:val="00C548F5"/>
    <w:rsid w:val="00C66C45"/>
    <w:rsid w:val="00C7378D"/>
    <w:rsid w:val="00C805D6"/>
    <w:rsid w:val="00C80C33"/>
    <w:rsid w:val="00C901F9"/>
    <w:rsid w:val="00C92873"/>
    <w:rsid w:val="00CA275F"/>
    <w:rsid w:val="00CA58B7"/>
    <w:rsid w:val="00CB64C0"/>
    <w:rsid w:val="00CC3802"/>
    <w:rsid w:val="00CD1F07"/>
    <w:rsid w:val="00CE7818"/>
    <w:rsid w:val="00D072FC"/>
    <w:rsid w:val="00D218AC"/>
    <w:rsid w:val="00D24A14"/>
    <w:rsid w:val="00D26BA2"/>
    <w:rsid w:val="00D33306"/>
    <w:rsid w:val="00D3709B"/>
    <w:rsid w:val="00D40B21"/>
    <w:rsid w:val="00D43BCC"/>
    <w:rsid w:val="00D446F1"/>
    <w:rsid w:val="00D4526F"/>
    <w:rsid w:val="00D45B04"/>
    <w:rsid w:val="00D51AC7"/>
    <w:rsid w:val="00D57740"/>
    <w:rsid w:val="00D966C5"/>
    <w:rsid w:val="00D96AB8"/>
    <w:rsid w:val="00D97A47"/>
    <w:rsid w:val="00DB1294"/>
    <w:rsid w:val="00DB22EE"/>
    <w:rsid w:val="00DF067B"/>
    <w:rsid w:val="00DF40E3"/>
    <w:rsid w:val="00DF6318"/>
    <w:rsid w:val="00E04FC1"/>
    <w:rsid w:val="00E07E8D"/>
    <w:rsid w:val="00E10045"/>
    <w:rsid w:val="00E13244"/>
    <w:rsid w:val="00E24749"/>
    <w:rsid w:val="00E34323"/>
    <w:rsid w:val="00E358C1"/>
    <w:rsid w:val="00E462EE"/>
    <w:rsid w:val="00E5795A"/>
    <w:rsid w:val="00E66D35"/>
    <w:rsid w:val="00E81AAB"/>
    <w:rsid w:val="00E959A8"/>
    <w:rsid w:val="00EA08D4"/>
    <w:rsid w:val="00EA2743"/>
    <w:rsid w:val="00ED1960"/>
    <w:rsid w:val="00EE16AC"/>
    <w:rsid w:val="00EF5F17"/>
    <w:rsid w:val="00F008A0"/>
    <w:rsid w:val="00F26B91"/>
    <w:rsid w:val="00F30B1D"/>
    <w:rsid w:val="00F3189B"/>
    <w:rsid w:val="00F34436"/>
    <w:rsid w:val="00F375D5"/>
    <w:rsid w:val="00F40452"/>
    <w:rsid w:val="00F4380E"/>
    <w:rsid w:val="00F44F79"/>
    <w:rsid w:val="00F46FDE"/>
    <w:rsid w:val="00F5060A"/>
    <w:rsid w:val="00F67208"/>
    <w:rsid w:val="00F7533F"/>
    <w:rsid w:val="00F773A2"/>
    <w:rsid w:val="00F8037F"/>
    <w:rsid w:val="00F819DF"/>
    <w:rsid w:val="00F823F8"/>
    <w:rsid w:val="00F82428"/>
    <w:rsid w:val="00F84C68"/>
    <w:rsid w:val="00FA01ED"/>
    <w:rsid w:val="00FB504E"/>
    <w:rsid w:val="00FC19AF"/>
    <w:rsid w:val="00FD1342"/>
    <w:rsid w:val="00FE5EE6"/>
    <w:rsid w:val="00FF75CC"/>
    <w:rsid w:val="01BD0E47"/>
    <w:rsid w:val="02A86BE5"/>
    <w:rsid w:val="061439A6"/>
    <w:rsid w:val="062A142B"/>
    <w:rsid w:val="06595E29"/>
    <w:rsid w:val="069D7F01"/>
    <w:rsid w:val="06F7130D"/>
    <w:rsid w:val="08714A25"/>
    <w:rsid w:val="08E52080"/>
    <w:rsid w:val="0D6D4308"/>
    <w:rsid w:val="0DEA1BCB"/>
    <w:rsid w:val="0DF83342"/>
    <w:rsid w:val="0E333027"/>
    <w:rsid w:val="0EAF6A1F"/>
    <w:rsid w:val="0F5C25EA"/>
    <w:rsid w:val="0F9F0794"/>
    <w:rsid w:val="10A34CB9"/>
    <w:rsid w:val="14F665EE"/>
    <w:rsid w:val="16D81328"/>
    <w:rsid w:val="183D0B4A"/>
    <w:rsid w:val="1A327CC5"/>
    <w:rsid w:val="1B742AD4"/>
    <w:rsid w:val="1B8F790D"/>
    <w:rsid w:val="1BA95B7E"/>
    <w:rsid w:val="1D7C1C8C"/>
    <w:rsid w:val="1D9A6514"/>
    <w:rsid w:val="1FFD633D"/>
    <w:rsid w:val="21965CF4"/>
    <w:rsid w:val="21BC53AF"/>
    <w:rsid w:val="232442AC"/>
    <w:rsid w:val="268B0BFE"/>
    <w:rsid w:val="277435EF"/>
    <w:rsid w:val="27BC75FE"/>
    <w:rsid w:val="287E621B"/>
    <w:rsid w:val="290851A4"/>
    <w:rsid w:val="299415E0"/>
    <w:rsid w:val="29E03CD0"/>
    <w:rsid w:val="2A0E0CEC"/>
    <w:rsid w:val="2C564EB8"/>
    <w:rsid w:val="2C9E2733"/>
    <w:rsid w:val="2CE455E0"/>
    <w:rsid w:val="2DB136E4"/>
    <w:rsid w:val="2E3F4BE7"/>
    <w:rsid w:val="301F2DEA"/>
    <w:rsid w:val="30754AA9"/>
    <w:rsid w:val="31312F4B"/>
    <w:rsid w:val="347D25A2"/>
    <w:rsid w:val="35A60FB7"/>
    <w:rsid w:val="39775E88"/>
    <w:rsid w:val="397D0CF7"/>
    <w:rsid w:val="3A971ABC"/>
    <w:rsid w:val="3D522920"/>
    <w:rsid w:val="40453873"/>
    <w:rsid w:val="40472707"/>
    <w:rsid w:val="42A74014"/>
    <w:rsid w:val="447D039C"/>
    <w:rsid w:val="44B577D8"/>
    <w:rsid w:val="44F81E23"/>
    <w:rsid w:val="461F5BAF"/>
    <w:rsid w:val="47D90CDB"/>
    <w:rsid w:val="48084136"/>
    <w:rsid w:val="49E75364"/>
    <w:rsid w:val="49FF7C32"/>
    <w:rsid w:val="4AEB3B3F"/>
    <w:rsid w:val="4D7221B5"/>
    <w:rsid w:val="4DBB394A"/>
    <w:rsid w:val="4FA715C7"/>
    <w:rsid w:val="505E58ED"/>
    <w:rsid w:val="50E53DD7"/>
    <w:rsid w:val="5171483E"/>
    <w:rsid w:val="51BE389E"/>
    <w:rsid w:val="529B480F"/>
    <w:rsid w:val="536A1D64"/>
    <w:rsid w:val="53CD6E35"/>
    <w:rsid w:val="54121DDC"/>
    <w:rsid w:val="55F8221B"/>
    <w:rsid w:val="5636178A"/>
    <w:rsid w:val="56586F65"/>
    <w:rsid w:val="56AC0B1E"/>
    <w:rsid w:val="570861EB"/>
    <w:rsid w:val="576A2962"/>
    <w:rsid w:val="57AC4DC9"/>
    <w:rsid w:val="58226A99"/>
    <w:rsid w:val="59662205"/>
    <w:rsid w:val="5B6B2FB9"/>
    <w:rsid w:val="5D5F5EF2"/>
    <w:rsid w:val="60955CDE"/>
    <w:rsid w:val="61472510"/>
    <w:rsid w:val="62BB6808"/>
    <w:rsid w:val="634B7B8C"/>
    <w:rsid w:val="65767CBF"/>
    <w:rsid w:val="66833198"/>
    <w:rsid w:val="66D42499"/>
    <w:rsid w:val="677F7E04"/>
    <w:rsid w:val="690239E0"/>
    <w:rsid w:val="695F613F"/>
    <w:rsid w:val="6BC54BEF"/>
    <w:rsid w:val="6C260766"/>
    <w:rsid w:val="6C2E0E71"/>
    <w:rsid w:val="6CC42CD0"/>
    <w:rsid w:val="6DEC7532"/>
    <w:rsid w:val="6E34742D"/>
    <w:rsid w:val="6EBA75AC"/>
    <w:rsid w:val="6F3177C3"/>
    <w:rsid w:val="70C978F8"/>
    <w:rsid w:val="72337FF7"/>
    <w:rsid w:val="72820326"/>
    <w:rsid w:val="73045661"/>
    <w:rsid w:val="73D66D96"/>
    <w:rsid w:val="75BA03EB"/>
    <w:rsid w:val="75E11C8A"/>
    <w:rsid w:val="765A0EB9"/>
    <w:rsid w:val="76751F8F"/>
    <w:rsid w:val="76EE16B0"/>
    <w:rsid w:val="788E144B"/>
    <w:rsid w:val="794F56FE"/>
    <w:rsid w:val="7A0833A2"/>
    <w:rsid w:val="7DAE0FEB"/>
    <w:rsid w:val="7EBE67F5"/>
    <w:rsid w:val="7EEC201E"/>
    <w:rsid w:val="7FB0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/>
      <w:spacing w:before="500" w:after="500" w:line="480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160" w:after="160" w:line="420" w:lineRule="auto"/>
      <w:ind w:left="397"/>
      <w:jc w:val="center"/>
      <w:outlineLvl w:val="1"/>
    </w:pPr>
    <w:rPr>
      <w:b/>
      <w:sz w:val="32"/>
    </w:rPr>
  </w:style>
  <w:style w:type="paragraph" w:styleId="5">
    <w:name w:val="heading 3"/>
    <w:basedOn w:val="1"/>
    <w:next w:val="4"/>
    <w:qFormat/>
    <w:uiPriority w:val="0"/>
    <w:pPr>
      <w:keepNext/>
      <w:keepLines/>
      <w:spacing w:before="160" w:after="160"/>
      <w:jc w:val="left"/>
      <w:outlineLvl w:val="2"/>
    </w:pPr>
    <w:rPr>
      <w:rFonts w:eastAsia="黑体"/>
      <w:b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toc 7"/>
    <w:basedOn w:val="1"/>
    <w:next w:val="1"/>
    <w:qFormat/>
    <w:uiPriority w:val="0"/>
    <w:pPr>
      <w:ind w:left="2520"/>
    </w:pPr>
  </w:style>
  <w:style w:type="paragraph" w:styleId="7">
    <w:name w:val="caption"/>
    <w:basedOn w:val="1"/>
    <w:next w:val="1"/>
    <w:qFormat/>
    <w:uiPriority w:val="0"/>
    <w:pPr>
      <w:spacing w:after="120"/>
      <w:jc w:val="center"/>
    </w:pPr>
  </w:style>
  <w:style w:type="paragraph" w:styleId="8">
    <w:name w:val="Document Map"/>
    <w:basedOn w:val="1"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pPr>
      <w:widowControl/>
      <w:ind w:right="35"/>
      <w:jc w:val="left"/>
    </w:pPr>
    <w:rPr>
      <w:sz w:val="24"/>
    </w:rPr>
  </w:style>
  <w:style w:type="paragraph" w:styleId="10">
    <w:name w:val="Body Text Indent"/>
    <w:basedOn w:val="1"/>
    <w:qFormat/>
    <w:uiPriority w:val="0"/>
    <w:pPr>
      <w:ind w:firstLine="482"/>
    </w:pPr>
    <w:rPr>
      <w:sz w:val="24"/>
    </w:rPr>
  </w:style>
  <w:style w:type="paragraph" w:styleId="11">
    <w:name w:val="toc 5"/>
    <w:basedOn w:val="1"/>
    <w:next w:val="1"/>
    <w:qFormat/>
    <w:uiPriority w:val="0"/>
    <w:pPr>
      <w:ind w:left="1680"/>
    </w:pPr>
  </w:style>
  <w:style w:type="paragraph" w:styleId="12">
    <w:name w:val="toc 3"/>
    <w:basedOn w:val="1"/>
    <w:next w:val="1"/>
    <w:qFormat/>
    <w:uiPriority w:val="0"/>
    <w:pPr>
      <w:tabs>
        <w:tab w:val="right" w:leader="dot" w:pos="9061"/>
      </w:tabs>
      <w:spacing w:line="360" w:lineRule="auto"/>
      <w:ind w:firstLine="900"/>
    </w:pPr>
  </w:style>
  <w:style w:type="paragraph" w:styleId="13">
    <w:name w:val="Plain Text"/>
    <w:basedOn w:val="1"/>
    <w:qFormat/>
    <w:uiPriority w:val="0"/>
    <w:rPr>
      <w:rFonts w:ascii="宋体" w:hAnsi="Courier New"/>
    </w:rPr>
  </w:style>
  <w:style w:type="paragraph" w:styleId="14">
    <w:name w:val="toc 8"/>
    <w:basedOn w:val="1"/>
    <w:next w:val="1"/>
    <w:qFormat/>
    <w:uiPriority w:val="0"/>
    <w:pPr>
      <w:ind w:left="2940"/>
    </w:pPr>
  </w:style>
  <w:style w:type="paragraph" w:styleId="15">
    <w:name w:val="Date"/>
    <w:basedOn w:val="1"/>
    <w:next w:val="1"/>
    <w:qFormat/>
    <w:uiPriority w:val="0"/>
    <w:pPr>
      <w:ind w:left="100" w:leftChars="2500"/>
    </w:pPr>
  </w:style>
  <w:style w:type="paragraph" w:styleId="16">
    <w:name w:val="Body Text Indent 2"/>
    <w:basedOn w:val="1"/>
    <w:qFormat/>
    <w:uiPriority w:val="0"/>
    <w:pPr>
      <w:ind w:left="-141" w:firstLine="213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link w:val="60"/>
    <w:qFormat/>
    <w:uiPriority w:val="0"/>
    <w:rPr>
      <w:szCs w:val="18"/>
    </w:rPr>
  </w:style>
  <w:style w:type="paragraph" w:styleId="19">
    <w:name w:val="footer"/>
    <w:basedOn w:val="1"/>
    <w:link w:val="61"/>
    <w:qFormat/>
    <w:uiPriority w:val="99"/>
    <w:pPr>
      <w:tabs>
        <w:tab w:val="center" w:pos="4153"/>
        <w:tab w:val="right" w:pos="8306"/>
      </w:tabs>
      <w:snapToGrid w:val="0"/>
      <w:jc w:val="left"/>
    </w:pPr>
  </w:style>
  <w:style w:type="paragraph" w:styleId="20">
    <w:name w:val="header"/>
    <w:basedOn w:val="1"/>
    <w:link w:val="5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楷体_GB2312"/>
      <w:lang w:val="zh-CN" w:eastAsia="zh-CN"/>
    </w:rPr>
  </w:style>
  <w:style w:type="paragraph" w:styleId="21">
    <w:name w:val="toc 1"/>
    <w:basedOn w:val="1"/>
    <w:next w:val="1"/>
    <w:qFormat/>
    <w:uiPriority w:val="0"/>
    <w:rPr>
      <w:sz w:val="24"/>
    </w:rPr>
  </w:style>
  <w:style w:type="paragraph" w:styleId="22">
    <w:name w:val="toc 4"/>
    <w:basedOn w:val="1"/>
    <w:next w:val="1"/>
    <w:qFormat/>
    <w:uiPriority w:val="0"/>
    <w:pPr>
      <w:ind w:left="1260"/>
    </w:pPr>
  </w:style>
  <w:style w:type="paragraph" w:styleId="23">
    <w:name w:val="footnote text"/>
    <w:basedOn w:val="1"/>
    <w:qFormat/>
    <w:uiPriority w:val="0"/>
    <w:pPr>
      <w:snapToGrid w:val="0"/>
      <w:jc w:val="left"/>
    </w:pPr>
  </w:style>
  <w:style w:type="paragraph" w:styleId="24">
    <w:name w:val="toc 6"/>
    <w:basedOn w:val="1"/>
    <w:next w:val="1"/>
    <w:qFormat/>
    <w:uiPriority w:val="0"/>
    <w:pPr>
      <w:ind w:left="2100"/>
    </w:pPr>
  </w:style>
  <w:style w:type="paragraph" w:styleId="25">
    <w:name w:val="Body Text Indent 3"/>
    <w:basedOn w:val="1"/>
    <w:qFormat/>
    <w:uiPriority w:val="0"/>
    <w:pPr>
      <w:ind w:firstLine="482"/>
      <w:jc w:val="left"/>
    </w:pPr>
    <w:rPr>
      <w:sz w:val="24"/>
    </w:rPr>
  </w:style>
  <w:style w:type="paragraph" w:styleId="26">
    <w:name w:val="toc 2"/>
    <w:basedOn w:val="1"/>
    <w:next w:val="1"/>
    <w:qFormat/>
    <w:uiPriority w:val="0"/>
    <w:pPr>
      <w:ind w:left="397"/>
    </w:pPr>
  </w:style>
  <w:style w:type="paragraph" w:styleId="27">
    <w:name w:val="toc 9"/>
    <w:basedOn w:val="1"/>
    <w:next w:val="1"/>
    <w:qFormat/>
    <w:uiPriority w:val="0"/>
    <w:pPr>
      <w:ind w:left="3360"/>
    </w:pPr>
  </w:style>
  <w:style w:type="paragraph" w:styleId="28">
    <w:name w:val="Body Text 2"/>
    <w:basedOn w:val="1"/>
    <w:qFormat/>
    <w:uiPriority w:val="0"/>
    <w:pPr>
      <w:adjustRightInd w:val="0"/>
      <w:spacing w:line="440" w:lineRule="atLeast"/>
      <w:jc w:val="center"/>
      <w:textAlignment w:val="baseline"/>
    </w:pPr>
    <w:rPr>
      <w:kern w:val="0"/>
      <w:sz w:val="21"/>
    </w:rPr>
  </w:style>
  <w:style w:type="paragraph" w:styleId="2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31">
    <w:name w:val="Table Grid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page number"/>
    <w:basedOn w:val="32"/>
    <w:qFormat/>
    <w:uiPriority w:val="0"/>
  </w:style>
  <w:style w:type="character" w:styleId="34">
    <w:name w:val="FollowedHyperlink"/>
    <w:qFormat/>
    <w:uiPriority w:val="0"/>
    <w:rPr>
      <w:color w:val="800080"/>
      <w:u w:val="single"/>
    </w:rPr>
  </w:style>
  <w:style w:type="character" w:styleId="35">
    <w:name w:val="HTML Typewriter"/>
    <w:qFormat/>
    <w:uiPriority w:val="0"/>
    <w:rPr>
      <w:rFonts w:ascii="宋体" w:hAnsi="宋体" w:eastAsia="宋体"/>
      <w:sz w:val="24"/>
    </w:rPr>
  </w:style>
  <w:style w:type="character" w:styleId="36">
    <w:name w:val="Hyperlink"/>
    <w:qFormat/>
    <w:uiPriority w:val="0"/>
    <w:rPr>
      <w:color w:val="0000FF"/>
      <w:u w:val="single"/>
    </w:rPr>
  </w:style>
  <w:style w:type="character" w:styleId="37">
    <w:name w:val="footnote reference"/>
    <w:qFormat/>
    <w:uiPriority w:val="0"/>
    <w:rPr>
      <w:vertAlign w:val="superscript"/>
    </w:rPr>
  </w:style>
  <w:style w:type="paragraph" w:customStyle="1" w:styleId="38">
    <w:name w:val="注意内容"/>
    <w:basedOn w:val="1"/>
    <w:next w:val="4"/>
    <w:qFormat/>
    <w:uiPriority w:val="0"/>
    <w:pPr>
      <w:shd w:val="pct20" w:color="auto" w:fill="auto"/>
      <w:adjustRightInd w:val="0"/>
      <w:spacing w:line="310" w:lineRule="atLeast"/>
      <w:ind w:firstLine="420"/>
      <w:textAlignment w:val="baseline"/>
    </w:pPr>
    <w:rPr>
      <w:rFonts w:eastAsia="楷体_GB2312"/>
      <w:kern w:val="0"/>
    </w:rPr>
  </w:style>
  <w:style w:type="paragraph" w:customStyle="1" w:styleId="39">
    <w:name w:val="标题4"/>
    <w:basedOn w:val="1"/>
    <w:next w:val="4"/>
    <w:qFormat/>
    <w:uiPriority w:val="0"/>
    <w:pPr>
      <w:outlineLvl w:val="3"/>
    </w:pPr>
    <w:rPr>
      <w:rFonts w:ascii="宋体" w:hAnsi="宋体"/>
    </w:rPr>
  </w:style>
  <w:style w:type="paragraph" w:customStyle="1" w:styleId="40">
    <w:name w:val="单命令行"/>
    <w:basedOn w:val="1"/>
    <w:next w:val="1"/>
    <w:qFormat/>
    <w:uiPriority w:val="0"/>
    <w:pPr>
      <w:ind w:left="425"/>
      <w:jc w:val="left"/>
    </w:pPr>
    <w:rPr>
      <w:rFonts w:ascii="Courier New" w:hAnsi="Courier New"/>
    </w:rPr>
  </w:style>
  <w:style w:type="paragraph" w:customStyle="1" w:styleId="41">
    <w:name w:val="正文＋"/>
    <w:basedOn w:val="1"/>
    <w:next w:val="42"/>
    <w:qFormat/>
    <w:uiPriority w:val="0"/>
    <w:pPr>
      <w:spacing w:after="120"/>
    </w:pPr>
  </w:style>
  <w:style w:type="paragraph" w:customStyle="1" w:styleId="42">
    <w:name w:val="命令行"/>
    <w:basedOn w:val="1"/>
    <w:qFormat/>
    <w:uiPriority w:val="0"/>
    <w:pPr>
      <w:shd w:val="pct10" w:color="auto" w:fill="FFFFFF"/>
      <w:jc w:val="center"/>
    </w:pPr>
    <w:rPr>
      <w:rFonts w:ascii="Lucida Console" w:hAnsi="Lucida Console"/>
    </w:rPr>
  </w:style>
  <w:style w:type="paragraph" w:customStyle="1" w:styleId="43">
    <w:name w:val="p0"/>
    <w:basedOn w:val="1"/>
    <w:qFormat/>
    <w:uiPriority w:val="0"/>
    <w:pPr>
      <w:widowControl/>
    </w:pPr>
    <w:rPr>
      <w:rFonts w:hint="eastAsia"/>
    </w:rPr>
  </w:style>
  <w:style w:type="paragraph" w:customStyle="1" w:styleId="44">
    <w:name w:val="Wen"/>
    <w:basedOn w:val="1"/>
    <w:qFormat/>
    <w:uiPriority w:val="0"/>
    <w:pPr>
      <w:spacing w:line="360" w:lineRule="auto"/>
    </w:pPr>
    <w:rPr>
      <w:rFonts w:hAnsi="宋体"/>
      <w:sz w:val="24"/>
    </w:rPr>
  </w:style>
  <w:style w:type="paragraph" w:customStyle="1" w:styleId="45">
    <w:name w:val="正文1"/>
    <w:basedOn w:val="1"/>
    <w:qFormat/>
    <w:uiPriority w:val="0"/>
    <w:pPr>
      <w:ind w:firstLine="425"/>
    </w:pPr>
  </w:style>
  <w:style w:type="paragraph" w:customStyle="1" w:styleId="46">
    <w:name w:val="表注"/>
    <w:basedOn w:val="7"/>
    <w:qFormat/>
    <w:uiPriority w:val="0"/>
    <w:rPr>
      <w:rFonts w:eastAsia="黑体"/>
    </w:rPr>
  </w:style>
  <w:style w:type="paragraph" w:customStyle="1" w:styleId="47">
    <w:name w:val="正文2"/>
    <w:basedOn w:val="45"/>
    <w:next w:val="45"/>
    <w:qFormat/>
    <w:uiPriority w:val="0"/>
    <w:rPr>
      <w:rFonts w:ascii="Courier New" w:hAnsi="Courier New"/>
    </w:rPr>
  </w:style>
  <w:style w:type="paragraph" w:customStyle="1" w:styleId="48">
    <w:name w:val="节"/>
    <w:basedOn w:val="1"/>
    <w:next w:val="1"/>
    <w:qFormat/>
    <w:uiPriority w:val="0"/>
    <w:pPr>
      <w:spacing w:before="120"/>
    </w:pPr>
    <w:rPr>
      <w:rFonts w:eastAsia="黑体"/>
    </w:rPr>
  </w:style>
  <w:style w:type="paragraph" w:customStyle="1" w:styleId="49">
    <w:name w:val="表格"/>
    <w:basedOn w:val="45"/>
    <w:qFormat/>
    <w:uiPriority w:val="0"/>
    <w:pPr>
      <w:spacing w:before="80" w:after="80"/>
      <w:ind w:firstLine="0"/>
      <w:jc w:val="left"/>
    </w:pPr>
  </w:style>
  <w:style w:type="paragraph" w:customStyle="1" w:styleId="50">
    <w:name w:val="標準 + SimSun"/>
    <w:basedOn w:val="1"/>
    <w:qFormat/>
    <w:uiPriority w:val="0"/>
    <w:pPr>
      <w:spacing w:line="400" w:lineRule="exact"/>
      <w:ind w:firstLine="420"/>
    </w:pPr>
    <w:rPr>
      <w:rFonts w:ascii="宋体" w:hAnsi="宋体"/>
      <w:sz w:val="24"/>
    </w:rPr>
  </w:style>
  <w:style w:type="paragraph" w:customStyle="1" w:styleId="51">
    <w:name w:val="图注"/>
    <w:basedOn w:val="7"/>
    <w:next w:val="1"/>
    <w:qFormat/>
    <w:uiPriority w:val="0"/>
  </w:style>
  <w:style w:type="paragraph" w:customStyle="1" w:styleId="52">
    <w:name w:val="注释"/>
    <w:basedOn w:val="1"/>
    <w:next w:val="1"/>
    <w:qFormat/>
    <w:uiPriority w:val="0"/>
    <w:pPr>
      <w:spacing w:before="120" w:after="120"/>
    </w:pPr>
    <w:rPr>
      <w:rFonts w:eastAsia="楷体_GB2312"/>
    </w:rPr>
  </w:style>
  <w:style w:type="paragraph" w:customStyle="1" w:styleId="53">
    <w:name w:val="程序"/>
    <w:basedOn w:val="13"/>
    <w:qFormat/>
    <w:uiPriority w:val="0"/>
    <w:pPr>
      <w:spacing w:line="300" w:lineRule="auto"/>
    </w:pPr>
    <w:rPr>
      <w:rFonts w:ascii="Times New Roman" w:hAnsi="Times New Roman"/>
    </w:rPr>
  </w:style>
  <w:style w:type="paragraph" w:customStyle="1" w:styleId="54">
    <w:name w:val="图"/>
    <w:basedOn w:val="7"/>
    <w:next w:val="7"/>
    <w:qFormat/>
    <w:uiPriority w:val="0"/>
  </w:style>
  <w:style w:type="paragraph" w:customStyle="1" w:styleId="55">
    <w:name w:val="Style 样式 样式 样式 样式 样式 正文缩进表正文正文非缩进 + 首行缩进:  2 字符 + 首行缩进:  2 字符 + 首行缩..."/>
    <w:basedOn w:val="1"/>
    <w:qFormat/>
    <w:uiPriority w:val="0"/>
    <w:pPr>
      <w:spacing w:after="156" w:afterLines="50" w:line="300" w:lineRule="auto"/>
      <w:ind w:firstLine="200" w:firstLineChars="200"/>
    </w:pPr>
    <w:rPr>
      <w:rFonts w:hint="eastAsia" w:ascii="Arial" w:hAnsi="Arial"/>
    </w:rPr>
  </w:style>
  <w:style w:type="paragraph" w:customStyle="1" w:styleId="56">
    <w:name w:val="表头"/>
    <w:basedOn w:val="7"/>
    <w:qFormat/>
    <w:uiPriority w:val="0"/>
    <w:pPr>
      <w:spacing w:before="120"/>
      <w:outlineLvl w:val="3"/>
    </w:pPr>
    <w:rPr>
      <w:rFonts w:eastAsia="黑体"/>
    </w:rPr>
  </w:style>
  <w:style w:type="character" w:customStyle="1" w:styleId="57">
    <w:name w:val="apple-style-span"/>
    <w:basedOn w:val="32"/>
    <w:qFormat/>
    <w:uiPriority w:val="0"/>
  </w:style>
  <w:style w:type="character" w:customStyle="1" w:styleId="58">
    <w:name w:val="apple-converted-space"/>
    <w:basedOn w:val="32"/>
    <w:qFormat/>
    <w:uiPriority w:val="0"/>
  </w:style>
  <w:style w:type="character" w:customStyle="1" w:styleId="59">
    <w:name w:val="页眉 字符"/>
    <w:link w:val="20"/>
    <w:qFormat/>
    <w:uiPriority w:val="99"/>
    <w:rPr>
      <w:rFonts w:eastAsia="楷体_GB2312"/>
      <w:kern w:val="2"/>
      <w:sz w:val="18"/>
    </w:rPr>
  </w:style>
  <w:style w:type="character" w:customStyle="1" w:styleId="60">
    <w:name w:val="批注框文本 字符"/>
    <w:link w:val="18"/>
    <w:qFormat/>
    <w:uiPriority w:val="0"/>
    <w:rPr>
      <w:kern w:val="2"/>
      <w:sz w:val="18"/>
      <w:szCs w:val="18"/>
    </w:rPr>
  </w:style>
  <w:style w:type="character" w:customStyle="1" w:styleId="61">
    <w:name w:val="页脚 字符"/>
    <w:basedOn w:val="32"/>
    <w:link w:val="19"/>
    <w:qFormat/>
    <w:uiPriority w:val="99"/>
    <w:rPr>
      <w:kern w:val="2"/>
      <w:sz w:val="18"/>
    </w:rPr>
  </w:style>
  <w:style w:type="paragraph" w:styleId="62">
    <w:name w:val="List Paragraph"/>
    <w:basedOn w:val="1"/>
    <w:qFormat/>
    <w:uiPriority w:val="34"/>
    <w:pPr>
      <w:ind w:firstLine="420" w:firstLineChars="200"/>
    </w:pPr>
  </w:style>
  <w:style w:type="character" w:customStyle="1" w:styleId="63">
    <w:name w:val="Unresolved Mention"/>
    <w:basedOn w:val="3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6F40F-9CC7-42A2-A801-ABD7214FCD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4001</Words>
  <Characters>5443</Characters>
  <Lines>36</Lines>
  <Paragraphs>10</Paragraphs>
  <TotalTime>0</TotalTime>
  <ScaleCrop>false</ScaleCrop>
  <LinksUpToDate>false</LinksUpToDate>
  <CharactersWithSpaces>5950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2021-12-17T00:30:00Z</dcterms:created>
  <dc:creator>数学与统计学院</dc:creator>
  <cp:lastModifiedBy>WPS_1775102907</cp:lastModifiedBy>
  <cp:lastPrinted>2011-07-01T13:36:00Z</cp:lastPrinted>
  <dcterms:modified xsi:type="dcterms:W3CDTF">2026-06-28T02:14:15Z</dcterms:modified>
  <dc:title>数学与统计学院课程设计（实习）报告模板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办公室">
    <vt:lpwstr>科技楼5075</vt:lpwstr>
  </property>
  <property fmtid="{D5CDD505-2E9C-101B-9397-08002B2CF9AE}" pid="3" name="部门">
    <vt:lpwstr>数学与统计学院</vt:lpwstr>
  </property>
  <property fmtid="{D5CDD505-2E9C-101B-9397-08002B2CF9AE}" pid="4" name="KSOTemplateDocerSaveRecord">
    <vt:lpwstr>eyJoZGlkIjoiMTc5YjI4NDU2NjFkMTNjOGZiYjA3ZmMwOWI4NjE2MmMiLCJ1c2VySWQiOiIzNTM0MDk5NDgifQ==</vt:lpwstr>
  </property>
  <property fmtid="{D5CDD505-2E9C-101B-9397-08002B2CF9AE}" pid="5" name="KSOProductBuildVer">
    <vt:lpwstr>2052-12.1.0.18276</vt:lpwstr>
  </property>
  <property fmtid="{D5CDD505-2E9C-101B-9397-08002B2CF9AE}" pid="6" name="ICV">
    <vt:lpwstr>5750F2FF48584C51B3A3257DB24FAF41_12</vt:lpwstr>
  </property>
</Properties>
</file>