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  <w:b/>
          <w:color w:val="000000"/>
          <w:sz w:val="38"/>
        </w:rPr>
        <w:t>小型团队文档整理工具：本地营销学习计划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编制日期：2026年10月25日；材料日期：2026年10月24日。本文为待验证的内部方案，不是投放安排或效果承诺。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一、结论与边界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建议先确认具体整理困难，再校验测量，最后只保留一个情境、一个渠道、一个文案版本。目标是判断需求证据与合规触达是否值得继续研究，不是以小预算承诺销量。产品是虚构的团队内部文档整理工具，唯一已知受众为小型团队；不得补造行业、岗位、人数、市场规模或产品功能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当前预算上限为1200元，覆盖brief.md中3000元旧草案；campaign.csv的1900元是合成历史成本，既非当前预算，也非本任务实际支出，原数不改。本任务仅在本地制作计划，不联网、不外联、不投放、不花费、不对外发布，不创建其他任务或目标。下述实验均未执行，未来启动须另获授权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二、证据与完整核算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观察：输入只有三条合成渠道记录，可加总曝光、点击、线索和成本。渠道不是随机实验，缺同人群、可比时段及增量归因。计算如下，金额为人民币元，CPL为每条线索成本，CTR为点击率。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46"/>
        <w:gridCol w:w="1290"/>
        <w:gridCol w:w="1147"/>
        <w:gridCol w:w="1147"/>
        <w:gridCol w:w="1625"/>
        <w:gridCol w:w="2007"/>
        <w:gridCol w:w="1720"/>
        <w:gridCol w:w="3728"/>
      </w:tblGrid>
      <w:tr>
        <w:trPr>
          <w:cantSplit/>
          <w:tblHeader/>
        </w:trPr>
        <w:tc>
          <w:tcPr>
            <w:tcW w:type="dxa" w:w="2246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渠道</w:t>
            </w:r>
          </w:p>
        </w:tc>
        <w:tc>
          <w:tcPr>
            <w:tcW w:type="dxa" w:w="1290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曝光</w:t>
            </w:r>
          </w:p>
        </w:tc>
        <w:tc>
          <w:tcPr>
            <w:tcW w:type="dxa" w:w="1147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点击</w:t>
            </w:r>
          </w:p>
        </w:tc>
        <w:tc>
          <w:tcPr>
            <w:tcW w:type="dxa" w:w="1147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线索</w:t>
            </w:r>
          </w:p>
        </w:tc>
        <w:tc>
          <w:tcPr>
            <w:tcW w:type="dxa" w:w="1625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成本（元）</w:t>
            </w:r>
          </w:p>
        </w:tc>
        <w:tc>
          <w:tcPr>
            <w:tcW w:type="dxa" w:w="2007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CPL（元/条）</w:t>
            </w:r>
          </w:p>
        </w:tc>
        <w:tc>
          <w:tcPr>
            <w:tcW w:type="dxa" w:w="1720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CTR</w:t>
            </w:r>
          </w:p>
        </w:tc>
        <w:tc>
          <w:tcPr>
            <w:tcW w:type="dxa" w:w="3728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点击到线索率</w:t>
            </w:r>
          </w:p>
        </w:tc>
      </w:tr>
      <w:tr>
        <w:trPr>
          <w:cantSplit/>
        </w:trPr>
        <w:tc>
          <w:tcPr>
            <w:tcW w:type="dxa" w:w="2246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129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1000</w:t>
            </w:r>
          </w:p>
        </w:tc>
        <w:tc>
          <w:tcPr>
            <w:tcW w:type="dxa" w:w="114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14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625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200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20.00</w:t>
            </w:r>
          </w:p>
        </w:tc>
        <w:tc>
          <w:tcPr>
            <w:tcW w:type="dxa" w:w="172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10.00%</w:t>
            </w:r>
          </w:p>
        </w:tc>
        <w:tc>
          <w:tcPr>
            <w:tcW w:type="dxa" w:w="3728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20.00%</w:t>
            </w:r>
          </w:p>
        </w:tc>
      </w:tr>
      <w:tr>
        <w:trPr>
          <w:cantSplit/>
        </w:trPr>
        <w:tc>
          <w:tcPr>
            <w:tcW w:type="dxa" w:w="2246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community</w:t>
            </w:r>
          </w:p>
        </w:tc>
        <w:tc>
          <w:tcPr>
            <w:tcW w:type="dxa" w:w="129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2000</w:t>
            </w:r>
          </w:p>
        </w:tc>
        <w:tc>
          <w:tcPr>
            <w:tcW w:type="dxa" w:w="114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120</w:t>
            </w:r>
          </w:p>
        </w:tc>
        <w:tc>
          <w:tcPr>
            <w:tcW w:type="dxa" w:w="114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625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200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50.00</w:t>
            </w:r>
          </w:p>
        </w:tc>
        <w:tc>
          <w:tcPr>
            <w:tcW w:type="dxa" w:w="172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6.00%</w:t>
            </w:r>
          </w:p>
        </w:tc>
        <w:tc>
          <w:tcPr>
            <w:tcW w:type="dxa" w:w="3728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10.00%</w:t>
            </w:r>
          </w:p>
        </w:tc>
      </w:tr>
      <w:tr>
        <w:trPr>
          <w:cantSplit/>
        </w:trPr>
        <w:tc>
          <w:tcPr>
            <w:tcW w:type="dxa" w:w="2246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search</w:t>
            </w:r>
          </w:p>
        </w:tc>
        <w:tc>
          <w:tcPr>
            <w:tcW w:type="dxa" w:w="129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3000</w:t>
            </w:r>
          </w:p>
        </w:tc>
        <w:tc>
          <w:tcPr>
            <w:tcW w:type="dxa" w:w="114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150</w:t>
            </w:r>
          </w:p>
        </w:tc>
        <w:tc>
          <w:tcPr>
            <w:tcW w:type="dxa" w:w="114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625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900</w:t>
            </w:r>
          </w:p>
        </w:tc>
        <w:tc>
          <w:tcPr>
            <w:tcW w:type="dxa" w:w="200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60.00</w:t>
            </w:r>
          </w:p>
        </w:tc>
        <w:tc>
          <w:tcPr>
            <w:tcW w:type="dxa" w:w="172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5.00%</w:t>
            </w:r>
          </w:p>
        </w:tc>
        <w:tc>
          <w:tcPr>
            <w:tcW w:type="dxa" w:w="3728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10.00%</w:t>
            </w:r>
          </w:p>
        </w:tc>
      </w:tr>
      <w:tr>
        <w:trPr>
          <w:cantSplit/>
        </w:trPr>
        <w:tc>
          <w:tcPr>
            <w:tcW w:type="dxa" w:w="2246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129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6000</w:t>
            </w:r>
          </w:p>
        </w:tc>
        <w:tc>
          <w:tcPr>
            <w:tcW w:type="dxa" w:w="114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370</w:t>
            </w:r>
          </w:p>
        </w:tc>
        <w:tc>
          <w:tcPr>
            <w:tcW w:type="dxa" w:w="114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47</w:t>
            </w:r>
          </w:p>
        </w:tc>
        <w:tc>
          <w:tcPr>
            <w:tcW w:type="dxa" w:w="1625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1900</w:t>
            </w:r>
          </w:p>
        </w:tc>
        <w:tc>
          <w:tcPr>
            <w:tcW w:type="dxa" w:w="2007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40.43</w:t>
            </w:r>
          </w:p>
        </w:tc>
        <w:tc>
          <w:tcPr>
            <w:tcW w:type="dxa" w:w="172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6.17%</w:t>
            </w:r>
          </w:p>
        </w:tc>
        <w:tc>
          <w:tcPr>
            <w:tcW w:type="dxa" w:w="3728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12.70%</w:t>
            </w:r>
          </w:p>
        </w:tc>
      </w:tr>
    </w:tbl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公式：CPL=成本÷线索；CTR=点击÷曝光；点击到线索率=线索÷点击。合计逐列求和，比率分别为1900÷47、370÷6000、47÷370，不能平均渠道比率。使用未舍入值计算，展示两位小数；零分母应记“不适用”。总量不是跨渠道去重人数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推断：email的描述性CPL最低，只支持先检查其可行性，不证明因果优势、可扩展性或未来价格。不能用1200元除以历史CPL预测必得线索。现有漏斗止于线索，质量和付费未知；CPL不是CAC（客户获取成本），当前不能计算真实CAC、LTV（客户终身价值）或ROI（投资回报率）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决策含义：曝光较多不等于需求较强，点击率较高也可能来自不同触达对象或文案条件，现有材料无法区分这些解释。合成记录可用于检查漏斗算术与方案取舍，不能作为真实客户证言、行业基准或预算采购依据。保留三渠道而不删去高成本记录，是为了完整呈现证据，不把选择性报告误作优化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三、受众与内容假设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受众独立分析提出两个可重叠的任务情境，而非已验证画像。A为查找：可能找不到所需内部资料，或不确定哪份可用；候选价值是“让内部资料更容易找到”。B为交接：可能需要重复说明资料位置和用途；候选价值是“让交接更清楚”。使用者、购买决策人和付款人未知，不把三者等同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先问最近30天的具体困难和现有办法，再展示问题文案一次。若不能举出实例，或现有办法已足够，则削弱相应假设；迁移维护负担、习惯和隐私顾虑也可能抵消价值。候选文案分别为“团队资料不好找？”与“交接资料时总要再解释？”，后接自愿需求评估邀请，不宣传已测效率或未确认的搜索、版本管理能力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只准备一套情境文案、虚构资料示例、来源标记和表单草稿。表单说明评估范围及退出方式，不索取真实内部文档。内容与产品负责人核能力和隐私，运营保留版本及修改原因。完整任务可用性对照和付费测试放入后备，不机械叠加为本轮任务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价值验证顺序有意区别于广告转化：一个团队愿意留下线索，不代表它确有反复困难，更不代表愿意付款。筛查应先保留原话及反例，再判断是否值得邀请评估；不能先介绍理想效果，再把赞同回答计作需求。若两情境都缺具体困难，则停止制作渠道内容，比同时更换人群、文案和渠道更能节约学习成本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四、预算闭合与渠道取舍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9"/>
        <w:gridCol w:w="2033"/>
        <w:gridCol w:w="9658"/>
      </w:tblGrid>
      <w:tr>
        <w:trPr>
          <w:cantSplit/>
          <w:tblHeader/>
        </w:trPr>
        <w:tc>
          <w:tcPr>
            <w:tcW w:type="dxa" w:w="3219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用途</w:t>
            </w:r>
          </w:p>
        </w:tc>
        <w:tc>
          <w:tcPr>
            <w:tcW w:type="dxa" w:w="2033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上限（元）</w:t>
            </w:r>
          </w:p>
        </w:tc>
        <w:tc>
          <w:tcPr>
            <w:tcW w:type="dxa" w:w="9658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覆盖范围与决策</w:t>
            </w:r>
          </w:p>
        </w:tc>
      </w:tr>
      <w:tr>
        <w:trPr>
          <w:cantSplit/>
        </w:trPr>
        <w:tc>
          <w:tcPr>
            <w:tcW w:type="dxa" w:w="3219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受众筛查</w:t>
            </w:r>
          </w:p>
        </w:tc>
        <w:tc>
          <w:tcPr>
            <w:tcW w:type="dxa" w:w="2033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9658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设计、反馈整理及复核，先确认需求</w:t>
            </w:r>
          </w:p>
        </w:tc>
      </w:tr>
      <w:tr>
        <w:trPr>
          <w:cantSplit/>
        </w:trPr>
        <w:tc>
          <w:tcPr>
            <w:tcW w:type="dxa" w:w="3219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测量与材料检查</w:t>
            </w:r>
          </w:p>
        </w:tc>
        <w:tc>
          <w:tcPr>
            <w:tcW w:type="dxa" w:w="2033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9658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合成路径、表单及来源口径检查</w:t>
            </w:r>
          </w:p>
        </w:tc>
      </w:tr>
      <w:tr>
        <w:trPr>
          <w:cantSplit/>
        </w:trPr>
        <w:tc>
          <w:tcPr>
            <w:tcW w:type="dxa" w:w="3219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单渠道学习</w:t>
            </w:r>
          </w:p>
        </w:tc>
        <w:tc>
          <w:tcPr>
            <w:tcW w:type="dxa" w:w="2033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9658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email优先；符合条件才互斥替换community</w:t>
            </w:r>
          </w:p>
        </w:tc>
      </w:tr>
      <w:tr>
        <w:trPr>
          <w:cantSplit/>
        </w:trPr>
        <w:tc>
          <w:tcPr>
            <w:tcW w:type="dxa" w:w="3219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未承诺预留</w:t>
            </w:r>
          </w:p>
        </w:tc>
        <w:tc>
          <w:tcPr>
            <w:tcW w:type="dxa" w:w="2033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9658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不自动释放，另批用途并记录重分配</w:t>
            </w:r>
          </w:p>
        </w:tc>
      </w:tr>
      <w:tr>
        <w:trPr>
          <w:cantSplit/>
        </w:trPr>
        <w:tc>
          <w:tcPr>
            <w:tcW w:type="dxa" w:w="3219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2033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1200</w:t>
            </w:r>
          </w:p>
        </w:tc>
        <w:tc>
          <w:tcPr>
            <w:tcW w:type="dxa" w:w="9658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人力、工具、可能激励及其他费用全包</w:t>
            </w:r>
          </w:p>
        </w:tc>
      </w:tr>
    </w:tbl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每桶成本=工时×确认单价或机会成本+其他费用，同一工时不重复计费；实际与已承诺成本共同进入总台账。负责人先登记人员、任务、预计小时和计价，不能默认劳动免费。报价和工时未知，不能声称预算已买得到样本；装不进上限则缩减或停做，不暗加预算。预留重分配须先扣余量再承诺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建议台账逐项记录用途、责任角色、估计与确认金额、承诺状态、实际发生额及剩余额度；预估与实际分别列示，不重复相加。任何变更先说明放弃了什么学习目标，再检查总承诺是否仍在上限内。未使用预算可以保留，不要求花满；若合规样本或最低必要工作无法容纳，停止本身就是有效决策，不以隐去人力或转移费用维持表面闭合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email仅在有合法许可名单且费用可容纳时优先；没有名单先停，不购买名单。未来另获批准、确认社群准入及费用后，可用同一400元桶替换为community，不能同时启动。search本轮0元，是因关键词意图、报价和经济性未知，不是认定其无效。渠道分支旧拆分已由本表取代，不再另叠加社群预算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五、最小学习路径与停止规则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以下样本、时长、门槛和预算分配全是规划假设，非实测、行业基准、统计显著性或盈亏标准。具体负责人未任命；未来须确认授权、自愿合法样本、报价、成本台账及冻结指标，缺一不启动。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015"/>
        <w:gridCol w:w="6015"/>
      </w:tblGrid>
      <w:tr>
        <w:trPr>
          <w:cantSplit/>
          <w:tblHeader/>
        </w:trPr>
        <w:tc>
          <w:tcPr>
            <w:tcW w:type="dxa" w:w="2880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阶段与建议负责人</w:t>
            </w:r>
          </w:p>
        </w:tc>
        <w:tc>
          <w:tcPr>
            <w:tcW w:type="dxa" w:w="6015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暴露及领先指标</w:t>
            </w:r>
          </w:p>
        </w:tc>
        <w:tc>
          <w:tcPr>
            <w:tcW w:type="dxa" w:w="6015"/>
          </w:tcPr>
          <w:p>
            <w:pPr>
              <w:keepNext/>
              <w:spacing w:after="6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候选门槛与停止规则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情境筛查：受众研究，产品复核</w:t>
            </w:r>
          </w:p>
        </w:tc>
        <w:tc>
          <w:tcPr>
            <w:tcW w:type="dxa" w:w="6015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6个不同团队各1份主反馈，A/B各3；能无提示说明具体困难及应对的团队数/计划6份</w:t>
            </w:r>
          </w:p>
        </w:tc>
        <w:tc>
          <w:tcPr>
            <w:tcW w:type="dxa" w:w="6015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至少4/6且各情境至少2/3；第1周或300元先到即停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测量就绪：数据/运营</w:t>
            </w:r>
          </w:p>
        </w:tc>
        <w:tc>
          <w:tcPr>
            <w:tcW w:type="dxa" w:w="6015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20条人工合成路径覆盖来源、重复、缺来源、直接访问和表单；符合预期数/20</w:t>
            </w:r>
          </w:p>
        </w:tc>
        <w:tc>
          <w:tcPr>
            <w:tcW w:type="dxa" w:w="6015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20/20符合；任一失败先修复复测，第1周或200元先到即停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单渠道：营销运营，数据复核</w:t>
            </w:r>
          </w:p>
        </w:tc>
        <w:tc>
          <w:tcPr>
            <w:tcW w:type="dxa" w:w="6015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email最多20个去重团队，按成功送达计暴露；访问、去重线索及合格线索另记</w:t>
            </w:r>
          </w:p>
        </w:tc>
        <w:tc>
          <w:tcPr>
            <w:tcW w:type="dxa" w:w="6015"/>
          </w:tcPr>
          <w:p>
            <w:pPr>
              <w:keepNext w:val="0"/>
              <w:spacing w:after="6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至少2条去重线索且1条合格才人工评议；14天、20团队或400元先到即停</w:t>
            </w:r>
          </w:p>
        </w:tc>
      </w:tr>
    </w:tbl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筛查退出、未完成单列，不剔除美化分母；凑不满6份报实际数。总体通过只允许选择主情境，不证明付费意愿；两者均过时为减少工作量先选A，不宣称A胜出。未达总体门槛时，若只保留一个情境，该情境仍须有自身至少2/3的具体困难证据，并记录样本、反例及保留理由；不得写为总体通过。没有足够自身证据则停止渠道学习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测量通过且存在可保留情境后，第2—3周才考虑单渠道；不因日历到期自动前进。合格线索候选定义为目标小型团队、有具体整理需求、明确自愿继续评估，事前冻结，不事后放宽。达标仅进入人工评议，不自动扩量；未达先诊断触达、价值与表单，不追凑数量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community替代时，以固定标记链接最多20名去重落地访客作暴露，沿用2条线索且1条合格、14天或400元上限；社群成员总数不是样本，分母与email不同，不能直接判胜负。无许可、投诉、隐私暴露或误导承诺立即停。每周核成本和异常，每个关卡记录停止、修订或继续的理由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复盘应把三类失败分开：需求证据不足，返回情境判断；测量失败，先修复记录口径；渠道无有效回应，检查成功送达或真实访问与表单步骤。一次只修订一个主要问题，并说明新一轮需要什么授权和证据。不得因未达门槛而删除退出者、延长窗口直至出现正结果，或把原计划样本改写为已完成样本。即使达到学习门槛，也要保留负反馈与费用限制，下一轮需重新论证，而不是把小样本成功当成扩量许可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六、测量、未知与交付依据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未来漏斗候选为去重团队线索→合格线索→激活→付费，后两级定义由产品负责人另行冻结。新CPL=同期可归属实际成本÷去重线索；合格线索成本用同口径成本÷去重合格线索，同时另报含人力全试点总成本÷合格线索，披露分摊。完整CAC须用同队列同期间全部获客成本÷新增付费客户；缺客户数据不计算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归因候选为7天点击后末次非直接触点，保留首次来源对照，未归因单列，不做浏览归因或增量宣称；7天不是已知购买周期。同团队试点只计一条线索，跨渠道重复标记，历史不回填去重。所有未来结果须报告实际暴露、退出和负反馈，不只呈现达标项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未知包括真实需求频率、行业地域、价格、功能可行性、购买周期、收入留存、可接受CPL、名单许可、社群准入、人员工时及报价。材料已完整，未知不以外查或补造填补；当前只能形成决策方案，不能认定真实市场适配或经济可行。</w:t>
      </w:r>
    </w:p>
    <w:p>
      <w:pPr/>
      <w:r>
        <w:rPr>
          <w:rFonts w:ascii="Microsoft YaHei" w:hAnsi="Microsoft YaHei" w:eastAsia="Microsoft YaHei"/>
          <w:b w:val="0"/>
          <w:color w:val="000000"/>
          <w:sz w:val="22"/>
        </w:rPr>
        <w:t>来源：完整读取原始不可变快照459ac5fe-a23f-5c58-af37-93d2dae6d0ca中的brief.md、campaign.csv；日期均依材料为2026年10月24日。范围、证据、独立受众/渠道分析、汇合策略及独立策略审计依次交接，版本为5、9、15/16、21、25；读取日为2026年10月25日。已采纳审计的单情境保留条件。离线文档方法来自同快照tools/runtime.md及tools/render_docx.py；正文与真实页图仍须独立复核后，才按原包正式交付。</w:t>
      </w:r>
    </w:p>
    <w:sectPr w:rsidR="00FC693F" w:rsidRPr="0006063C" w:rsidSect="00034616">
      <w:pgSz w:w="16838" w:h="11906" w:orient="landscape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