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  <w:b/>
          <w:color w:val="000000"/>
          <w:sz w:val="38"/>
        </w:rPr>
        <w:t>小型团队文档整理工具：本地营销学习计划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编制日期：2026年10月25日；材料日期：2026年10月24日。本文为待验证的内部方案，不是投放安排或效果承诺。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一、结论与边界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建议先确认具体整理困难，再校验测量，最后只保留一个情境、一个渠道、一个文案版本。目标是判断需求证据与合规触达是否值得继续研究，不是以小预算承诺销量。产品是虚构的团队内部文档整理工具，唯一已知受众为小型团队；不得补造行业、岗位、人数、市场规模或产品功能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当前预算上限为1200元，覆盖brief.md中3000元旧草案；campaign.csv的1900元是合成历史成本，既非当前预算，也非本任务实际支出，原数不改。本任务仅在本地制作计划，不联网、不外联、不投放、不花费、不对外发布，不创建其他任务或目标。下述实验均未执行，未来启动须另获授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二、证据与完整核算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观察：输入只有三条合成渠道记录，可加总曝光、点击、线索和成本。渠道不是随机实验，缺同人群、可比时段及增量归因。计算如下，金额为人民币元，CPL为每条线索成本，CTR为点击率。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50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渠道</w:t>
            </w:r>
          </w:p>
        </w:tc>
        <w:tc>
          <w:tcPr>
            <w:tcW w:type="dxa" w:w="8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曝光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点击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线索</w:t>
            </w:r>
          </w:p>
        </w:tc>
        <w:tc>
          <w:tcPr>
            <w:tcW w:type="dxa" w:w="1087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成本（元）</w:t>
            </w:r>
          </w:p>
        </w:tc>
        <w:tc>
          <w:tcPr>
            <w:tcW w:type="dxa" w:w="134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CPL（元/条）</w:t>
            </w:r>
          </w:p>
        </w:tc>
        <w:tc>
          <w:tcPr>
            <w:tcW w:type="dxa" w:w="115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CTR</w:t>
            </w:r>
          </w:p>
        </w:tc>
        <w:tc>
          <w:tcPr>
            <w:tcW w:type="dxa" w:w="249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点击到线索率</w:t>
            </w:r>
          </w:p>
        </w:tc>
      </w:tr>
      <w:tr>
        <w:trPr>
          <w:cantSplit/>
        </w:trPr>
        <w:tc>
          <w:tcPr>
            <w:tcW w:type="dxa" w:w="150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8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087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34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15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10.00%</w:t>
            </w:r>
          </w:p>
        </w:tc>
        <w:tc>
          <w:tcPr>
            <w:tcW w:type="dxa" w:w="249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20.00%</w:t>
            </w:r>
          </w:p>
        </w:tc>
      </w:tr>
      <w:tr>
        <w:trPr>
          <w:cantSplit/>
        </w:trPr>
        <w:tc>
          <w:tcPr>
            <w:tcW w:type="dxa" w:w="150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community</w:t>
            </w:r>
          </w:p>
        </w:tc>
        <w:tc>
          <w:tcPr>
            <w:tcW w:type="dxa" w:w="8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2000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087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600</w:t>
            </w:r>
          </w:p>
        </w:tc>
        <w:tc>
          <w:tcPr>
            <w:tcW w:type="dxa" w:w="134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50.00</w:t>
            </w:r>
          </w:p>
        </w:tc>
        <w:tc>
          <w:tcPr>
            <w:tcW w:type="dxa" w:w="115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249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150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search</w:t>
            </w:r>
          </w:p>
        </w:tc>
        <w:tc>
          <w:tcPr>
            <w:tcW w:type="dxa" w:w="8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3000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087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900</w:t>
            </w:r>
          </w:p>
        </w:tc>
        <w:tc>
          <w:tcPr>
            <w:tcW w:type="dxa" w:w="134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60.00</w:t>
            </w:r>
          </w:p>
        </w:tc>
        <w:tc>
          <w:tcPr>
            <w:tcW w:type="dxa" w:w="115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249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150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8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6000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370</w:t>
            </w:r>
          </w:p>
        </w:tc>
        <w:tc>
          <w:tcPr>
            <w:tcW w:type="dxa" w:w="76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087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1900</w:t>
            </w:r>
          </w:p>
        </w:tc>
        <w:tc>
          <w:tcPr>
            <w:tcW w:type="dxa" w:w="134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40.43</w:t>
            </w:r>
          </w:p>
        </w:tc>
        <w:tc>
          <w:tcPr>
            <w:tcW w:type="dxa" w:w="115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6.17%</w:t>
            </w:r>
          </w:p>
        </w:tc>
        <w:tc>
          <w:tcPr>
            <w:tcW w:type="dxa" w:w="249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12.70%</w:t>
            </w:r>
          </w:p>
        </w:tc>
      </w:tr>
    </w:tbl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公式：CPL=成本÷线索；CTR=点击÷曝光；点击到线索率=线索÷点击。合计逐列求和，比率分别为1900÷47、370÷6000、47÷370，不能平均渠道比率。使用未舍入值计算，展示两位小数；零分母应记“不适用”。总量不是跨渠道去重人数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推断：email的描述性CPL最低，只支持先检查其可行性，不证明因果优势、可扩展性或未来价格。不能用1200元除以历史CPL预测必得线索。现有漏斗止于线索，质量和付费未知；CPL不是CAC（客户获取成本），当前不能计算真实CAC、LTV（客户终身价值）或ROI（投资回报率）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决策含义：曝光较多不等于需求较强，点击率较高也可能来自不同触达对象或文案条件，现有材料无法区分这些解释。合成记录可用于检查漏斗算术与方案取舍，不能作为真实客户证言、行业基准或预算采购依据。保留三渠道而不删去高成本记录，是为了完整呈现证据，不把选择性报告误作优化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三、受众与内容假设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受众独立分析提出两个可重叠的任务情境，而非已验证画像。A为查找：可能找不到所需内部资料，或不确定哪份可用；候选价值是“让内部资料更容易找到”。B为交接：可能需要重复说明资料位置和用途；候选价值是“让交接更清楚”。使用者、购买决策人和付款人未知，不把三者等同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先问最近30天的具体困难和现有办法，再展示问题文案一次。若不能举出实例，或现有办法已足够，则削弱相应假设；迁移维护负担、习惯和隐私顾虑也可能抵消价值。候选文案分别为“团队资料不好找？”与“交接资料时总要再解释？”，后接自愿需求评估邀请，不宣传已测效率或未确认的搜索、版本管理能力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只准备一套情境文案、虚构资料示例、来源标记和表单草稿。表单说明评估范围及退出方式，不索取真实内部文档。内容与产品负责人核能力和隐私，运营保留版本及修改原因。完整任务可用性对照和付费测试放入后备，不机械叠加为本轮任务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价值验证顺序有意区别于广告转化：一个团队愿意留下线索，不代表它确有反复困难，更不代表愿意付款。筛查应先保留原话及反例，再判断是否值得邀请评估；不能先介绍理想效果，再把赞同回答计作需求。若两情境都缺具体困难，则停止制作渠道内容，比同时更换人群、文案和渠道更能节约学习成本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四、预算闭合与渠道取舍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用途</w:t>
            </w:r>
          </w:p>
        </w:tc>
        <w:tc>
          <w:tcPr>
            <w:tcW w:type="dxa" w:w="136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上限（元）</w:t>
            </w:r>
          </w:p>
        </w:tc>
        <w:tc>
          <w:tcPr>
            <w:tcW w:type="dxa" w:w="64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覆盖范围与决策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受众筛查</w:t>
            </w:r>
          </w:p>
        </w:tc>
        <w:tc>
          <w:tcPr>
            <w:tcW w:type="dxa" w:w="136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64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设计、反馈整理及复核，先确认需求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测量与材料检查</w:t>
            </w:r>
          </w:p>
        </w:tc>
        <w:tc>
          <w:tcPr>
            <w:tcW w:type="dxa" w:w="136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4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合成路径、表单及来源口径检查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单渠道学习</w:t>
            </w:r>
          </w:p>
        </w:tc>
        <w:tc>
          <w:tcPr>
            <w:tcW w:type="dxa" w:w="136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4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email优先；符合条件才互斥替换community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未承诺预留</w:t>
            </w:r>
          </w:p>
        </w:tc>
        <w:tc>
          <w:tcPr>
            <w:tcW w:type="dxa" w:w="136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64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不自动释放，另批用途并记录重分配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1361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1200</w:t>
            </w:r>
          </w:p>
        </w:tc>
        <w:tc>
          <w:tcPr>
            <w:tcW w:type="dxa" w:w="6463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人力、工具、可能激励及其他费用全包</w:t>
            </w:r>
          </w:p>
        </w:tc>
      </w:tr>
    </w:tbl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每桶成本=工时×确认单价或机会成本+其他费用，同一工时不重复计费；实际与已承诺成本共同进入总台账。负责人先登记人员、任务、预计小时和计价，不能默认劳动免费。报价和工时未知，不能声称预算已买得到样本；装不进上限则缩减或停做，不暗加预算。预留重分配须先扣余量再承诺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建议台账逐项记录用途、责任角色、估计与确认金额、承诺状态、实际发生额及剩余额度；预估与实际分别列示，不重复相加。任何变更先说明放弃了什么学习目标，再检查总承诺是否仍在上限内。未使用预算可以保留，不要求花满；若合规样本或最低必要工作无法容纳，停止本身就是有效决策，不以隐去人力或转移费用维持表面闭合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email仅在有合法许可名单且费用可容纳时优先；没有名单先停，不购买名单。未来另获批准、确认社群准入及费用后，可用同一400元桶替换为community，不能同时启动。search本轮0元，是因关键词意图、报价和经济性未知，不是认定其无效。渠道分支旧拆分已由本表取代，不再另叠加社群预算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五、最小学习路径与停止规则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以下样本、时长、门槛和预算分配全是规划假设，非实测、行业基准、统计显著性或盈亏标准。具体负责人未任命；未来须确认授权、自愿合法样本、报价、成本台账及冻结指标，缺一不启动。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阶段与建议负责人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暴露及领先指标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候选门槛与停止规则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情境筛查：受众研究，产品复核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6个不同团队各1份主反馈，A/B各3；能无提示说明具体困难及应对的团队数/计划6份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至少4/6且各情境至少2/3；第1周或300元先到即停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测量就绪：数据/运营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20条人工合成路径覆盖来源、重复、缺来源、直接访问和表单；符合预期数/20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20/20符合；任一失败先修复复测，第1周或200元先到即停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单渠道：营销运营，数据复核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email最多20个去重团队，按成功送达计暴露；访问、去重线索及合格线索另记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至少2条去重线索且1条合格才人工评议；14天、20团队或400元先到即停</w:t>
            </w:r>
          </w:p>
        </w:tc>
      </w:tr>
    </w:tbl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筛查退出、未完成单列，不剔除美化分母；凑不满6份报实际数。总体通过只允许选择主情境，不证明付费意愿；两者均过时为减少工作量先选A，不宣称A胜出。未达总体门槛时，若只保留一个情境，该情境仍须有自身至少2/3的具体困难证据，并记录样本、反例及保留理由；不得写为总体通过。没有足够自身证据则停止渠道学习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测量通过且存在可保留情境后，第2—3周才考虑单渠道；不因日历到期自动前进。合格线索候选定义为目标小型团队、有具体整理需求、明确自愿继续评估，事前冻结，不事后放宽。达标仅进入人工评议，不自动扩量；未达先诊断触达、价值与表单，不追凑数量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community替代时，以固定标记链接最多20名去重落地访客作暴露，沿用2条线索且1条合格、14天或400元上限；社群成员总数不是样本，分母与email不同，不能直接判胜负。无许可、投诉、隐私暴露或误导承诺立即停。每周核成本和异常，每个关卡记录停止、修订或继续的理由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复盘应把三类失败分开：需求证据不足，返回情境判断；测量失败，先修复记录口径；渠道无有效回应，检查成功送达或真实访问与表单步骤。一次只修订一个主要问题，并说明新一轮需要什么授权和证据。不得因未达门槛而删除退出者、延长窗口直至出现正结果，或把原计划样本改写为已完成样本。即使达到学习门槛，也要保留负反馈与费用限制，下一轮需重新论证，而不是把小样本成功当成扩量许可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六、测量、未知与交付依据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未来漏斗候选为去重团队线索→合格线索→激活→付费，后两级定义由产品负责人另行冻结。新CPL=同期可归属实际成本÷去重线索；合格线索成本用同口径成本÷去重合格线索，同时另报含人力全试点总成本÷合格线索，披露分摊。完整CAC须用同队列同期间全部获客成本÷新增付费客户；缺客户数据不计算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归因候选为7天点击后末次非直接触点，保留首次来源对照，未归因单列，不做浏览归因或增量宣称；7天不是已知购买周期。同团队试点只计一条线索，跨渠道重复标记，历史不回填去重。所有未来结果须报告实际暴露、退出和负反馈，不只呈现达标项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未知包括真实需求频率、行业地域、价格、功能可行性、购买周期、收入留存、可接受CPL、名单许可、社群准入、人员工时及报价。材料已完整，未知不以外查或补造填补；当前只能形成决策方案，不能认定真实市场适配或经济可行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来源：完整读取原始不可变快照459ac5fe-a23f-5c58-af37-93d2dae6d0ca中的brief.md、campaign.csv；日期均依材料为2026年10月24日。范围、证据、独立受众/渠道分析、汇合策略及独立策略审计依次交接，版本为5、9、15/16、21、25；读取日为2026年10月25日。已采纳审计的单情境保留条件。离线文档方法来自同快照tools/runtime.md及tools/render_docx.py；正文与真实页图仍须独立复核后，才按原包正式交付。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