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64" w:lineRule="auto"/>
      </w:pPr>
      <w:r>
        <w:t>小型团队文档整理工具：本地营销验证计划</w:t>
      </w:r>
    </w:p>
    <w:p>
      <w:pPr>
        <w:spacing w:after="80" w:line="264" w:lineRule="auto"/>
      </w:pPr>
      <w:r>
        <w:t>编制日期：2026-10-25。状态：待独立最终复核；仅为本地方案，不是已执行营销或已测效果。</w:t>
      </w:r>
    </w:p>
    <w:p>
      <w:pPr>
        <w:pStyle w:val="Heading1"/>
        <w:spacing w:after="80" w:line="264" w:lineRule="auto"/>
      </w:pPr>
      <w:r>
        <w:t>一、决策摘要与授权边界</w:t>
      </w:r>
    </w:p>
    <w:p>
      <w:pPr>
        <w:spacing w:after="80" w:line="264" w:lineRule="auto"/>
      </w:pPr>
      <w:r>
        <w:t>建议先核查具体任务，再考虑邮件消息实验；社区和搜索只作串行备选，不同时铺开。产品是虚构的团队内部文档整理工具，唯一已知受众为小型团队。当前目标不是承诺增长，而是在有限资源下判断“是否存在值得继续验证的问题、哪种表述值得复验”。本任务不联网、不外联、不招募、不投放、不购买、不花费、不对外发布，不创建其他任务或目标；实际支出为零。</w:t>
      </w:r>
    </w:p>
    <w:p>
      <w:pPr>
        <w:spacing w:after="80" w:line="264" w:lineRule="auto"/>
      </w:pPr>
      <w:r>
        <w:t>当前预算上限为1200元；brief.md的3000元是已被当前更正取代的旧草案；CSV的1900元是合成历史成本，既非新预算，也不代表本任务超支。三者必须并存说明，不能为适配小预算改写历史。未来执行需另行授权，预算表不构成支出许可。</w:t>
      </w:r>
    </w:p>
    <w:p>
      <w:pPr>
        <w:pStyle w:val="Heading1"/>
        <w:spacing w:after="80" w:line="264" w:lineRule="auto"/>
      </w:pPr>
      <w:r>
        <w:t>二、合成基线与解释限制</w:t>
      </w:r>
    </w:p>
    <w:p>
      <w:pPr>
        <w:spacing w:after="80" w:line="264" w:lineRule="auto"/>
      </w:pPr>
      <w:r>
        <w:t>输入日期为2026-10-24，金额人民币元。以下完整保留campaign.csv三行原值及加总；线索成本（CPL）=成本÷线索，单位元/条。</w:t>
      </w:r>
    </w:p>
    <w:tbl>
      <w:tblPr>
        <w:tblStyle w:val="TableGrid"/>
        <w:tblW w:type="dxa" w:w="14797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381"/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891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渠道</w:t>
            </w:r>
          </w:p>
        </w:tc>
        <w:tc>
          <w:tcPr>
            <w:tcW w:type="dxa" w:w="2381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曝光</w:t>
            </w:r>
          </w:p>
        </w:tc>
        <w:tc>
          <w:tcPr>
            <w:tcW w:type="dxa" w:w="2381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点击</w:t>
            </w:r>
          </w:p>
        </w:tc>
        <w:tc>
          <w:tcPr>
            <w:tcW w:type="dxa" w:w="2381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线索</w:t>
            </w:r>
          </w:p>
        </w:tc>
        <w:tc>
          <w:tcPr>
            <w:tcW w:type="dxa" w:w="2381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成本（元）</w:t>
            </w:r>
          </w:p>
        </w:tc>
        <w:tc>
          <w:tcPr>
            <w:tcW w:type="dxa" w:w="2381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CPL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email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1000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100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20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400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20.00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community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2000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120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12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600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50.00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search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3000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150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15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900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合计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6000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370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47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1900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40.43</w:t>
            </w:r>
          </w:p>
        </w:tc>
      </w:tr>
    </w:tbl>
    <w:p w:rsidR="00000001">
      <w:pPr>
        <w:spacing w:before="0" w:after="0" w:line="20" w:lineRule="exact"/>
      </w:pPr>
    </w:p>
    <w:tbl>
      <w:tblPr>
        <w:tblStyle w:val="TableGrid"/>
        <w:tblW w:type="dxa" w:w="14173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  <w:gridCol w:w="4762"/>
      </w:tblGrid>
      <w:tr>
        <w:trPr>
          <w:cantSplit/>
          <w:tblHeader/>
        </w:trPr>
        <w:tc>
          <w:tcPr>
            <w:tcW w:type="dxa" w:w="4706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渠道</w:t>
            </w:r>
          </w:p>
        </w:tc>
        <w:tc>
          <w:tcPr>
            <w:tcW w:type="dxa" w:w="4706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点击率</w:t>
            </w:r>
          </w:p>
        </w:tc>
        <w:tc>
          <w:tcPr>
            <w:tcW w:type="dxa" w:w="4762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点击至线索率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email</w:t>
            </w:r>
          </w:p>
        </w:tc>
        <w:tc>
          <w:tcPr>
            <w:tcW w:type="dxa" w:w="4706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10.00%</w:t>
            </w:r>
          </w:p>
        </w:tc>
        <w:tc>
          <w:tcPr>
            <w:tcW w:type="dxa" w:w="4762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20.00%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community</w:t>
            </w:r>
          </w:p>
        </w:tc>
        <w:tc>
          <w:tcPr>
            <w:tcW w:type="dxa" w:w="4706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6.00%</w:t>
            </w:r>
          </w:p>
        </w:tc>
        <w:tc>
          <w:tcPr>
            <w:tcW w:type="dxa" w:w="4762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10.00%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search</w:t>
            </w:r>
          </w:p>
        </w:tc>
        <w:tc>
          <w:tcPr>
            <w:tcW w:type="dxa" w:w="4706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5.00%</w:t>
            </w:r>
          </w:p>
        </w:tc>
        <w:tc>
          <w:tcPr>
            <w:tcW w:type="dxa" w:w="4762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10.00%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合计</w:t>
            </w:r>
          </w:p>
        </w:tc>
        <w:tc>
          <w:tcPr>
            <w:tcW w:type="dxa" w:w="4706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6.17%</w:t>
            </w:r>
          </w:p>
        </w:tc>
        <w:tc>
          <w:tcPr>
            <w:tcW w:type="dxa" w:w="4762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12.70%</w:t>
            </w:r>
          </w:p>
        </w:tc>
      </w:tr>
    </w:tbl>
    <w:p>
      <w:pPr>
        <w:spacing w:after="80" w:line="264" w:lineRule="auto"/>
      </w:pPr>
      <w:r>
        <w:t>点击率=点击÷曝光；点击至线索率=线索÷点击。总CPL按1900÷47=40.4255319…计算，不平均三个渠道CPL；所有近似值用原整数计算后末步四舍五入至两位。任何零分母标“不可计算”，不能填零。</w:t>
      </w:r>
    </w:p>
    <w:p>
      <w:pPr>
        <w:spacing w:after="80" w:line="264" w:lineRule="auto"/>
      </w:pPr>
      <w:r>
        <w:t>观察仅是email在表内CPL最低。三行均为合成非随机记录，缺同人群、可比时段及增量归因证据，不能证明渠道因果优势或预测1200元产出。可加总记录不等于跨渠道去重人数，点击至线索率不是购买率。缺成交、收入和队列周期，不计算客户获取成本、生命周期价值或投资回报，也不把历史CPL当经营可接受上限。</w:t>
      </w:r>
    </w:p>
    <w:p>
      <w:pPr>
        <w:pStyle w:val="Heading1"/>
        <w:pageBreakBefore/>
        <w:spacing w:after="80" w:line="264" w:lineRule="auto"/>
      </w:pPr>
      <w:r>
        <w:t>三、受众、供给与内容假设</w:t>
      </w:r>
    </w:p>
    <w:p>
      <w:pPr>
        <w:spacing w:after="80" w:line="264" w:lineRule="auto"/>
      </w:pPr>
      <w:r>
        <w:t>假设H1是小型团队存在查找路径或版本判断不清的任务；H2是交接资料及维护责任不清，二者可能重叠，并非已证实客群。暂先H1，只因任务容易具体描述，不表示市场更大。使用者、维护者和交接组织者只是候选角色，购买审批权未知。整理负担、权限顾虑、现有办法已够用也只作研究问题。</w:t>
      </w:r>
    </w:p>
    <w:p>
      <w:pPr>
        <w:spacing w:after="80" w:line="264" w:lineRule="auto"/>
      </w:pPr>
      <w:r>
        <w:t>候选消息为“找团队资料时，先把查找路径理清”；H2备用为“交接前，先明确要交哪些文档、由谁维护”。供给先限一张任务整理示例或问题卡，按“问题—整理步骤—证据与未知—可选下一步”组织。作者可据此设计邮件短文、获准社区示例和任务词落地页，但不能宣称产品已有搜索、版本识别、权限、自动化或集成功能，不能承诺节时收益或虚构客户证言。未来核实能力且获得授权后，才可邀请自愿反馈具体任务。</w:t>
      </w:r>
    </w:p>
    <w:p>
      <w:pPr>
        <w:pStyle w:val="Heading1"/>
        <w:spacing w:after="80" w:line="264" w:lineRule="auto"/>
      </w:pPr>
      <w:r>
        <w:t>四、资源上限与启动顺序</w:t>
      </w:r>
    </w:p>
    <w:tbl>
      <w:tblPr>
        <w:tblStyle w:val="TableGrid"/>
        <w:tblW w:type="dxa" w:w="14797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835"/>
        <w:gridCol w:w="7427"/>
      </w:tblGrid>
      <w:tr>
        <w:trPr>
          <w:cantSplit/>
          <w:tblHeader/>
        </w:trPr>
        <w:tc>
          <w:tcPr>
            <w:tcW w:type="dxa" w:w="4535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用途</w:t>
            </w:r>
          </w:p>
        </w:tc>
        <w:tc>
          <w:tcPr>
            <w:tcW w:type="dxa" w:w="2835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上限（元）</w:t>
            </w:r>
          </w:p>
        </w:tc>
        <w:tc>
          <w:tcPr>
            <w:tcW w:type="dxa" w:w="7427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启动条件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共用准备与任务核查</w:t>
            </w:r>
          </w:p>
        </w:tc>
        <w:tc>
          <w:tcPr>
            <w:tcW w:type="dxa" w:w="28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200</w:t>
            </w:r>
          </w:p>
        </w:tc>
        <w:tc>
          <w:tcPr>
            <w:tcW w:type="dxa" w:w="7427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许可、测量和问题卡准备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邮件消息实验</w:t>
            </w:r>
          </w:p>
        </w:tc>
        <w:tc>
          <w:tcPr>
            <w:tcW w:type="dxa" w:w="28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250</w:t>
            </w:r>
          </w:p>
        </w:tc>
        <w:tc>
          <w:tcPr>
            <w:tcW w:type="dxa" w:w="7427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任务证据及合法名单齐备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社区备选</w:t>
            </w:r>
          </w:p>
        </w:tc>
        <w:tc>
          <w:tcPr>
            <w:tcW w:type="dxa" w:w="28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250</w:t>
            </w:r>
          </w:p>
        </w:tc>
        <w:tc>
          <w:tcPr>
            <w:tcW w:type="dxa" w:w="7427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前项决策完成且社区获准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搜索备选</w:t>
            </w:r>
          </w:p>
        </w:tc>
        <w:tc>
          <w:tcPr>
            <w:tcW w:type="dxa" w:w="28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300</w:t>
            </w:r>
          </w:p>
        </w:tc>
        <w:tc>
          <w:tcPr>
            <w:tcW w:type="dxa" w:w="7427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需求、词页及费用可控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冻结预留</w:t>
            </w:r>
          </w:p>
        </w:tc>
        <w:tc>
          <w:tcPr>
            <w:tcW w:type="dxa" w:w="28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200</w:t>
            </w:r>
          </w:p>
        </w:tc>
        <w:tc>
          <w:tcPr>
            <w:tcW w:type="dxa" w:w="7427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不自动动用或补样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合计</w:t>
            </w:r>
          </w:p>
        </w:tc>
        <w:tc>
          <w:tcPr>
            <w:tcW w:type="dxa" w:w="2835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1200</w:t>
            </w:r>
          </w:p>
        </w:tc>
        <w:tc>
          <w:tcPr>
            <w:tcW w:type="dxa" w:w="7427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不是报价或花费授权</w:t>
            </w:r>
          </w:p>
        </w:tc>
      </w:tr>
    </w:tbl>
    <w:p>
      <w:pPr>
        <w:spacing w:after="80" w:line="264" w:lineRule="auto"/>
      </w:pPr>
      <w:r>
        <w:t>准备与实验最多1000元，预留200元冻结。每次只激活一个实验，未启用额度不挪用。实际费率、工时和产能未知，应登记内部投入；核价后总资源成本超上限就减范围或暂停，不隐匿成本。无许可名单不冷发、不买名单，也不自动转投社区或搜索。样本不足保留不确定，不加钱追样。</w:t>
      </w:r>
    </w:p>
    <w:p>
      <w:pPr>
        <w:pStyle w:val="Heading1"/>
        <w:pageBreakBefore/>
        <w:spacing w:after="80" w:line="264" w:lineRule="auto"/>
      </w:pPr>
      <w:r>
        <w:t>五、任务核查与邮件实验</w:t>
      </w:r>
    </w:p>
    <w:p>
      <w:pPr>
        <w:spacing w:after="80" w:line="264" w:lineRule="auto"/>
      </w:pPr>
      <w:r>
        <w:t>以下责任均为建议角色，实名、日期和资源尚待确定；样本、周期和阈值均是探索性建议，不是统计功效设计或行业标准。只在未来另行授权后启动。</w:t>
      </w:r>
    </w:p>
    <w:p>
      <w:pPr>
        <w:spacing w:after="80" w:line="264" w:lineRule="auto"/>
      </w:pPr>
      <w:r>
        <w:t>任务核查R：研究角色负责、内容作者记录。分配单位为独立且授权脱敏的近期任务案例，同案例多角色只计一次。建议H1四例、七天，依序核查真实步骤、现有办法、阻碍及消息理解，不作随机总体推断。指标为有具体阻碍案例数÷合格案例数，以及准确复述且无承诺误读案例数÷展示消息案例数。至少两例同时具备问题证据和正确理解，才进入邮件可行性审查；泛泛赞同不算。若H1不支持而有H2案例，再以相同框架单独核查H2，不追加预算。无案例暂停；现有办法已满足、阻碍不在整理或仅有赞同时改写或放弃。任何泄密或承诺误读立即停，禁止收集内部机密。准备与R合计封顶200元。</w:t>
      </w:r>
    </w:p>
    <w:p>
      <w:pPr>
        <w:spacing w:after="80" w:line="264" w:lineRule="auto"/>
      </w:pPr>
      <w:r>
        <w:t>邮件E：营销运营负责，分析角色验数，业务角色盲于版本评质量。假设具体任务描述优于泛化介绍。合法许可唯一收件人按稳定随机标识一比一分A/B；重复者固定版本，仅改描述，落地页和时段保持一致。建议每组100名，以成功送达唯一收件人数计，固定观察14天。</w:t>
      </w:r>
    </w:p>
    <w:tbl>
      <w:tblPr>
        <w:tblStyle w:val="TableGrid"/>
        <w:tblW w:type="dxa" w:w="14797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0828"/>
      </w:tblGrid>
      <w:tr>
        <w:trPr>
          <w:cantSplit/>
          <w:tblHeader/>
        </w:trPr>
        <w:tc>
          <w:tcPr>
            <w:tcW w:type="dxa" w:w="3969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邮件指标</w:t>
            </w:r>
          </w:p>
        </w:tc>
        <w:tc>
          <w:tcPr>
            <w:tcW w:type="dxa" w:w="10828"/>
          </w:tcPr>
          <w:p>
            <w:pPr>
              <w:keepNext/>
              <w:spacing w:after="60" w:before="60"/>
            </w:pPr>
            <w:r>
              <w:rPr>
                <w:sz w:val="21"/>
              </w:rPr>
              <w:t>分子÷分母或判据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送达点击率</w:t>
            </w:r>
          </w:p>
        </w:tc>
        <w:tc>
          <w:tcPr>
            <w:tcW w:type="dxa" w:w="10828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去重点击人数÷成功送达唯一人数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质量率</w:t>
            </w:r>
          </w:p>
        </w:tc>
        <w:tc>
          <w:tcPr>
            <w:tcW w:type="dxa" w:w="10828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合格线索数÷去重落地会话数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候选门槛</w:t>
            </w:r>
          </w:p>
        </w:tc>
        <w:tc>
          <w:tcPr>
            <w:tcW w:type="dxa" w:w="10828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B点击率高至少3个百分点且质量不低于A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退订护栏</w:t>
            </w:r>
          </w:p>
        </w:tc>
        <w:tc>
          <w:tcPr>
            <w:tcW w:type="dxa" w:w="10828"/>
          </w:tcPr>
          <w:p>
            <w:pPr>
              <w:keepNext w:val="0"/>
              <w:spacing w:after="60" w:before="60"/>
            </w:pPr>
            <w:r>
              <w:rPr>
                <w:sz w:val="21"/>
              </w:rPr>
              <w:t>按版本14天累计去重退订人数÷成功送达唯一人数</w:t>
            </w:r>
          </w:p>
        </w:tc>
      </w:tr>
    </w:tbl>
    <w:p>
      <w:pPr>
        <w:spacing w:after="80" w:line="264" w:lineRule="auto"/>
      </w:pPr>
      <w:r>
        <w:t>退订记录同时保留绝对量；零分母不可计算，不得视为安全。任一版本退订率超过1%即停；任一投诉或许可问题立即停，不等比例越线。隐私、追踪异常或费用达250元也停。届期样本不足、任一质量分母为零则不可判达标；不补冷名单。达标只申请复验，不自动扩量；未达标修改消息或停用。未来送达点击率不可与历史曝光点击率混用。</w:t>
      </w:r>
    </w:p>
    <w:p>
      <w:pPr>
        <w:pStyle w:val="Heading1"/>
        <w:pageBreakBefore/>
        <w:spacing w:after="80" w:line="264" w:lineRule="auto"/>
      </w:pPr>
      <w:r>
        <w:t>六、串行备选的实验合同</w:t>
      </w:r>
    </w:p>
    <w:p>
      <w:pPr>
        <w:spacing w:after="80" w:line="264" w:lineRule="auto"/>
      </w:pPr>
      <w:r>
        <w:t>社区C由社区运营负责、分析角色记录。假设具体整理示例优于泛化介绍。四个可比且获版主许可社区齐备才启动，以社区集群随机二比二分A/B，同窗各发一次，社区才是独立分配单位。建议14天、总计至少40个去重落地会话；指标为去重落地会话数÷获准帖子数，质量为合格线索数÷落地会话数。B每帖会话相对A高至少20%且质量不低于A才申请新社区复验；A基线或质量分母为零不可判。只有四群且有群间差异与污染，仅作探索。任一投诉、删帖、成员信息采集、追踪异常或费用达250元即停。条件或样本不足暂停，未达标改示例或停用。</w:t>
      </w:r>
    </w:p>
    <w:p>
      <w:pPr>
        <w:spacing w:after="80" w:line="264" w:lineRule="auto"/>
      </w:pPr>
      <w:r>
        <w:t>搜索S由搜索运营负责，落地页作者与分析角色协作。假设任务词一致标题优于泛化标题。同词组同广告，首次合格唯一落地访客按稳定标识一比一分A/B，重复固定版本。建议每组50名、14天；表单启动率=启动人数÷落地访客数，质量率=合格线索数÷落地访客数。B启动率高至少5个百分点且质量不低于A才申请复验；零分母不可判，不声称广告点击率改善。限定任务词和否定词，日上限30元、累计300元，先到期限或额度即结束。费用、隐私、承诺或追踪异常即停，缺样本不追补，未达标检查词页匹配或停止。当前不启动。</w:t>
      </w:r>
    </w:p>
    <w:p>
      <w:pPr>
        <w:pStyle w:val="Heading1"/>
        <w:pageBreakBefore/>
        <w:spacing w:after="80" w:line="264" w:lineRule="auto"/>
      </w:pPr>
      <w:r>
        <w:t>七、测量、复盘与未知</w:t>
      </w:r>
    </w:p>
    <w:p>
      <w:pPr>
        <w:spacing w:after="80" w:line="264" w:lineRule="auto"/>
      </w:pPr>
      <w:r>
        <w:t>分析角色先用本地模拟事件检查渠道与版本参数、稳定分配、去重及表单链路；模拟只能验证流程，不证明需求。未来建议线索定义为主动提交且同意后续联系的非测试、非重复有效记录，合格标准须业务角色预先书面确定。建议七天操作归因窗，保留原始触点并预先约定末次非直接触点，跨渠道去重不强称增量，不能回填历史。</w:t>
      </w:r>
    </w:p>
    <w:p>
      <w:pPr>
        <w:spacing w:after="80" w:line="264" w:lineRule="auto"/>
      </w:pPr>
      <w:r>
        <w:t>固定期末由研究角色提交正负证据，分析角色提交绝对数、分母、成本和异常，业务决策角色决定暂停、修订或申请复验；期间仅监控安全和成本，不反复挑成功时点。缺基准、方差与功效依据，即使达建议阈值也不宣称显著性、代表性或因果效果。</w:t>
      </w:r>
    </w:p>
    <w:p>
      <w:pPr>
        <w:spacing w:after="80" w:line="264" w:lineRule="auto"/>
      </w:pPr>
      <w:r>
        <w:t>真实需求、功能、价格、市场、竞争者、购买周期、许可名单、社区、搜索需求、费率、产能、线索质量及可接受CPL均未知。材料已完整不等于业务事实齐备；不重复扩写研究或补造事实。这些未知不阻塞本地计划，但会阻塞未来执行。</w:t>
      </w:r>
    </w:p>
    <w:p>
      <w:pPr>
        <w:pStyle w:val="Heading1"/>
        <w:spacing w:after="80" w:line="264" w:lineRule="auto"/>
      </w:pPr>
      <w:r>
        <w:t>八、来源、修正与交付状态</w:t>
      </w:r>
    </w:p>
    <w:p>
      <w:pPr>
        <w:spacing w:after="80" w:line="264" w:lineRule="auto"/>
      </w:pPr>
      <w:r>
        <w:t>原始来源为不可变快照b6c7a53e-2067-5f7e-a19c-1dbb90d0f6df中的brief.md、campaign.csv全文（材料日期2026-10-24）；当前1200元及文件要求来自本任务追加指令。2026-10-25正式阶段证据为范围简报第5版、证据档案第9版、独立受众分析第15版、独立渠道分析第17版、汇合策略第21版和独立审计第25版，均完整读取后使用，未用实时输入替代原资源。</w:t>
      </w:r>
    </w:p>
    <w:p>
      <w:pPr>
        <w:spacing w:after="80" w:line="264" w:lineRule="auto"/>
      </w:pPr>
      <w:r>
        <w:t>本正文已落实审计要求：邮件每组100名明确为成功送达唯一人数；退订率明确为按版本14天累计去重人数口径，零分母不可计算，超过1%停，任一投诉或许可问题立即停。策略审计不是最终文件验收。</w:t>
      </w:r>
    </w:p>
    <w:p>
      <w:pPr>
        <w:spacing w:after="80" w:line="264" w:lineRule="auto"/>
      </w:pPr>
      <w:r>
        <w:t>唯一规范正文为outputs/growth-plan.md，同正文纵向Word为outputs/growth-plan.docx；本地包镜像不作为额外正式业务文件。不生成HTML；内部PDF及页图只用于验收。本轮提交待审材料，作者自检及逐页查看后仍须独立角色复核确切正文与全部真实页图，通过后才正式发布计划及同正文阅读文档。</w:t>
      </w:r>
    </w:p>
    <w:sectPr w:rsidR="00FC693F" w:rsidRPr="0006063C" w:rsidSect="00034616">
      <w:pgSz w:w="16838" w:h="11906" w:orient="landscape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