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0D6FB5" w:rsidRDefault="000D6FB5" w:rsidP="000D6FB5">
      <w:pPr>
        <w:jc w:val="center"/>
        <w:rPr>
          <w:rFonts w:hint="eastAsia"/>
          <w:b/>
          <w:spacing w:val="-9"/>
          <w:sz w:val="31"/>
          <w:szCs w:val="31"/>
        </w:rPr>
      </w:pPr>
      <w:r w:rsidRPr="000D6FB5">
        <w:rPr>
          <w:rFonts w:hint="eastAsia"/>
          <w:b/>
          <w:spacing w:val="-9"/>
          <w:sz w:val="31"/>
          <w:szCs w:val="31"/>
        </w:rPr>
        <w:t>5G 공사인건비, LTE 대비 50% 상</w:t>
      </w:r>
      <w:bookmarkStart w:id="0" w:name="_GoBack"/>
      <w:bookmarkEnd w:id="0"/>
      <w:r w:rsidRPr="000D6FB5">
        <w:rPr>
          <w:rFonts w:hint="eastAsia"/>
          <w:b/>
          <w:spacing w:val="-9"/>
          <w:sz w:val="31"/>
          <w:szCs w:val="31"/>
        </w:rPr>
        <w:t>승···설비투자(CAPEX) 변수 부상</w:t>
      </w:r>
    </w:p>
    <w:p w:rsidR="000D6FB5" w:rsidRDefault="000D6FB5">
      <w:pPr>
        <w:rPr>
          <w:rFonts w:hint="eastAsia"/>
        </w:rPr>
      </w:pPr>
      <w:r>
        <w:rPr>
          <w:rFonts w:hint="eastAsia"/>
        </w:rPr>
        <w:t>2018.07.19</w:t>
      </w:r>
    </w:p>
    <w:p w:rsidR="000D6FB5" w:rsidRDefault="000D6FB5">
      <w:pPr>
        <w:rPr>
          <w:rFonts w:hint="eastAsia"/>
        </w:rPr>
      </w:pPr>
      <w:hyperlink r:id="rId5" w:history="1">
        <w:r w:rsidRPr="00223EA3">
          <w:rPr>
            <w:rStyle w:val="a3"/>
            <w:sz w:val="20"/>
            <w:szCs w:val="22"/>
          </w:rPr>
          <w:t>http://www.etnews.com/20180722000045</w:t>
        </w:r>
      </w:hyperlink>
    </w:p>
    <w:p w:rsidR="000D6FB5" w:rsidRPr="000D6FB5" w:rsidRDefault="000D6FB5" w:rsidP="000D6FB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998845" cy="5278755"/>
            <wp:effectExtent l="0" t="0" r="1905" b="0"/>
            <wp:docPr id="4" name="그림 4" descr="ⓒ게티이미지뱅크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ⓒ게티이미지뱅크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t>&lt;ⓒ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게티이미지뱅크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&gt;</w:t>
      </w:r>
    </w:p>
    <w:p w:rsidR="000D6FB5" w:rsidRPr="000D6FB5" w:rsidRDefault="000D6FB5" w:rsidP="000D6FB5">
      <w:pPr>
        <w:widowControl/>
        <w:wordWrap/>
        <w:autoSpaceDE/>
        <w:autoSpaceDN/>
        <w:spacing w:after="0" w:line="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45415" cy="145415"/>
            <wp:effectExtent l="0" t="0" r="6985" b="6985"/>
            <wp:docPr id="3" name="그림 3" descr="http://js.hnscom.com/etc/hns/black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s.hnscom.com/etc/hns/black_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5" w:rsidRPr="000D6FB5" w:rsidRDefault="000D6FB5" w:rsidP="000D6FB5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5세대(5G) 이동통신 망 구축에 투입되는 전문인력 인건비가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롱텀에벌루션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(</w:t>
      </w:r>
      <w:hyperlink r:id="rId9" w:history="1">
        <w:r w:rsidRPr="000D6FB5">
          <w:rPr>
            <w:rFonts w:ascii="굴림" w:eastAsia="굴림" w:hAnsi="굴림" w:cs="굴림" w:hint="eastAsia"/>
            <w:color w:val="222222"/>
            <w:kern w:val="0"/>
            <w:sz w:val="24"/>
            <w:szCs w:val="24"/>
          </w:rPr>
          <w:t>LTE</w:t>
        </w:r>
      </w:hyperlink>
      <w:r w:rsidRPr="000D6FB5">
        <w:rPr>
          <w:rFonts w:ascii="굴림" w:eastAsia="굴림" w:hAnsi="굴림" w:cs="굴림" w:hint="eastAsia"/>
          <w:vanish/>
          <w:kern w:val="0"/>
          <w:sz w:val="24"/>
          <w:szCs w:val="24"/>
        </w:rPr>
        <w:t>48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)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전국망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완료 시점 대비 50% 상승한 것으로 나타났다. 이동통신 서비스 사업자 5G 설비투자(CAPEX)에 부담으로 작용할 전망이다.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 xml:space="preserve">대한건설협회가 공표한 2018년 상반기 정보통신공사 부문 노임단가 평균은 24만1005원이다. LTE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전국망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구축이 완료된 2012년 15만9996만원보다 50.6% 상승했다. 하반기 노임단가 상승이 예상되는 만큼 3분기 이후 본격화될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이통사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5G CAPEX 비용 증가가 불가피할 것으로 보인다.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br/>
        <w:t xml:space="preserve">5G는 안테나와 기지국 등을 LTE보다 조밀하게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구축해야하는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만큼 정보통신공사 인력이 늘 수밖에 없고, 인건비 증가로 전체 투자비용 상승으로 이어진다.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>통신장비업계 관계자는 “LTE 구축 당시 통신장비 구매를 제외한 공사비(인건비와 일부 재료비 등 포함)는 CAPEX의 20~30% 수준이었다”고 말했다. 하지만 인건비 상승으로 정보통신공사별 공사비 비중이 40% 이상까지 치솟았다고 덧붙였다.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 xml:space="preserve">정보통신공사 부문 인건비 상승은 전문성에서 비롯됐다. 정보통신 공사에는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통신내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·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외선공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통신설비공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통신케이블공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무선안테나공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, 통신관련기사 등 11개 직종 전문가가 투입된다.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>기술과 경험이 필요해 인건비가 높다. 이 뿐만 아니라 고급 인력 부족도 인건비 상승을 가속화하고 있다.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이통사는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5G 장비 소형화·경량화를 통해 투입 인력을 줄이는 대안을 모색하고 있지만, 근본적 대책이 될 수 없다는 사실에 고심하고 있다.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>정보통신공사업계 관계자는 “장비 경량·소형화로 투입 인력을 일부 줄일 수 있지만 전체 5G 망 구축 사업으로 보면 효과는 미미할 것”이라고 내다봤다.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 xml:space="preserve">투입 인력 증가와 인건비 상승이라는 이중악재에 봉착한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이통사는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5G CAPEX 절감을 위한 묘수를 모색하고 있다.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이통사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관계자는 “기존 설비를 최대한 활용하는 방법을 고민하고 있다”고 말했다.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 xml:space="preserve">이와 함께 필수설비 등 주요 시설 공동 활용도 늘릴 전망이다.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관로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·맨홀 등 유선 설비와 안테나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거치대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등 무선 설비를 공동 활용하면 신규 설비 구축이 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필요없어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인건비를 절감할 수 있을 것으로 기대하고 있다. </w:t>
      </w:r>
    </w:p>
    <w:p w:rsidR="000D6FB5" w:rsidRPr="000D6FB5" w:rsidRDefault="000D6FB5" w:rsidP="000D6FB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599940" cy="6899275"/>
            <wp:effectExtent l="0" t="0" r="0" b="0"/>
            <wp:docPr id="2" name="그림 2" descr="ⓒ게티이미지뱅크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ⓒ게티이미지뱅크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t>&lt;ⓒ</w:t>
      </w:r>
      <w:proofErr w:type="spell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게티이미지뱅크</w:t>
      </w:r>
      <w:proofErr w:type="spell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&gt;</w:t>
      </w:r>
    </w:p>
    <w:p w:rsidR="000D6FB5" w:rsidRPr="000D6FB5" w:rsidRDefault="000D6FB5" w:rsidP="000D6F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>〈표〉정보통신공사 노임단가 상승 추이 </w:t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</w:r>
      <w:r w:rsidRPr="000D6FB5">
        <w:rPr>
          <w:rFonts w:ascii="굴림" w:eastAsia="굴림" w:hAnsi="굴림" w:cs="굴림" w:hint="eastAsia"/>
          <w:kern w:val="0"/>
          <w:sz w:val="24"/>
          <w:szCs w:val="24"/>
        </w:rPr>
        <w:br/>
        <w:t>(</w:t>
      </w:r>
      <w:proofErr w:type="gramStart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>자료 :</w:t>
      </w:r>
      <w:proofErr w:type="gramEnd"/>
      <w:r w:rsidRPr="000D6FB5">
        <w:rPr>
          <w:rFonts w:ascii="굴림" w:eastAsia="굴림" w:hAnsi="굴림" w:cs="굴림" w:hint="eastAsia"/>
          <w:kern w:val="0"/>
          <w:sz w:val="24"/>
          <w:szCs w:val="24"/>
        </w:rPr>
        <w:t xml:space="preserve"> 대한건설협회) </w:t>
      </w:r>
    </w:p>
    <w:p w:rsidR="000D6FB5" w:rsidRPr="000D6FB5" w:rsidRDefault="000D6FB5" w:rsidP="000D6FB5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36845" cy="3096260"/>
            <wp:effectExtent l="0" t="0" r="1905" b="8890"/>
            <wp:docPr id="1" name="그림 1" descr="5G 공사인건비, LTE 대비 50% 상승···설비투자(CAPEX) 변수 부상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G 공사인건비, LTE 대비 50% 상승···설비투자(CAPEX) 변수 부상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5" w:rsidRDefault="000D6FB5"/>
    <w:sectPr w:rsidR="000D6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B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D6FB5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FB5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a4">
    <w:name w:val="Normal (Web)"/>
    <w:basedOn w:val="a"/>
    <w:uiPriority w:val="99"/>
    <w:semiHidden/>
    <w:unhideWhenUsed/>
    <w:rsid w:val="000D6F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ictword">
    <w:name w:val="a_ict_word"/>
    <w:basedOn w:val="a0"/>
    <w:rsid w:val="000D6FB5"/>
  </w:style>
  <w:style w:type="paragraph" w:styleId="a5">
    <w:name w:val="Balloon Text"/>
    <w:basedOn w:val="a"/>
    <w:link w:val="Char"/>
    <w:uiPriority w:val="99"/>
    <w:semiHidden/>
    <w:unhideWhenUsed/>
    <w:rsid w:val="000D6F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6F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0D6FB5"/>
  </w:style>
  <w:style w:type="character" w:customStyle="1" w:styleId="Char0">
    <w:name w:val="날짜 Char"/>
    <w:basedOn w:val="a0"/>
    <w:link w:val="a6"/>
    <w:uiPriority w:val="99"/>
    <w:semiHidden/>
    <w:rsid w:val="000D6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FB5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a4">
    <w:name w:val="Normal (Web)"/>
    <w:basedOn w:val="a"/>
    <w:uiPriority w:val="99"/>
    <w:semiHidden/>
    <w:unhideWhenUsed/>
    <w:rsid w:val="000D6F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ictword">
    <w:name w:val="a_ict_word"/>
    <w:basedOn w:val="a0"/>
    <w:rsid w:val="000D6FB5"/>
  </w:style>
  <w:style w:type="paragraph" w:styleId="a5">
    <w:name w:val="Balloon Text"/>
    <w:basedOn w:val="a"/>
    <w:link w:val="Char"/>
    <w:uiPriority w:val="99"/>
    <w:semiHidden/>
    <w:unhideWhenUsed/>
    <w:rsid w:val="000D6F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6F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0D6FB5"/>
  </w:style>
  <w:style w:type="character" w:customStyle="1" w:styleId="Char0">
    <w:name w:val="날짜 Char"/>
    <w:basedOn w:val="a0"/>
    <w:link w:val="a6"/>
    <w:uiPriority w:val="99"/>
    <w:semiHidden/>
    <w:rsid w:val="000D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5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7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mg.etnews.com/photonews/1807/1092930_20180722135309_103_T0001_550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mg.etnews.com/photonews/1807/1092930_20180722135309_103_000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etnews.com/2018072200004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mg.etnews.com/photonews/1807/1092930_20180722135309_103_000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2018-12-09T12:19:00Z</dcterms:created>
  <dcterms:modified xsi:type="dcterms:W3CDTF">2018-12-09T12:21:00Z</dcterms:modified>
</cp:coreProperties>
</file>