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9223" w14:textId="597545FA" w:rsidR="00000000" w:rsidRDefault="00E73DFC">
      <w:pPr>
        <w:keepNext/>
        <w:widowControl w:val="0"/>
        <w:autoSpaceDE w:val="0"/>
        <w:autoSpaceDN w:val="0"/>
        <w:adjustRightInd w:val="0"/>
        <w:spacing w:after="0" w:line="240" w:lineRule="auto"/>
        <w:rPr>
          <w:rFonts w:ascii="Times New Roman" w:hAnsi="Times New Roman" w:cs="Times New Roman"/>
          <w:kern w:val="0"/>
        </w:rPr>
      </w:pPr>
      <w:r w:rsidRPr="00E73DFC">
        <w:rPr>
          <w:rFonts w:ascii="Times New Roman" w:hAnsi="Times New Roman" w:cs="Times New Roman"/>
          <w:b/>
          <w:bCs/>
          <w:kern w:val="0"/>
        </w:rPr>
        <w:t>Table 1.</w:t>
      </w:r>
      <w:r>
        <w:rPr>
          <w:rFonts w:ascii="Times New Roman" w:hAnsi="Times New Roman" w:cs="Times New Roman"/>
          <w:kern w:val="0"/>
        </w:rPr>
        <w:t xml:space="preserve"> </w:t>
      </w:r>
      <w:r w:rsidR="00000000">
        <w:rPr>
          <w:rFonts w:ascii="Times New Roman" w:hAnsi="Times New Roman" w:cs="Times New Roman"/>
          <w:kern w:val="0"/>
        </w:rPr>
        <w:t>Balance Table: Ranked vs. Not Ranked Colleges</w:t>
      </w:r>
    </w:p>
    <w:tbl>
      <w:tblPr>
        <w:tblW w:w="0" w:type="auto"/>
        <w:tblLayout w:type="fixed"/>
        <w:tblLook w:val="0000" w:firstRow="0" w:lastRow="0" w:firstColumn="0" w:lastColumn="0" w:noHBand="0" w:noVBand="0"/>
      </w:tblPr>
      <w:tblGrid>
        <w:gridCol w:w="2136"/>
        <w:gridCol w:w="1296"/>
        <w:gridCol w:w="1296"/>
        <w:gridCol w:w="1656"/>
        <w:gridCol w:w="1296"/>
        <w:gridCol w:w="1296"/>
      </w:tblGrid>
      <w:tr w:rsidR="00000000" w14:paraId="33E2AF9C" w14:textId="77777777">
        <w:tblPrEx>
          <w:tblCellMar>
            <w:top w:w="0" w:type="dxa"/>
            <w:bottom w:w="0" w:type="dxa"/>
          </w:tblCellMar>
        </w:tblPrEx>
        <w:tc>
          <w:tcPr>
            <w:tcW w:w="2136" w:type="dxa"/>
            <w:tcBorders>
              <w:top w:val="single" w:sz="4" w:space="0" w:color="auto"/>
              <w:left w:val="nil"/>
              <w:bottom w:val="nil"/>
              <w:right w:val="nil"/>
            </w:tcBorders>
          </w:tcPr>
          <w:p w14:paraId="2B6CF79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296" w:type="dxa"/>
            <w:tcBorders>
              <w:top w:val="single" w:sz="4" w:space="0" w:color="auto"/>
              <w:left w:val="nil"/>
              <w:bottom w:val="nil"/>
              <w:right w:val="nil"/>
            </w:tcBorders>
          </w:tcPr>
          <w:p w14:paraId="0E645D5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1296" w:type="dxa"/>
            <w:tcBorders>
              <w:top w:val="single" w:sz="4" w:space="0" w:color="auto"/>
              <w:left w:val="nil"/>
              <w:bottom w:val="nil"/>
              <w:right w:val="nil"/>
            </w:tcBorders>
          </w:tcPr>
          <w:p w14:paraId="3B5E810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1656" w:type="dxa"/>
            <w:tcBorders>
              <w:top w:val="single" w:sz="4" w:space="0" w:color="auto"/>
              <w:left w:val="nil"/>
              <w:bottom w:val="nil"/>
              <w:right w:val="nil"/>
            </w:tcBorders>
          </w:tcPr>
          <w:p w14:paraId="33885431"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1296" w:type="dxa"/>
            <w:tcBorders>
              <w:top w:val="single" w:sz="4" w:space="0" w:color="auto"/>
              <w:left w:val="nil"/>
              <w:bottom w:val="nil"/>
              <w:right w:val="nil"/>
            </w:tcBorders>
          </w:tcPr>
          <w:p w14:paraId="10129832"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1296" w:type="dxa"/>
            <w:tcBorders>
              <w:top w:val="single" w:sz="4" w:space="0" w:color="auto"/>
              <w:left w:val="nil"/>
              <w:bottom w:val="nil"/>
              <w:right w:val="nil"/>
            </w:tcBorders>
          </w:tcPr>
          <w:p w14:paraId="3465791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r>
      <w:tr w:rsidR="00000000" w14:paraId="5888E9EC" w14:textId="77777777">
        <w:tblPrEx>
          <w:tblCellMar>
            <w:top w:w="0" w:type="dxa"/>
            <w:bottom w:w="0" w:type="dxa"/>
          </w:tblCellMar>
        </w:tblPrEx>
        <w:tc>
          <w:tcPr>
            <w:tcW w:w="2136" w:type="dxa"/>
            <w:tcBorders>
              <w:top w:val="nil"/>
              <w:left w:val="nil"/>
              <w:bottom w:val="nil"/>
              <w:right w:val="nil"/>
            </w:tcBorders>
          </w:tcPr>
          <w:p w14:paraId="1A77C8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296" w:type="dxa"/>
            <w:tcBorders>
              <w:top w:val="nil"/>
              <w:left w:val="nil"/>
              <w:bottom w:val="nil"/>
              <w:right w:val="nil"/>
            </w:tcBorders>
          </w:tcPr>
          <w:p w14:paraId="0044F59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Ranked Mean</w:t>
            </w:r>
          </w:p>
        </w:tc>
        <w:tc>
          <w:tcPr>
            <w:tcW w:w="1296" w:type="dxa"/>
            <w:tcBorders>
              <w:top w:val="nil"/>
              <w:left w:val="nil"/>
              <w:bottom w:val="nil"/>
              <w:right w:val="nil"/>
            </w:tcBorders>
          </w:tcPr>
          <w:p w14:paraId="708DD79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Unranked Mean</w:t>
            </w:r>
          </w:p>
        </w:tc>
        <w:tc>
          <w:tcPr>
            <w:tcW w:w="1656" w:type="dxa"/>
            <w:tcBorders>
              <w:top w:val="nil"/>
              <w:left w:val="nil"/>
              <w:bottom w:val="nil"/>
              <w:right w:val="nil"/>
            </w:tcBorders>
          </w:tcPr>
          <w:p w14:paraId="0C950891"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Difference</w:t>
            </w:r>
          </w:p>
        </w:tc>
        <w:tc>
          <w:tcPr>
            <w:tcW w:w="1296" w:type="dxa"/>
            <w:tcBorders>
              <w:top w:val="nil"/>
              <w:left w:val="nil"/>
              <w:bottom w:val="nil"/>
              <w:right w:val="nil"/>
            </w:tcBorders>
          </w:tcPr>
          <w:p w14:paraId="4C764777"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Std. Error</w:t>
            </w:r>
          </w:p>
        </w:tc>
        <w:tc>
          <w:tcPr>
            <w:tcW w:w="1296" w:type="dxa"/>
            <w:tcBorders>
              <w:top w:val="nil"/>
              <w:left w:val="nil"/>
              <w:bottom w:val="nil"/>
              <w:right w:val="nil"/>
            </w:tcBorders>
          </w:tcPr>
          <w:p w14:paraId="70A0812F"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p-value</w:t>
            </w:r>
          </w:p>
        </w:tc>
      </w:tr>
      <w:tr w:rsidR="00000000" w14:paraId="4DC6C0B1" w14:textId="77777777">
        <w:tblPrEx>
          <w:tblCellMar>
            <w:top w:w="0" w:type="dxa"/>
            <w:bottom w:w="0" w:type="dxa"/>
          </w:tblCellMar>
        </w:tblPrEx>
        <w:tc>
          <w:tcPr>
            <w:tcW w:w="2136" w:type="dxa"/>
            <w:tcBorders>
              <w:top w:val="single" w:sz="4" w:space="0" w:color="auto"/>
              <w:left w:val="nil"/>
              <w:bottom w:val="nil"/>
              <w:right w:val="nil"/>
            </w:tcBorders>
          </w:tcPr>
          <w:p w14:paraId="1782FAB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Academic.Quality</w:t>
            </w:r>
            <w:proofErr w:type="spellEnd"/>
          </w:p>
        </w:tc>
        <w:tc>
          <w:tcPr>
            <w:tcW w:w="1296" w:type="dxa"/>
            <w:tcBorders>
              <w:top w:val="single" w:sz="4" w:space="0" w:color="auto"/>
              <w:left w:val="nil"/>
              <w:bottom w:val="nil"/>
              <w:right w:val="nil"/>
            </w:tcBorders>
          </w:tcPr>
          <w:p w14:paraId="16D85117"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0.515</w:t>
            </w:r>
          </w:p>
        </w:tc>
        <w:tc>
          <w:tcPr>
            <w:tcW w:w="1296" w:type="dxa"/>
            <w:tcBorders>
              <w:top w:val="single" w:sz="4" w:space="0" w:color="auto"/>
              <w:left w:val="nil"/>
              <w:bottom w:val="nil"/>
              <w:right w:val="nil"/>
            </w:tcBorders>
          </w:tcPr>
          <w:p w14:paraId="03AB8B58"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0.466</w:t>
            </w:r>
          </w:p>
        </w:tc>
        <w:tc>
          <w:tcPr>
            <w:tcW w:w="1656" w:type="dxa"/>
            <w:tcBorders>
              <w:top w:val="single" w:sz="4" w:space="0" w:color="auto"/>
              <w:left w:val="nil"/>
              <w:bottom w:val="nil"/>
              <w:right w:val="nil"/>
            </w:tcBorders>
          </w:tcPr>
          <w:p w14:paraId="670D53FB"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0.049</w:t>
            </w:r>
          </w:p>
        </w:tc>
        <w:tc>
          <w:tcPr>
            <w:tcW w:w="1296" w:type="dxa"/>
            <w:tcBorders>
              <w:top w:val="single" w:sz="4" w:space="0" w:color="auto"/>
              <w:left w:val="nil"/>
              <w:bottom w:val="nil"/>
              <w:right w:val="nil"/>
            </w:tcBorders>
          </w:tcPr>
          <w:p w14:paraId="055BBA0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0.058</w:t>
            </w:r>
          </w:p>
        </w:tc>
        <w:tc>
          <w:tcPr>
            <w:tcW w:w="1296" w:type="dxa"/>
            <w:tcBorders>
              <w:top w:val="single" w:sz="4" w:space="0" w:color="auto"/>
              <w:left w:val="nil"/>
              <w:bottom w:val="nil"/>
              <w:right w:val="nil"/>
            </w:tcBorders>
          </w:tcPr>
          <w:p w14:paraId="2AFD2D7C"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0.401</w:t>
            </w:r>
          </w:p>
        </w:tc>
      </w:tr>
      <w:tr w:rsidR="00000000" w14:paraId="398CC769" w14:textId="77777777">
        <w:tblPrEx>
          <w:tblCellMar>
            <w:top w:w="0" w:type="dxa"/>
            <w:bottom w:w="0" w:type="dxa"/>
          </w:tblCellMar>
        </w:tblPrEx>
        <w:tc>
          <w:tcPr>
            <w:tcW w:w="2136" w:type="dxa"/>
            <w:tcBorders>
              <w:top w:val="nil"/>
              <w:left w:val="nil"/>
              <w:bottom w:val="nil"/>
              <w:right w:val="nil"/>
            </w:tcBorders>
          </w:tcPr>
          <w:p w14:paraId="5CDB2D8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roofErr w:type="spellStart"/>
            <w:r>
              <w:rPr>
                <w:rFonts w:ascii="Times New Roman" w:hAnsi="Times New Roman" w:cs="Times New Roman"/>
                <w:kern w:val="0"/>
              </w:rPr>
              <w:t>Athletic.Quality</w:t>
            </w:r>
            <w:proofErr w:type="spellEnd"/>
          </w:p>
        </w:tc>
        <w:tc>
          <w:tcPr>
            <w:tcW w:w="1296" w:type="dxa"/>
            <w:tcBorders>
              <w:top w:val="nil"/>
              <w:left w:val="nil"/>
              <w:bottom w:val="nil"/>
              <w:right w:val="nil"/>
            </w:tcBorders>
          </w:tcPr>
          <w:p w14:paraId="5F6F5F9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0.424</w:t>
            </w:r>
          </w:p>
        </w:tc>
        <w:tc>
          <w:tcPr>
            <w:tcW w:w="1296" w:type="dxa"/>
            <w:tcBorders>
              <w:top w:val="nil"/>
              <w:left w:val="nil"/>
              <w:bottom w:val="nil"/>
              <w:right w:val="nil"/>
            </w:tcBorders>
          </w:tcPr>
          <w:p w14:paraId="4EB36791"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0.551</w:t>
            </w:r>
          </w:p>
        </w:tc>
        <w:tc>
          <w:tcPr>
            <w:tcW w:w="1656" w:type="dxa"/>
            <w:tcBorders>
              <w:top w:val="nil"/>
              <w:left w:val="nil"/>
              <w:bottom w:val="nil"/>
              <w:right w:val="nil"/>
            </w:tcBorders>
          </w:tcPr>
          <w:p w14:paraId="5399109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-0.127**</w:t>
            </w:r>
          </w:p>
        </w:tc>
        <w:tc>
          <w:tcPr>
            <w:tcW w:w="1296" w:type="dxa"/>
            <w:tcBorders>
              <w:top w:val="nil"/>
              <w:left w:val="nil"/>
              <w:bottom w:val="nil"/>
              <w:right w:val="nil"/>
            </w:tcBorders>
          </w:tcPr>
          <w:p w14:paraId="321E9F2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0.056</w:t>
            </w:r>
          </w:p>
        </w:tc>
        <w:tc>
          <w:tcPr>
            <w:tcW w:w="1296" w:type="dxa"/>
            <w:tcBorders>
              <w:top w:val="nil"/>
              <w:left w:val="nil"/>
              <w:bottom w:val="nil"/>
              <w:right w:val="nil"/>
            </w:tcBorders>
          </w:tcPr>
          <w:p w14:paraId="5BCBEE9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0.025</w:t>
            </w:r>
          </w:p>
        </w:tc>
      </w:tr>
      <w:tr w:rsidR="00000000" w14:paraId="5D09A960" w14:textId="77777777">
        <w:tblPrEx>
          <w:tblCellMar>
            <w:top w:w="0" w:type="dxa"/>
            <w:bottom w:w="0" w:type="dxa"/>
          </w:tblCellMar>
        </w:tblPrEx>
        <w:tc>
          <w:tcPr>
            <w:tcW w:w="2136" w:type="dxa"/>
            <w:tcBorders>
              <w:top w:val="nil"/>
              <w:left w:val="nil"/>
              <w:bottom w:val="single" w:sz="4" w:space="0" w:color="auto"/>
              <w:right w:val="nil"/>
            </w:tcBorders>
          </w:tcPr>
          <w:p w14:paraId="68CAD59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roofErr w:type="spellStart"/>
            <w:proofErr w:type="gramStart"/>
            <w:r>
              <w:rPr>
                <w:rFonts w:ascii="Times New Roman" w:hAnsi="Times New Roman" w:cs="Times New Roman"/>
                <w:kern w:val="0"/>
              </w:rPr>
              <w:t>Near.Big.Market</w:t>
            </w:r>
            <w:proofErr w:type="spellEnd"/>
            <w:proofErr w:type="gramEnd"/>
          </w:p>
        </w:tc>
        <w:tc>
          <w:tcPr>
            <w:tcW w:w="1296" w:type="dxa"/>
            <w:tcBorders>
              <w:top w:val="nil"/>
              <w:left w:val="nil"/>
              <w:bottom w:val="single" w:sz="4" w:space="0" w:color="auto"/>
              <w:right w:val="nil"/>
            </w:tcBorders>
          </w:tcPr>
          <w:p w14:paraId="487108E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0.360</w:t>
            </w:r>
          </w:p>
        </w:tc>
        <w:tc>
          <w:tcPr>
            <w:tcW w:w="1296" w:type="dxa"/>
            <w:tcBorders>
              <w:top w:val="nil"/>
              <w:left w:val="nil"/>
              <w:bottom w:val="single" w:sz="4" w:space="0" w:color="auto"/>
              <w:right w:val="nil"/>
            </w:tcBorders>
          </w:tcPr>
          <w:p w14:paraId="336E5F5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0.700</w:t>
            </w:r>
          </w:p>
        </w:tc>
        <w:tc>
          <w:tcPr>
            <w:tcW w:w="1656" w:type="dxa"/>
            <w:tcBorders>
              <w:top w:val="nil"/>
              <w:left w:val="nil"/>
              <w:bottom w:val="single" w:sz="4" w:space="0" w:color="auto"/>
              <w:right w:val="nil"/>
            </w:tcBorders>
          </w:tcPr>
          <w:p w14:paraId="2C4CE1B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-0.340***</w:t>
            </w:r>
          </w:p>
        </w:tc>
        <w:tc>
          <w:tcPr>
            <w:tcW w:w="1296" w:type="dxa"/>
            <w:tcBorders>
              <w:top w:val="nil"/>
              <w:left w:val="nil"/>
              <w:bottom w:val="single" w:sz="4" w:space="0" w:color="auto"/>
              <w:right w:val="nil"/>
            </w:tcBorders>
          </w:tcPr>
          <w:p w14:paraId="1C7B805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0.095</w:t>
            </w:r>
          </w:p>
        </w:tc>
        <w:tc>
          <w:tcPr>
            <w:tcW w:w="1296" w:type="dxa"/>
            <w:tcBorders>
              <w:top w:val="nil"/>
              <w:left w:val="nil"/>
              <w:bottom w:val="single" w:sz="4" w:space="0" w:color="auto"/>
              <w:right w:val="nil"/>
            </w:tcBorders>
          </w:tcPr>
          <w:p w14:paraId="48F7948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w:t>
            </w:r>
          </w:p>
        </w:tc>
      </w:tr>
    </w:tbl>
    <w:p w14:paraId="56B3B9C4" w14:textId="77777777" w:rsidR="00000000" w:rsidRDefault="00000000">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Entries show group means, mean differences, standard errors, and p-values from unequal-variance t-tests. * p&lt;0.10, ** p&lt;0.05, *** p&lt;0.01.</w:t>
      </w:r>
    </w:p>
    <w:p w14:paraId="47EA71A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3C331F7B" w14:textId="176916A1" w:rsidR="00B10956" w:rsidRPr="00B10956" w:rsidRDefault="00B10956" w:rsidP="00B1095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Note. </w:t>
      </w:r>
      <w:r w:rsidRPr="00B10956">
        <w:rPr>
          <w:rFonts w:ascii="Times New Roman" w:hAnsi="Times New Roman" w:cs="Times New Roman"/>
          <w:kern w:val="0"/>
        </w:rPr>
        <w:t>The treatment and control groups are not fully balanced across covariates.</w:t>
      </w:r>
    </w:p>
    <w:p w14:paraId="3D73A282" w14:textId="1EB9913A" w:rsidR="00B10956" w:rsidRPr="00B10956" w:rsidRDefault="00B10956" w:rsidP="00B10956">
      <w:pPr>
        <w:widowControl w:val="0"/>
        <w:numPr>
          <w:ilvl w:val="0"/>
          <w:numId w:val="1"/>
        </w:numPr>
        <w:autoSpaceDE w:val="0"/>
        <w:autoSpaceDN w:val="0"/>
        <w:adjustRightInd w:val="0"/>
        <w:spacing w:after="0" w:line="240" w:lineRule="auto"/>
        <w:rPr>
          <w:rFonts w:ascii="Times New Roman" w:hAnsi="Times New Roman" w:cs="Times New Roman"/>
          <w:kern w:val="0"/>
        </w:rPr>
      </w:pPr>
      <w:r w:rsidRPr="00B10956">
        <w:rPr>
          <w:rFonts w:ascii="Times New Roman" w:hAnsi="Times New Roman" w:cs="Times New Roman"/>
          <w:kern w:val="0"/>
        </w:rPr>
        <w:t>Academic Quality is similar between ranked and unranked colleges (p = .40), suggesting academic characteristics are not driving differences in ranking status.</w:t>
      </w:r>
    </w:p>
    <w:p w14:paraId="3CA889AE" w14:textId="74E31EC5" w:rsidR="00B10956" w:rsidRPr="00B10956" w:rsidRDefault="00B10956" w:rsidP="00B10956">
      <w:pPr>
        <w:widowControl w:val="0"/>
        <w:numPr>
          <w:ilvl w:val="0"/>
          <w:numId w:val="1"/>
        </w:numPr>
        <w:autoSpaceDE w:val="0"/>
        <w:autoSpaceDN w:val="0"/>
        <w:adjustRightInd w:val="0"/>
        <w:spacing w:after="0" w:line="240" w:lineRule="auto"/>
        <w:rPr>
          <w:rFonts w:ascii="Times New Roman" w:hAnsi="Times New Roman" w:cs="Times New Roman"/>
          <w:kern w:val="0"/>
        </w:rPr>
      </w:pPr>
      <w:r w:rsidRPr="00B10956">
        <w:rPr>
          <w:rFonts w:ascii="Times New Roman" w:hAnsi="Times New Roman" w:cs="Times New Roman"/>
          <w:kern w:val="0"/>
        </w:rPr>
        <w:t>Athletic Quality is significantly higher among unranked colleges (p = .025), indicating that schools with stronger athletic programs were less likely to be ranked.</w:t>
      </w:r>
    </w:p>
    <w:p w14:paraId="28B6A337" w14:textId="77777777" w:rsidR="00B10956" w:rsidRPr="00B10956" w:rsidRDefault="00B10956" w:rsidP="00B10956">
      <w:pPr>
        <w:widowControl w:val="0"/>
        <w:numPr>
          <w:ilvl w:val="0"/>
          <w:numId w:val="1"/>
        </w:numPr>
        <w:autoSpaceDE w:val="0"/>
        <w:autoSpaceDN w:val="0"/>
        <w:adjustRightInd w:val="0"/>
        <w:spacing w:after="0" w:line="240" w:lineRule="auto"/>
        <w:rPr>
          <w:rFonts w:ascii="Times New Roman" w:hAnsi="Times New Roman" w:cs="Times New Roman"/>
          <w:kern w:val="0"/>
        </w:rPr>
      </w:pPr>
      <w:r w:rsidRPr="00B10956">
        <w:rPr>
          <w:rFonts w:ascii="Times New Roman" w:hAnsi="Times New Roman" w:cs="Times New Roman"/>
          <w:kern w:val="0"/>
        </w:rPr>
        <w:t>Proximity to a Big Market shows the largest difference (p = .001): only 36% of ranked colleges are near large metropolitan areas, compared to 70% of unranked ones.</w:t>
      </w:r>
    </w:p>
    <w:p w14:paraId="6A6E9C04" w14:textId="7CF70BBA" w:rsidR="00B10956" w:rsidRDefault="00B10956" w:rsidP="00B10956">
      <w:pPr>
        <w:widowControl w:val="0"/>
        <w:autoSpaceDE w:val="0"/>
        <w:autoSpaceDN w:val="0"/>
        <w:adjustRightInd w:val="0"/>
        <w:spacing w:after="0" w:line="240" w:lineRule="auto"/>
        <w:rPr>
          <w:rFonts w:ascii="Times New Roman" w:hAnsi="Times New Roman" w:cs="Times New Roman"/>
          <w:kern w:val="0"/>
        </w:rPr>
      </w:pPr>
      <w:r w:rsidRPr="00B10956">
        <w:rPr>
          <w:rFonts w:ascii="Times New Roman" w:hAnsi="Times New Roman" w:cs="Times New Roman"/>
          <w:kern w:val="0"/>
        </w:rPr>
        <w:t>Overall, the results suggest that ranked colleges differ meaningfully from unranked ones, particularly in their athletic strength and geographic location.</w:t>
      </w:r>
    </w:p>
    <w:p w14:paraId="39CC4289" w14:textId="77777777" w:rsidR="003E689E" w:rsidRDefault="003E689E" w:rsidP="00B10956">
      <w:pPr>
        <w:widowControl w:val="0"/>
        <w:autoSpaceDE w:val="0"/>
        <w:autoSpaceDN w:val="0"/>
        <w:adjustRightInd w:val="0"/>
        <w:spacing w:after="0" w:line="240" w:lineRule="auto"/>
        <w:rPr>
          <w:rFonts w:ascii="Times New Roman" w:hAnsi="Times New Roman" w:cs="Times New Roman"/>
          <w:kern w:val="0"/>
        </w:rPr>
      </w:pPr>
    </w:p>
    <w:p w14:paraId="54616CDD" w14:textId="77777777" w:rsidR="003E689E" w:rsidRDefault="003E689E" w:rsidP="00B10956">
      <w:pPr>
        <w:widowControl w:val="0"/>
        <w:autoSpaceDE w:val="0"/>
        <w:autoSpaceDN w:val="0"/>
        <w:adjustRightInd w:val="0"/>
        <w:spacing w:after="0" w:line="240" w:lineRule="auto"/>
        <w:rPr>
          <w:rFonts w:ascii="Times New Roman" w:hAnsi="Times New Roman" w:cs="Times New Roman"/>
          <w:kern w:val="0"/>
        </w:rPr>
      </w:pPr>
    </w:p>
    <w:p w14:paraId="0E448782" w14:textId="5EE438F8" w:rsidR="003E689E" w:rsidRDefault="003E689E" w:rsidP="00B10956">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3. </w:t>
      </w:r>
      <w:r w:rsidRPr="003E689E">
        <w:rPr>
          <w:rFonts w:ascii="Times New Roman" w:hAnsi="Times New Roman" w:cs="Times New Roman"/>
          <w:kern w:val="0"/>
        </w:rPr>
        <w:t xml:space="preserve">The imbalance shown in the balance table suggests non-random selection into being ranked, meaning that colleges with certain characteristics were more likely to be included in the rankings. This has direct implications for the credibility of any propensity score analysis. Propensity score methods rely on the assumption that treatment assignment (being ranked) is conditionally independent of potential outcomes once we control for observable covariates.  More specifically, the researcher must include all variables that the people assigning </w:t>
      </w:r>
      <w:proofErr w:type="gramStart"/>
      <w:r w:rsidRPr="003E689E">
        <w:rPr>
          <w:rFonts w:ascii="Times New Roman" w:hAnsi="Times New Roman" w:cs="Times New Roman"/>
          <w:kern w:val="0"/>
        </w:rPr>
        <w:t>treatment  (</w:t>
      </w:r>
      <w:proofErr w:type="gramEnd"/>
      <w:r w:rsidRPr="003E689E">
        <w:rPr>
          <w:rFonts w:ascii="Times New Roman" w:hAnsi="Times New Roman" w:cs="Times New Roman"/>
          <w:kern w:val="0"/>
        </w:rPr>
        <w:t xml:space="preserve">ranking agency) </w:t>
      </w:r>
      <w:proofErr w:type="gramStart"/>
      <w:r w:rsidRPr="003E689E">
        <w:rPr>
          <w:rFonts w:ascii="Times New Roman" w:hAnsi="Times New Roman" w:cs="Times New Roman"/>
          <w:kern w:val="0"/>
        </w:rPr>
        <w:t>actually used</w:t>
      </w:r>
      <w:proofErr w:type="gramEnd"/>
      <w:r w:rsidRPr="003E689E">
        <w:rPr>
          <w:rFonts w:ascii="Times New Roman" w:hAnsi="Times New Roman" w:cs="Times New Roman"/>
          <w:kern w:val="0"/>
        </w:rPr>
        <w:t xml:space="preserve"> or could have observed when deciding which colleges to rank. In this context, if the ranking agency also uses factors other than those in our dataset, then our estimated propensity scores would omit key predictors of treatment. This omission would reduce the credibility of any causal inference drawn from the propensity score adjustment.</w:t>
      </w:r>
    </w:p>
    <w:p w14:paraId="762611A0"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rPr>
      </w:pPr>
    </w:p>
    <w:p w14:paraId="0031A8FE"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rPr>
      </w:pPr>
    </w:p>
    <w:p w14:paraId="3538FF6C"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rPr>
      </w:pPr>
    </w:p>
    <w:p w14:paraId="3FCDD614"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rPr>
      </w:pPr>
    </w:p>
    <w:p w14:paraId="09E821EB" w14:textId="2D7F1ABE" w:rsidR="00E73DFC" w:rsidRDefault="00E73DFC" w:rsidP="00E73DFC">
      <w:pPr>
        <w:widowControl w:val="0"/>
        <w:autoSpaceDE w:val="0"/>
        <w:autoSpaceDN w:val="0"/>
        <w:adjustRightInd w:val="0"/>
        <w:spacing w:after="0" w:line="240" w:lineRule="auto"/>
        <w:rPr>
          <w:rFonts w:ascii="Times New Roman" w:hAnsi="Times New Roman" w:cs="Times New Roman"/>
          <w:kern w:val="0"/>
        </w:rPr>
      </w:pPr>
      <w:r w:rsidRPr="00E73DFC">
        <w:rPr>
          <w:rFonts w:ascii="Times New Roman" w:hAnsi="Times New Roman" w:cs="Times New Roman"/>
          <w:b/>
          <w:bCs/>
          <w:kern w:val="0"/>
        </w:rPr>
        <w:t>Table 2.</w:t>
      </w:r>
      <w:r>
        <w:rPr>
          <w:rFonts w:ascii="Times New Roman" w:hAnsi="Times New Roman" w:cs="Times New Roman"/>
          <w:kern w:val="0"/>
        </w:rPr>
        <w:t xml:space="preserve"> </w:t>
      </w:r>
      <w:r>
        <w:rPr>
          <w:rFonts w:ascii="Times New Roman" w:hAnsi="Times New Roman" w:cs="Times New Roman"/>
          <w:kern w:val="0"/>
        </w:rPr>
        <w:t>Effect of Being Ranked on Alumni Donations (Block FE)</w:t>
      </w:r>
    </w:p>
    <w:tbl>
      <w:tblPr>
        <w:tblW w:w="0" w:type="auto"/>
        <w:tblLayout w:type="fixed"/>
        <w:tblLook w:val="0000" w:firstRow="0" w:lastRow="0" w:firstColumn="0" w:lastColumn="0" w:noHBand="0" w:noVBand="0"/>
      </w:tblPr>
      <w:tblGrid>
        <w:gridCol w:w="2616"/>
        <w:gridCol w:w="2016"/>
      </w:tblGrid>
      <w:tr w:rsidR="00E73DFC" w14:paraId="3FAA72C3" w14:textId="77777777" w:rsidTr="00FB69DD">
        <w:tblPrEx>
          <w:tblCellMar>
            <w:top w:w="0" w:type="dxa"/>
            <w:bottom w:w="0" w:type="dxa"/>
          </w:tblCellMar>
        </w:tblPrEx>
        <w:tc>
          <w:tcPr>
            <w:tcW w:w="2616" w:type="dxa"/>
            <w:tcBorders>
              <w:top w:val="single" w:sz="4" w:space="0" w:color="auto"/>
              <w:left w:val="nil"/>
              <w:bottom w:val="nil"/>
              <w:right w:val="nil"/>
            </w:tcBorders>
          </w:tcPr>
          <w:p w14:paraId="2969F8A2"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61742488"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r>
      <w:tr w:rsidR="00E73DFC" w14:paraId="02A37FF2" w14:textId="77777777" w:rsidTr="00FB69DD">
        <w:tblPrEx>
          <w:tblCellMar>
            <w:top w:w="0" w:type="dxa"/>
            <w:bottom w:w="0" w:type="dxa"/>
          </w:tblCellMar>
        </w:tblPrEx>
        <w:tc>
          <w:tcPr>
            <w:tcW w:w="2616" w:type="dxa"/>
            <w:tcBorders>
              <w:top w:val="nil"/>
              <w:left w:val="nil"/>
              <w:bottom w:val="nil"/>
              <w:right w:val="nil"/>
            </w:tcBorders>
          </w:tcPr>
          <w:p w14:paraId="09017843"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86F5884"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Alumni Donations 2018</w:t>
            </w:r>
          </w:p>
        </w:tc>
      </w:tr>
      <w:tr w:rsidR="00E73DFC" w14:paraId="07FED59E" w14:textId="77777777" w:rsidTr="00FB69DD">
        <w:tblPrEx>
          <w:tblCellMar>
            <w:top w:w="0" w:type="dxa"/>
            <w:bottom w:w="0" w:type="dxa"/>
          </w:tblCellMar>
        </w:tblPrEx>
        <w:tc>
          <w:tcPr>
            <w:tcW w:w="2616" w:type="dxa"/>
            <w:tcBorders>
              <w:top w:val="single" w:sz="4" w:space="0" w:color="auto"/>
              <w:left w:val="nil"/>
              <w:bottom w:val="nil"/>
              <w:right w:val="nil"/>
            </w:tcBorders>
          </w:tcPr>
          <w:p w14:paraId="55701F09"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Ranked in 2017 (1=yes)</w:t>
            </w:r>
          </w:p>
        </w:tc>
        <w:tc>
          <w:tcPr>
            <w:tcW w:w="2016" w:type="dxa"/>
            <w:tcBorders>
              <w:top w:val="single" w:sz="4" w:space="0" w:color="auto"/>
              <w:left w:val="nil"/>
              <w:bottom w:val="nil"/>
              <w:right w:val="nil"/>
            </w:tcBorders>
          </w:tcPr>
          <w:p w14:paraId="496377FC"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500.464***</w:t>
            </w:r>
          </w:p>
        </w:tc>
      </w:tr>
      <w:tr w:rsidR="00E73DFC" w14:paraId="1AC63609" w14:textId="77777777" w:rsidTr="00FB69DD">
        <w:tblPrEx>
          <w:tblCellMar>
            <w:top w:w="0" w:type="dxa"/>
            <w:bottom w:w="0" w:type="dxa"/>
          </w:tblCellMar>
        </w:tblPrEx>
        <w:tc>
          <w:tcPr>
            <w:tcW w:w="2616" w:type="dxa"/>
            <w:tcBorders>
              <w:top w:val="nil"/>
              <w:left w:val="nil"/>
              <w:bottom w:val="nil"/>
              <w:right w:val="nil"/>
            </w:tcBorders>
          </w:tcPr>
          <w:p w14:paraId="5655C46C"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35D3BA7"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(0.252)</w:t>
            </w:r>
          </w:p>
        </w:tc>
      </w:tr>
      <w:tr w:rsidR="00E73DFC" w14:paraId="08F5D434" w14:textId="77777777" w:rsidTr="00FB69DD">
        <w:tblPrEx>
          <w:tblCellMar>
            <w:top w:w="0" w:type="dxa"/>
            <w:bottom w:w="0" w:type="dxa"/>
          </w:tblCellMar>
        </w:tblPrEx>
        <w:tc>
          <w:tcPr>
            <w:tcW w:w="2616" w:type="dxa"/>
            <w:tcBorders>
              <w:top w:val="nil"/>
              <w:left w:val="nil"/>
              <w:bottom w:val="nil"/>
              <w:right w:val="nil"/>
            </w:tcBorders>
          </w:tcPr>
          <w:p w14:paraId="4113ABDF"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AB5511F"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r>
      <w:tr w:rsidR="00E73DFC" w14:paraId="58C5376D" w14:textId="77777777" w:rsidTr="00FB69DD">
        <w:tblPrEx>
          <w:tblCellMar>
            <w:top w:w="0" w:type="dxa"/>
            <w:bottom w:w="0" w:type="dxa"/>
          </w:tblCellMar>
        </w:tblPrEx>
        <w:tc>
          <w:tcPr>
            <w:tcW w:w="2616" w:type="dxa"/>
            <w:tcBorders>
              <w:top w:val="nil"/>
              <w:left w:val="nil"/>
              <w:bottom w:val="nil"/>
              <w:right w:val="nil"/>
            </w:tcBorders>
          </w:tcPr>
          <w:p w14:paraId="59DA7C5F"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Academic Quality (0–1)</w:t>
            </w:r>
          </w:p>
        </w:tc>
        <w:tc>
          <w:tcPr>
            <w:tcW w:w="2016" w:type="dxa"/>
            <w:tcBorders>
              <w:top w:val="nil"/>
              <w:left w:val="nil"/>
              <w:bottom w:val="nil"/>
              <w:right w:val="nil"/>
            </w:tcBorders>
          </w:tcPr>
          <w:p w14:paraId="2DE22C2B"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99.959***</w:t>
            </w:r>
          </w:p>
        </w:tc>
      </w:tr>
      <w:tr w:rsidR="00E73DFC" w14:paraId="5E52C583" w14:textId="77777777" w:rsidTr="00FB69DD">
        <w:tblPrEx>
          <w:tblCellMar>
            <w:top w:w="0" w:type="dxa"/>
            <w:bottom w:w="0" w:type="dxa"/>
          </w:tblCellMar>
        </w:tblPrEx>
        <w:tc>
          <w:tcPr>
            <w:tcW w:w="2616" w:type="dxa"/>
            <w:tcBorders>
              <w:top w:val="nil"/>
              <w:left w:val="nil"/>
              <w:bottom w:val="nil"/>
              <w:right w:val="nil"/>
            </w:tcBorders>
          </w:tcPr>
          <w:p w14:paraId="20EC2738"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EA941EC"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(1.665)</w:t>
            </w:r>
          </w:p>
        </w:tc>
      </w:tr>
      <w:tr w:rsidR="00E73DFC" w14:paraId="661C41B7" w14:textId="77777777" w:rsidTr="00FB69DD">
        <w:tblPrEx>
          <w:tblCellMar>
            <w:top w:w="0" w:type="dxa"/>
            <w:bottom w:w="0" w:type="dxa"/>
          </w:tblCellMar>
        </w:tblPrEx>
        <w:tc>
          <w:tcPr>
            <w:tcW w:w="2616" w:type="dxa"/>
            <w:tcBorders>
              <w:top w:val="nil"/>
              <w:left w:val="nil"/>
              <w:bottom w:val="nil"/>
              <w:right w:val="nil"/>
            </w:tcBorders>
          </w:tcPr>
          <w:p w14:paraId="28701712"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F31D744"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r>
      <w:tr w:rsidR="00E73DFC" w14:paraId="0DFBC573" w14:textId="77777777" w:rsidTr="00FB69DD">
        <w:tblPrEx>
          <w:tblCellMar>
            <w:top w:w="0" w:type="dxa"/>
            <w:bottom w:w="0" w:type="dxa"/>
          </w:tblCellMar>
        </w:tblPrEx>
        <w:tc>
          <w:tcPr>
            <w:tcW w:w="2616" w:type="dxa"/>
            <w:tcBorders>
              <w:top w:val="nil"/>
              <w:left w:val="nil"/>
              <w:bottom w:val="nil"/>
              <w:right w:val="nil"/>
            </w:tcBorders>
          </w:tcPr>
          <w:p w14:paraId="6511E69D"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Athletic Quality (0–1)</w:t>
            </w:r>
          </w:p>
        </w:tc>
        <w:tc>
          <w:tcPr>
            <w:tcW w:w="2016" w:type="dxa"/>
            <w:tcBorders>
              <w:top w:val="nil"/>
              <w:left w:val="nil"/>
              <w:bottom w:val="nil"/>
              <w:right w:val="nil"/>
            </w:tcBorders>
          </w:tcPr>
          <w:p w14:paraId="7AC90CC4"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50.430***</w:t>
            </w:r>
          </w:p>
        </w:tc>
      </w:tr>
      <w:tr w:rsidR="00E73DFC" w14:paraId="457189B1" w14:textId="77777777" w:rsidTr="00FB69DD">
        <w:tblPrEx>
          <w:tblCellMar>
            <w:top w:w="0" w:type="dxa"/>
            <w:bottom w:w="0" w:type="dxa"/>
          </w:tblCellMar>
        </w:tblPrEx>
        <w:tc>
          <w:tcPr>
            <w:tcW w:w="2616" w:type="dxa"/>
            <w:tcBorders>
              <w:top w:val="nil"/>
              <w:left w:val="nil"/>
              <w:bottom w:val="nil"/>
              <w:right w:val="nil"/>
            </w:tcBorders>
          </w:tcPr>
          <w:p w14:paraId="0ED28534"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D4CC6C0"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(3.496)</w:t>
            </w:r>
          </w:p>
        </w:tc>
      </w:tr>
      <w:tr w:rsidR="00E73DFC" w14:paraId="03F7AD02" w14:textId="77777777" w:rsidTr="00FB69DD">
        <w:tblPrEx>
          <w:tblCellMar>
            <w:top w:w="0" w:type="dxa"/>
            <w:bottom w:w="0" w:type="dxa"/>
          </w:tblCellMar>
        </w:tblPrEx>
        <w:tc>
          <w:tcPr>
            <w:tcW w:w="2616" w:type="dxa"/>
            <w:tcBorders>
              <w:top w:val="nil"/>
              <w:left w:val="nil"/>
              <w:bottom w:val="nil"/>
              <w:right w:val="nil"/>
            </w:tcBorders>
          </w:tcPr>
          <w:p w14:paraId="2FBC3241"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1E0B11E"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r>
      <w:tr w:rsidR="00E73DFC" w14:paraId="1A3083F6" w14:textId="77777777" w:rsidTr="00FB69DD">
        <w:tblPrEx>
          <w:tblCellMar>
            <w:top w:w="0" w:type="dxa"/>
            <w:bottom w:w="0" w:type="dxa"/>
          </w:tblCellMar>
        </w:tblPrEx>
        <w:tc>
          <w:tcPr>
            <w:tcW w:w="2616" w:type="dxa"/>
            <w:tcBorders>
              <w:top w:val="nil"/>
              <w:left w:val="nil"/>
              <w:bottom w:val="nil"/>
              <w:right w:val="nil"/>
            </w:tcBorders>
          </w:tcPr>
          <w:p w14:paraId="4FB4E8C9"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Near Big Market (1=yes)</w:t>
            </w:r>
          </w:p>
        </w:tc>
        <w:tc>
          <w:tcPr>
            <w:tcW w:w="2016" w:type="dxa"/>
            <w:tcBorders>
              <w:top w:val="nil"/>
              <w:left w:val="nil"/>
              <w:bottom w:val="nil"/>
              <w:right w:val="nil"/>
            </w:tcBorders>
          </w:tcPr>
          <w:p w14:paraId="6A5356A9"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1000.026***</w:t>
            </w:r>
          </w:p>
        </w:tc>
      </w:tr>
      <w:tr w:rsidR="00E73DFC" w14:paraId="1FB996B0" w14:textId="77777777" w:rsidTr="00FB69DD">
        <w:tblPrEx>
          <w:tblCellMar>
            <w:top w:w="0" w:type="dxa"/>
            <w:bottom w:w="0" w:type="dxa"/>
          </w:tblCellMar>
        </w:tblPrEx>
        <w:tc>
          <w:tcPr>
            <w:tcW w:w="2616" w:type="dxa"/>
            <w:tcBorders>
              <w:top w:val="nil"/>
              <w:left w:val="nil"/>
              <w:bottom w:val="single" w:sz="4" w:space="0" w:color="auto"/>
              <w:right w:val="nil"/>
            </w:tcBorders>
          </w:tcPr>
          <w:p w14:paraId="524343CA"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single" w:sz="4" w:space="0" w:color="auto"/>
              <w:right w:val="nil"/>
            </w:tcBorders>
          </w:tcPr>
          <w:p w14:paraId="798C8AE6"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(2.826)</w:t>
            </w:r>
          </w:p>
        </w:tc>
      </w:tr>
      <w:tr w:rsidR="00E73DFC" w14:paraId="4099F413" w14:textId="77777777" w:rsidTr="00FB69DD">
        <w:tblPrEx>
          <w:tblCellMar>
            <w:top w:w="0" w:type="dxa"/>
            <w:bottom w:w="0" w:type="dxa"/>
          </w:tblCellMar>
        </w:tblPrEx>
        <w:tc>
          <w:tcPr>
            <w:tcW w:w="2616" w:type="dxa"/>
            <w:tcBorders>
              <w:top w:val="single" w:sz="4" w:space="0" w:color="auto"/>
              <w:left w:val="nil"/>
              <w:bottom w:val="nil"/>
              <w:right w:val="nil"/>
            </w:tcBorders>
          </w:tcPr>
          <w:p w14:paraId="2DD69E74"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Observations</w:t>
            </w:r>
          </w:p>
        </w:tc>
        <w:tc>
          <w:tcPr>
            <w:tcW w:w="2016" w:type="dxa"/>
            <w:tcBorders>
              <w:top w:val="single" w:sz="4" w:space="0" w:color="auto"/>
              <w:left w:val="nil"/>
              <w:bottom w:val="nil"/>
              <w:right w:val="nil"/>
            </w:tcBorders>
          </w:tcPr>
          <w:p w14:paraId="1D898AAE"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100.000</w:t>
            </w:r>
          </w:p>
        </w:tc>
      </w:tr>
      <w:tr w:rsidR="00E73DFC" w14:paraId="5557E5EF" w14:textId="77777777" w:rsidTr="00FB69DD">
        <w:tblPrEx>
          <w:tblCellMar>
            <w:top w:w="0" w:type="dxa"/>
            <w:bottom w:w="0" w:type="dxa"/>
          </w:tblCellMar>
        </w:tblPrEx>
        <w:tc>
          <w:tcPr>
            <w:tcW w:w="2616" w:type="dxa"/>
            <w:tcBorders>
              <w:top w:val="nil"/>
              <w:left w:val="nil"/>
              <w:bottom w:val="single" w:sz="4" w:space="0" w:color="auto"/>
              <w:right w:val="nil"/>
            </w:tcBorders>
          </w:tcPr>
          <w:p w14:paraId="6D3565F3" w14:textId="77777777" w:rsidR="00E73DFC" w:rsidRDefault="00E73DFC" w:rsidP="00FB69DD">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R-squared</w:t>
            </w:r>
          </w:p>
        </w:tc>
        <w:tc>
          <w:tcPr>
            <w:tcW w:w="2016" w:type="dxa"/>
            <w:tcBorders>
              <w:top w:val="nil"/>
              <w:left w:val="nil"/>
              <w:bottom w:val="single" w:sz="4" w:space="0" w:color="auto"/>
              <w:right w:val="nil"/>
            </w:tcBorders>
          </w:tcPr>
          <w:p w14:paraId="34950E71" w14:textId="77777777" w:rsidR="00E73DFC" w:rsidRDefault="00E73DFC" w:rsidP="00FB69DD">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1.000</w:t>
            </w:r>
          </w:p>
        </w:tc>
      </w:tr>
    </w:tbl>
    <w:p w14:paraId="281CD658"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7557C39C"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Outcome is Alumni Donations 2018 (thousands of USD). Model includes block fixed effects (</w:t>
      </w:r>
      <w:proofErr w:type="spellStart"/>
      <w:proofErr w:type="gramStart"/>
      <w:r>
        <w:rPr>
          <w:rFonts w:ascii="Times New Roman" w:hAnsi="Times New Roman" w:cs="Times New Roman"/>
          <w:kern w:val="0"/>
          <w:sz w:val="20"/>
          <w:szCs w:val="20"/>
        </w:rPr>
        <w:t>i.block</w:t>
      </w:r>
      <w:proofErr w:type="spellEnd"/>
      <w:proofErr w:type="gramEnd"/>
      <w:r>
        <w:rPr>
          <w:rFonts w:ascii="Times New Roman" w:hAnsi="Times New Roman" w:cs="Times New Roman"/>
          <w:kern w:val="0"/>
          <w:sz w:val="20"/>
          <w:szCs w:val="20"/>
        </w:rPr>
        <w:t>) formed by sorting on the estimated propensity score and grouping every 5 observations. Robust standard errors in parentheses. * p&lt;0.10, ** p&lt;0.05, *** p&lt;0.01.</w:t>
      </w:r>
    </w:p>
    <w:p w14:paraId="42F8291D"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p&lt;0.10, ** p&lt;0.05, *** p&lt;0.01</w:t>
      </w:r>
    </w:p>
    <w:p w14:paraId="454E1786" w14:textId="77777777" w:rsidR="00E73DFC" w:rsidRDefault="00E73DFC" w:rsidP="00E73DFC">
      <w:pPr>
        <w:widowControl w:val="0"/>
        <w:autoSpaceDE w:val="0"/>
        <w:autoSpaceDN w:val="0"/>
        <w:adjustRightInd w:val="0"/>
        <w:spacing w:after="0" w:line="240" w:lineRule="auto"/>
        <w:rPr>
          <w:rFonts w:ascii="Times New Roman" w:hAnsi="Times New Roman" w:cs="Times New Roman"/>
          <w:kern w:val="0"/>
        </w:rPr>
      </w:pPr>
    </w:p>
    <w:p w14:paraId="2455C80B" w14:textId="77777777" w:rsidR="00E73DFC" w:rsidRDefault="00E73DFC" w:rsidP="00B10956">
      <w:pPr>
        <w:widowControl w:val="0"/>
        <w:autoSpaceDE w:val="0"/>
        <w:autoSpaceDN w:val="0"/>
        <w:adjustRightInd w:val="0"/>
        <w:spacing w:after="0" w:line="240" w:lineRule="auto"/>
        <w:rPr>
          <w:rFonts w:ascii="Times New Roman" w:hAnsi="Times New Roman" w:cs="Times New Roman"/>
          <w:kern w:val="0"/>
        </w:rPr>
      </w:pPr>
    </w:p>
    <w:p w14:paraId="168CC966" w14:textId="06911BCB" w:rsidR="00E73DFC" w:rsidRPr="00E73DFC" w:rsidRDefault="00E73DFC" w:rsidP="00E73DFC">
      <w:pPr>
        <w:widowControl w:val="0"/>
        <w:autoSpaceDE w:val="0"/>
        <w:autoSpaceDN w:val="0"/>
        <w:adjustRightInd w:val="0"/>
        <w:spacing w:after="0" w:line="240" w:lineRule="auto"/>
        <w:rPr>
          <w:rFonts w:ascii="Times New Roman" w:hAnsi="Times New Roman" w:cs="Times New Roman"/>
          <w:kern w:val="0"/>
        </w:rPr>
      </w:pPr>
      <w:r w:rsidRPr="00E73DFC">
        <w:rPr>
          <w:rFonts w:ascii="Times New Roman" w:hAnsi="Times New Roman" w:cs="Times New Roman"/>
          <w:kern w:val="0"/>
        </w:rPr>
        <w:t xml:space="preserve">The regression examines how being ranked relates to alumni donations while controlling for academic quality, athletic quality, proximity to a big market, and block fixed effects based on the propensity score. The coefficient on Ranked in 2017 is about 500.46 and </w:t>
      </w:r>
      <w:r>
        <w:rPr>
          <w:rFonts w:ascii="Times New Roman" w:hAnsi="Times New Roman" w:cs="Times New Roman"/>
          <w:kern w:val="0"/>
        </w:rPr>
        <w:t>statistically</w:t>
      </w:r>
      <w:r w:rsidRPr="00E73DFC">
        <w:rPr>
          <w:rFonts w:ascii="Times New Roman" w:hAnsi="Times New Roman" w:cs="Times New Roman"/>
          <w:kern w:val="0"/>
        </w:rPr>
        <w:t xml:space="preserve"> significant</w:t>
      </w:r>
      <w:r>
        <w:rPr>
          <w:rFonts w:ascii="Times New Roman" w:hAnsi="Times New Roman" w:cs="Times New Roman"/>
          <w:kern w:val="0"/>
        </w:rPr>
        <w:t xml:space="preserve">, which </w:t>
      </w:r>
      <w:r w:rsidRPr="00E73DFC">
        <w:rPr>
          <w:rFonts w:ascii="Times New Roman" w:hAnsi="Times New Roman" w:cs="Times New Roman"/>
          <w:kern w:val="0"/>
        </w:rPr>
        <w:t>means that, holding other factors constant and comparing schools within similar propensity</w:t>
      </w:r>
      <w:r>
        <w:rPr>
          <w:rFonts w:ascii="Times New Roman" w:hAnsi="Times New Roman" w:cs="Times New Roman"/>
          <w:kern w:val="0"/>
        </w:rPr>
        <w:t xml:space="preserve"> </w:t>
      </w:r>
      <w:r w:rsidRPr="00E73DFC">
        <w:rPr>
          <w:rFonts w:ascii="Times New Roman" w:hAnsi="Times New Roman" w:cs="Times New Roman"/>
          <w:kern w:val="0"/>
        </w:rPr>
        <w:t>score blocks, ranked colleges received roughly $500</w:t>
      </w:r>
      <w:r>
        <w:rPr>
          <w:rFonts w:ascii="Times New Roman" w:hAnsi="Times New Roman" w:cs="Times New Roman"/>
          <w:kern w:val="0"/>
        </w:rPr>
        <w:t>,46</w:t>
      </w:r>
      <w:r w:rsidRPr="00E73DFC">
        <w:rPr>
          <w:rFonts w:ascii="Times New Roman" w:hAnsi="Times New Roman" w:cs="Times New Roman"/>
          <w:kern w:val="0"/>
        </w:rPr>
        <w:t>0 more in alumni donations than unranked ones.</w:t>
      </w:r>
    </w:p>
    <w:p w14:paraId="2067922F" w14:textId="77777777" w:rsidR="00E73DFC" w:rsidRPr="00E73DFC" w:rsidRDefault="00E73DFC" w:rsidP="00E73DFC">
      <w:pPr>
        <w:widowControl w:val="0"/>
        <w:autoSpaceDE w:val="0"/>
        <w:autoSpaceDN w:val="0"/>
        <w:adjustRightInd w:val="0"/>
        <w:spacing w:after="0" w:line="240" w:lineRule="auto"/>
        <w:rPr>
          <w:rFonts w:ascii="Times New Roman" w:hAnsi="Times New Roman" w:cs="Times New Roman"/>
          <w:kern w:val="0"/>
        </w:rPr>
      </w:pPr>
    </w:p>
    <w:p w14:paraId="3701A2D3" w14:textId="63C9661E" w:rsidR="00E73DFC" w:rsidRPr="00E73DFC" w:rsidRDefault="00E73DFC" w:rsidP="00E73DFC">
      <w:pPr>
        <w:widowControl w:val="0"/>
        <w:autoSpaceDE w:val="0"/>
        <w:autoSpaceDN w:val="0"/>
        <w:adjustRightInd w:val="0"/>
        <w:spacing w:after="0" w:line="240" w:lineRule="auto"/>
        <w:rPr>
          <w:rFonts w:ascii="Times New Roman" w:hAnsi="Times New Roman" w:cs="Times New Roman"/>
          <w:kern w:val="0"/>
        </w:rPr>
      </w:pPr>
      <w:r w:rsidRPr="00E73DFC">
        <w:rPr>
          <w:rFonts w:ascii="Times New Roman" w:hAnsi="Times New Roman" w:cs="Times New Roman"/>
          <w:kern w:val="0"/>
        </w:rPr>
        <w:t xml:space="preserve">The very high R-squared reflects the inclusion of block fixed effects, which absorb much of the variation in giving across propensity-score groups. In short, after controlling for observed characteristics and comparing similar colleges, being ranked is associated with </w:t>
      </w:r>
      <w:r>
        <w:rPr>
          <w:rFonts w:ascii="Times New Roman" w:hAnsi="Times New Roman" w:cs="Times New Roman"/>
          <w:kern w:val="0"/>
        </w:rPr>
        <w:t>significantly</w:t>
      </w:r>
      <w:r w:rsidRPr="00E73DFC">
        <w:rPr>
          <w:rFonts w:ascii="Times New Roman" w:hAnsi="Times New Roman" w:cs="Times New Roman"/>
          <w:kern w:val="0"/>
        </w:rPr>
        <w:t xml:space="preserve"> higher alumni donations.</w:t>
      </w:r>
    </w:p>
    <w:p w14:paraId="2ED06812" w14:textId="77777777" w:rsidR="00E73DFC" w:rsidRPr="00E73DFC" w:rsidRDefault="00E73DFC" w:rsidP="00B10956">
      <w:pPr>
        <w:widowControl w:val="0"/>
        <w:autoSpaceDE w:val="0"/>
        <w:autoSpaceDN w:val="0"/>
        <w:adjustRightInd w:val="0"/>
        <w:spacing w:after="0" w:line="240" w:lineRule="auto"/>
        <w:rPr>
          <w:rFonts w:ascii="Times New Roman" w:hAnsi="Times New Roman" w:cs="Times New Roman"/>
          <w:kern w:val="0"/>
        </w:rPr>
      </w:pPr>
    </w:p>
    <w:sectPr w:rsidR="00E73DFC" w:rsidRPr="00E73DFC">
      <w:foot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1BB9" w14:textId="77777777" w:rsidR="003E12D0" w:rsidRDefault="003E12D0">
      <w:pPr>
        <w:spacing w:after="0" w:line="240" w:lineRule="auto"/>
      </w:pPr>
      <w:r>
        <w:separator/>
      </w:r>
    </w:p>
  </w:endnote>
  <w:endnote w:type="continuationSeparator" w:id="0">
    <w:p w14:paraId="0516B776" w14:textId="77777777" w:rsidR="003E12D0" w:rsidRDefault="003E1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Ì___"/>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6E8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B159A" w14:textId="77777777" w:rsidR="003E12D0" w:rsidRDefault="003E12D0">
      <w:pPr>
        <w:spacing w:after="0" w:line="240" w:lineRule="auto"/>
      </w:pPr>
      <w:r>
        <w:separator/>
      </w:r>
    </w:p>
  </w:footnote>
  <w:footnote w:type="continuationSeparator" w:id="0">
    <w:p w14:paraId="79ECFEFC" w14:textId="77777777" w:rsidR="003E12D0" w:rsidRDefault="003E1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F0A26"/>
    <w:multiLevelType w:val="hybridMultilevel"/>
    <w:tmpl w:val="05305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19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56"/>
    <w:rsid w:val="003E12D0"/>
    <w:rsid w:val="003E689E"/>
    <w:rsid w:val="00A06F27"/>
    <w:rsid w:val="00B10956"/>
    <w:rsid w:val="00E73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86DE1C3"/>
  <w14:defaultImageDpi w14:val="0"/>
  <w15:docId w15:val="{F8CFE02A-B28B-2C45-9D90-5F90E0FF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vt:lpstr>
    </vt:vector>
  </TitlesOfParts>
  <Company>.</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dc:creator>
  <cp:keywords/>
  <dc:description/>
  <cp:lastModifiedBy>Huang, Yang</cp:lastModifiedBy>
  <cp:revision>2</cp:revision>
  <dcterms:created xsi:type="dcterms:W3CDTF">2025-11-09T22:13:00Z</dcterms:created>
  <dcterms:modified xsi:type="dcterms:W3CDTF">2025-11-09T22:13:00Z</dcterms:modified>
</cp:coreProperties>
</file>