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Presentation Plan</w:t>
      </w:r>
    </w:p>
    <w:p>
      <w:pPr>
        <w:spacing w:after="220"/>
      </w:pPr>
      <w:r>
        <w:rPr>
          <w:b/>
          <w:color w:val="5A7072"/>
          <w:sz w:val="26"/>
        </w:rPr>
        <w:t>Mandate website and adviser software walkthrough</w:t>
      </w:r>
    </w:p>
    <w:p>
      <w:r>
        <w:t>A rough run-through for presenting the public website first, then moving into the adviser workspace. The story follows one fictional deal so the audience can see how the product may make a confusing finance process easier to navigate and reduce the work advisers do to organise and place applications.</w:t>
      </w:r>
    </w:p>
    <w:tbl>
      <w:tblPr>
        <w:tblW w:type="auto" w:w="0"/>
        <w:jc w:val="center"/>
        <w:tblLayout w:type="autofit"/>
        <w:tblLook w:firstColumn="1" w:firstRow="1" w:lastColumn="0" w:lastRow="0" w:noHBand="0" w:noVBand="1" w:val="04A0"/>
      </w:tblPr>
      <w:tblGrid>
        <w:gridCol w:w="9994"/>
      </w:tblGrid>
      <w:tr>
        <w:tc>
          <w:tcPr>
            <w:tcW w:type="dxa" w:w="9994"/>
            <w:shd w:fill="EAF2EF"/>
            <w:vAlign w:val="center"/>
          </w:tcPr>
          <w:p>
            <w:pPr>
              <w:spacing w:after="20"/>
            </w:pPr>
            <w:r/>
            <w:r>
              <w:rPr>
                <w:rFonts w:ascii="Aptos" w:hAnsi="Aptos"/>
                <w:b/>
                <w:color w:val="194C4E"/>
                <w:sz w:val="22"/>
              </w:rPr>
              <w:t>WORKING MESSAGE  |  A clearer path from borrower to lender, with less manual work for the adviser.</w:t>
            </w:r>
          </w:p>
        </w:tc>
      </w:tr>
    </w:tbl>
    <w:p>
      <w:pPr>
        <w:pStyle w:val="Heading1"/>
      </w:pPr>
      <w:r>
        <w:t>Suggested flow</w:t>
      </w:r>
    </w:p>
    <w:tbl>
      <w:tblPr>
        <w:tblW w:type="auto" w:w="0"/>
        <w:jc w:val="center"/>
        <w:tblLayout w:type="fixed"/>
        <w:tblLook w:firstColumn="1" w:firstRow="1" w:lastColumn="0" w:lastRow="0" w:noHBand="0" w:noVBand="1" w:val="04A0"/>
      </w:tblPr>
      <w:tblGrid>
        <w:gridCol w:w="605"/>
        <w:gridCol w:w="2189"/>
        <w:gridCol w:w="6192"/>
        <w:gridCol w:w="936"/>
      </w:tblGrid>
      <w:tr>
        <w:tc>
          <w:tcPr>
            <w:tcW w:type="dxa" w:w="2498"/>
            <w:shd w:fill="194C4E"/>
            <w:vAlign w:val="center"/>
          </w:tcPr>
          <w:p>
            <w:pPr>
              <w:spacing w:after="20"/>
            </w:pPr>
            <w:r/>
            <w:r>
              <w:rPr>
                <w:rFonts w:ascii="Aptos" w:hAnsi="Aptos"/>
                <w:b/>
                <w:color w:val="FFFFFF"/>
                <w:sz w:val="18"/>
              </w:rPr>
              <w:t>#</w:t>
            </w:r>
          </w:p>
        </w:tc>
        <w:tc>
          <w:tcPr>
            <w:tcW w:type="dxa" w:w="2498"/>
            <w:shd w:fill="194C4E"/>
            <w:vAlign w:val="center"/>
          </w:tcPr>
          <w:p>
            <w:pPr>
              <w:spacing w:after="20"/>
            </w:pPr>
            <w:r/>
            <w:r>
              <w:rPr>
                <w:rFonts w:ascii="Aptos" w:hAnsi="Aptos"/>
                <w:b/>
                <w:color w:val="FFFFFF"/>
                <w:sz w:val="18"/>
              </w:rPr>
              <w:t>Section</w:t>
            </w:r>
          </w:p>
        </w:tc>
        <w:tc>
          <w:tcPr>
            <w:tcW w:type="dxa" w:w="2498"/>
            <w:shd w:fill="194C4E"/>
            <w:vAlign w:val="center"/>
          </w:tcPr>
          <w:p>
            <w:pPr>
              <w:spacing w:after="20"/>
            </w:pPr>
            <w:r/>
            <w:r>
              <w:rPr>
                <w:rFonts w:ascii="Aptos" w:hAnsi="Aptos"/>
                <w:b/>
                <w:color w:val="FFFFFF"/>
                <w:sz w:val="18"/>
              </w:rPr>
              <w:t>What the audience sees</w:t>
            </w:r>
          </w:p>
        </w:tc>
        <w:tc>
          <w:tcPr>
            <w:tcW w:type="dxa" w:w="2498"/>
            <w:shd w:fill="194C4E"/>
            <w:vAlign w:val="center"/>
          </w:tcPr>
          <w:p>
            <w:pPr>
              <w:spacing w:after="20"/>
            </w:pPr>
            <w:r/>
            <w:r>
              <w:rPr>
                <w:rFonts w:ascii="Aptos" w:hAnsi="Aptos"/>
                <w:b/>
                <w:color w:val="FFFFFF"/>
                <w:sz w:val="18"/>
              </w:rPr>
              <w:t>Time</w:t>
            </w:r>
          </w:p>
        </w:tc>
      </w:tr>
      <w:tr>
        <w:tc>
          <w:tcPr>
            <w:tcW w:type="dxa" w:w="605"/>
            <w:vAlign w:val="center"/>
          </w:tcPr>
          <w:p>
            <w:pPr>
              <w:spacing w:after="20"/>
            </w:pPr>
            <w:r/>
            <w:r>
              <w:rPr>
                <w:rFonts w:ascii="Aptos" w:hAnsi="Aptos"/>
                <w:b w:val="0"/>
                <w:color w:val="194C4E"/>
                <w:sz w:val="18"/>
              </w:rPr>
              <w:t>01</w:t>
            </w:r>
          </w:p>
        </w:tc>
        <w:tc>
          <w:tcPr>
            <w:tcW w:type="dxa" w:w="2189"/>
            <w:vAlign w:val="center"/>
          </w:tcPr>
          <w:p>
            <w:pPr>
              <w:spacing w:after="20"/>
            </w:pPr>
            <w:r/>
            <w:r>
              <w:rPr>
                <w:rFonts w:ascii="Aptos" w:hAnsi="Aptos"/>
                <w:b/>
                <w:sz w:val="18"/>
              </w:rPr>
              <w:t>Open on the website</w:t>
            </w:r>
          </w:p>
        </w:tc>
        <w:tc>
          <w:tcPr>
            <w:tcW w:type="dxa" w:w="6192"/>
            <w:vAlign w:val="center"/>
          </w:tcPr>
          <w:p>
            <w:pPr>
              <w:spacing w:after="20"/>
            </w:pPr>
            <w:r/>
            <w:r>
              <w:rPr>
                <w:rFonts w:ascii="Aptos" w:hAnsi="Aptos"/>
                <w:b w:val="0"/>
                <w:sz w:val="18"/>
              </w:rPr>
              <w:t>Set the problem and introduce Mandate</w:t>
            </w:r>
          </w:p>
        </w:tc>
        <w:tc>
          <w:tcPr>
            <w:tcW w:type="dxa" w:w="936"/>
            <w:vAlign w:val="center"/>
          </w:tcPr>
          <w:p>
            <w:pPr>
              <w:spacing w:after="20"/>
            </w:pPr>
            <w:r/>
            <w:r>
              <w:rPr>
                <w:rFonts w:ascii="Aptos" w:hAnsi="Aptos"/>
                <w:b w:val="0"/>
                <w:sz w:val="18"/>
              </w:rPr>
              <w:t>0:30</w:t>
            </w:r>
          </w:p>
        </w:tc>
      </w:tr>
      <w:tr>
        <w:tc>
          <w:tcPr>
            <w:tcW w:type="dxa" w:w="605"/>
            <w:vAlign w:val="center"/>
          </w:tcPr>
          <w:p>
            <w:pPr>
              <w:spacing w:after="20"/>
            </w:pPr>
            <w:r/>
            <w:r>
              <w:rPr>
                <w:rFonts w:ascii="Aptos" w:hAnsi="Aptos"/>
                <w:b w:val="0"/>
                <w:color w:val="194C4E"/>
                <w:sz w:val="18"/>
              </w:rPr>
              <w:t>02</w:t>
            </w:r>
          </w:p>
        </w:tc>
        <w:tc>
          <w:tcPr>
            <w:tcW w:type="dxa" w:w="2189"/>
            <w:vAlign w:val="center"/>
          </w:tcPr>
          <w:p>
            <w:pPr>
              <w:spacing w:after="20"/>
            </w:pPr>
            <w:r/>
            <w:r>
              <w:rPr>
                <w:rFonts w:ascii="Aptos" w:hAnsi="Aptos"/>
                <w:b/>
                <w:sz w:val="18"/>
              </w:rPr>
              <w:t>Show how it works</w:t>
            </w:r>
          </w:p>
        </w:tc>
        <w:tc>
          <w:tcPr>
            <w:tcW w:type="dxa" w:w="6192"/>
            <w:vAlign w:val="center"/>
          </w:tcPr>
          <w:p>
            <w:pPr>
              <w:spacing w:after="20"/>
            </w:pPr>
            <w:r/>
            <w:r>
              <w:rPr>
                <w:rFonts w:ascii="Aptos" w:hAnsi="Aptos"/>
                <w:b w:val="0"/>
                <w:sz w:val="18"/>
              </w:rPr>
              <w:t>Connect deal details, summary, possible lender fit and progress</w:t>
            </w:r>
          </w:p>
        </w:tc>
        <w:tc>
          <w:tcPr>
            <w:tcW w:type="dxa" w:w="936"/>
            <w:vAlign w:val="center"/>
          </w:tcPr>
          <w:p>
            <w:pPr>
              <w:spacing w:after="20"/>
            </w:pPr>
            <w:r/>
            <w:r>
              <w:rPr>
                <w:rFonts w:ascii="Aptos" w:hAnsi="Aptos"/>
                <w:b w:val="0"/>
                <w:sz w:val="18"/>
              </w:rPr>
              <w:t>0:45</w:t>
            </w:r>
          </w:p>
        </w:tc>
      </w:tr>
      <w:tr>
        <w:tc>
          <w:tcPr>
            <w:tcW w:type="dxa" w:w="605"/>
            <w:vAlign w:val="center"/>
          </w:tcPr>
          <w:p>
            <w:pPr>
              <w:spacing w:after="20"/>
            </w:pPr>
            <w:r/>
            <w:r>
              <w:rPr>
                <w:rFonts w:ascii="Aptos" w:hAnsi="Aptos"/>
                <w:b w:val="0"/>
                <w:color w:val="194C4E"/>
                <w:sz w:val="18"/>
              </w:rPr>
              <w:t>03</w:t>
            </w:r>
          </w:p>
        </w:tc>
        <w:tc>
          <w:tcPr>
            <w:tcW w:type="dxa" w:w="2189"/>
            <w:vAlign w:val="center"/>
          </w:tcPr>
          <w:p>
            <w:pPr>
              <w:spacing w:after="20"/>
            </w:pPr>
            <w:r/>
            <w:r>
              <w:rPr>
                <w:rFonts w:ascii="Aptos" w:hAnsi="Aptos"/>
                <w:b/>
                <w:sz w:val="18"/>
              </w:rPr>
              <w:t>Enter the adviser workspace</w:t>
            </w:r>
          </w:p>
        </w:tc>
        <w:tc>
          <w:tcPr>
            <w:tcW w:type="dxa" w:w="6192"/>
            <w:vAlign w:val="center"/>
          </w:tcPr>
          <w:p>
            <w:pPr>
              <w:spacing w:after="20"/>
            </w:pPr>
            <w:r/>
            <w:r>
              <w:rPr>
                <w:rFonts w:ascii="Aptos" w:hAnsi="Aptos"/>
                <w:b w:val="0"/>
                <w:sz w:val="18"/>
              </w:rPr>
              <w:t>Move from the public promise to the product the adviser uses</w:t>
            </w:r>
          </w:p>
        </w:tc>
        <w:tc>
          <w:tcPr>
            <w:tcW w:type="dxa" w:w="936"/>
            <w:vAlign w:val="center"/>
          </w:tcPr>
          <w:p>
            <w:pPr>
              <w:spacing w:after="20"/>
            </w:pPr>
            <w:r/>
            <w:r>
              <w:rPr>
                <w:rFonts w:ascii="Aptos" w:hAnsi="Aptos"/>
                <w:b w:val="0"/>
                <w:sz w:val="18"/>
              </w:rPr>
              <w:t>0:15</w:t>
            </w:r>
          </w:p>
        </w:tc>
      </w:tr>
      <w:tr>
        <w:tc>
          <w:tcPr>
            <w:tcW w:type="dxa" w:w="605"/>
            <w:vAlign w:val="center"/>
          </w:tcPr>
          <w:p>
            <w:pPr>
              <w:spacing w:after="20"/>
            </w:pPr>
            <w:r/>
            <w:r>
              <w:rPr>
                <w:rFonts w:ascii="Aptos" w:hAnsi="Aptos"/>
                <w:b w:val="0"/>
                <w:color w:val="194C4E"/>
                <w:sz w:val="18"/>
              </w:rPr>
              <w:t>04</w:t>
            </w:r>
          </w:p>
        </w:tc>
        <w:tc>
          <w:tcPr>
            <w:tcW w:type="dxa" w:w="2189"/>
            <w:vAlign w:val="center"/>
          </w:tcPr>
          <w:p>
            <w:pPr>
              <w:spacing w:after="20"/>
            </w:pPr>
            <w:r/>
            <w:r>
              <w:rPr>
                <w:rFonts w:ascii="Aptos" w:hAnsi="Aptos"/>
                <w:b/>
                <w:sz w:val="18"/>
              </w:rPr>
              <w:t>Walk through one deal</w:t>
            </w:r>
          </w:p>
        </w:tc>
        <w:tc>
          <w:tcPr>
            <w:tcW w:type="dxa" w:w="6192"/>
            <w:vAlign w:val="center"/>
          </w:tcPr>
          <w:p>
            <w:pPr>
              <w:spacing w:after="20"/>
            </w:pPr>
            <w:r/>
            <w:r>
              <w:rPr>
                <w:rFonts w:ascii="Aptos" w:hAnsi="Aptos"/>
                <w:b w:val="0"/>
                <w:sz w:val="18"/>
              </w:rPr>
              <w:t>Show deal overview, draft summary, lender criteria comparison and progress</w:t>
            </w:r>
          </w:p>
        </w:tc>
        <w:tc>
          <w:tcPr>
            <w:tcW w:type="dxa" w:w="936"/>
            <w:vAlign w:val="center"/>
          </w:tcPr>
          <w:p>
            <w:pPr>
              <w:spacing w:after="20"/>
            </w:pPr>
            <w:r/>
            <w:r>
              <w:rPr>
                <w:rFonts w:ascii="Aptos" w:hAnsi="Aptos"/>
                <w:b w:val="0"/>
                <w:sz w:val="18"/>
              </w:rPr>
              <w:t>2:00</w:t>
            </w:r>
          </w:p>
        </w:tc>
      </w:tr>
      <w:tr>
        <w:tc>
          <w:tcPr>
            <w:tcW w:type="dxa" w:w="605"/>
            <w:vAlign w:val="center"/>
          </w:tcPr>
          <w:p>
            <w:pPr>
              <w:spacing w:after="20"/>
            </w:pPr>
            <w:r/>
            <w:r>
              <w:rPr>
                <w:rFonts w:ascii="Aptos" w:hAnsi="Aptos"/>
                <w:b w:val="0"/>
                <w:color w:val="194C4E"/>
                <w:sz w:val="18"/>
              </w:rPr>
              <w:t>05</w:t>
            </w:r>
          </w:p>
        </w:tc>
        <w:tc>
          <w:tcPr>
            <w:tcW w:type="dxa" w:w="2189"/>
            <w:vAlign w:val="center"/>
          </w:tcPr>
          <w:p>
            <w:pPr>
              <w:spacing w:after="20"/>
            </w:pPr>
            <w:r/>
            <w:r>
              <w:rPr>
                <w:rFonts w:ascii="Aptos" w:hAnsi="Aptos"/>
                <w:b/>
                <w:sz w:val="18"/>
              </w:rPr>
              <w:t>Explain the value and limits</w:t>
            </w:r>
          </w:p>
        </w:tc>
        <w:tc>
          <w:tcPr>
            <w:tcW w:type="dxa" w:w="6192"/>
            <w:vAlign w:val="center"/>
          </w:tcPr>
          <w:p>
            <w:pPr>
              <w:spacing w:after="20"/>
            </w:pPr>
            <w:r/>
            <w:r>
              <w:rPr>
                <w:rFonts w:ascii="Aptos" w:hAnsi="Aptos"/>
                <w:b w:val="0"/>
                <w:sz w:val="18"/>
              </w:rPr>
              <w:t>Less organising and clearer possible fits; adviser makes decisions</w:t>
            </w:r>
          </w:p>
        </w:tc>
        <w:tc>
          <w:tcPr>
            <w:tcW w:type="dxa" w:w="936"/>
            <w:vAlign w:val="center"/>
          </w:tcPr>
          <w:p>
            <w:pPr>
              <w:spacing w:after="20"/>
            </w:pPr>
            <w:r/>
            <w:r>
              <w:rPr>
                <w:rFonts w:ascii="Aptos" w:hAnsi="Aptos"/>
                <w:b w:val="0"/>
                <w:sz w:val="18"/>
              </w:rPr>
              <w:t>0:45</w:t>
            </w:r>
          </w:p>
        </w:tc>
      </w:tr>
      <w:tr>
        <w:tc>
          <w:tcPr>
            <w:tcW w:type="dxa" w:w="605"/>
            <w:vAlign w:val="center"/>
          </w:tcPr>
          <w:p>
            <w:pPr>
              <w:spacing w:after="20"/>
            </w:pPr>
            <w:r/>
            <w:r>
              <w:rPr>
                <w:rFonts w:ascii="Aptos" w:hAnsi="Aptos"/>
                <w:b w:val="0"/>
                <w:color w:val="194C4E"/>
                <w:sz w:val="18"/>
              </w:rPr>
              <w:t>06</w:t>
            </w:r>
          </w:p>
        </w:tc>
        <w:tc>
          <w:tcPr>
            <w:tcW w:type="dxa" w:w="2189"/>
            <w:vAlign w:val="center"/>
          </w:tcPr>
          <w:p>
            <w:pPr>
              <w:spacing w:after="20"/>
            </w:pPr>
            <w:r/>
            <w:r>
              <w:rPr>
                <w:rFonts w:ascii="Aptos" w:hAnsi="Aptos"/>
                <w:b/>
                <w:sz w:val="18"/>
              </w:rPr>
              <w:t>Close with what we are testing</w:t>
            </w:r>
          </w:p>
        </w:tc>
        <w:tc>
          <w:tcPr>
            <w:tcW w:type="dxa" w:w="6192"/>
            <w:vAlign w:val="center"/>
          </w:tcPr>
          <w:p>
            <w:pPr>
              <w:spacing w:after="20"/>
            </w:pPr>
            <w:r/>
            <w:r>
              <w:rPr>
                <w:rFonts w:ascii="Aptos" w:hAnsi="Aptos"/>
                <w:b w:val="0"/>
                <w:sz w:val="18"/>
              </w:rPr>
              <w:t>Invite feedback on usefulness, trust and subscription value</w:t>
            </w:r>
          </w:p>
        </w:tc>
        <w:tc>
          <w:tcPr>
            <w:tcW w:type="dxa" w:w="936"/>
            <w:vAlign w:val="center"/>
          </w:tcPr>
          <w:p>
            <w:pPr>
              <w:spacing w:after="20"/>
            </w:pPr>
            <w:r/>
            <w:r>
              <w:rPr>
                <w:rFonts w:ascii="Aptos" w:hAnsi="Aptos"/>
                <w:b w:val="0"/>
                <w:sz w:val="18"/>
              </w:rPr>
              <w:t>0:45</w:t>
            </w:r>
          </w:p>
        </w:tc>
      </w:tr>
    </w:tbl>
    <w:p>
      <w:pPr>
        <w:pStyle w:val="Heading1"/>
      </w:pPr>
      <w:r>
        <w:t>Website portion</w:t>
      </w:r>
    </w:p>
    <w:p>
      <w:pPr>
        <w:pStyle w:val="Heading2"/>
      </w:pPr>
      <w:r>
        <w:t>1. Start with the homepage</w:t>
      </w:r>
    </w:p>
    <w:p>
      <w:r>
        <w:rPr>
          <w:b/>
        </w:rPr>
        <w:t xml:space="preserve">Show: </w:t>
      </w:r>
      <w:r>
        <w:t>The hero message and the “Explore the demo” button.</w:t>
      </w:r>
    </w:p>
    <w:p>
      <w:r>
        <w:rPr>
          <w:b/>
        </w:rPr>
        <w:t xml:space="preserve">Say: </w:t>
      </w:r>
      <w:r>
        <w:t>“Commercial finance can be difficult to navigate. Advisers gather deal information, prepare a clear story and work out which lenders may be relevant. Mandate is our idea for making that path clearer.”</w:t>
      </w:r>
    </w:p>
    <w:p>
      <w:pPr>
        <w:pStyle w:val="Heading2"/>
      </w:pPr>
      <w:r>
        <w:t>2. Use the “How it works” section</w:t>
      </w:r>
    </w:p>
    <w:p>
      <w:r>
        <w:rPr>
          <w:b/>
        </w:rPr>
        <w:t xml:space="preserve">Show: </w:t>
      </w:r>
      <w:r>
        <w:t>Bring the deal together → prepare the story → find a possible fit.</w:t>
      </w:r>
    </w:p>
    <w:p>
      <w:r>
        <w:rPr>
          <w:b/>
        </w:rPr>
        <w:t xml:space="preserve">Say: </w:t>
      </w:r>
      <w:r>
        <w:t>“The concept brings those steps into one place, so the adviser can spend less time organising information and has a clearer view of possible next steps.”</w:t>
      </w:r>
    </w:p>
    <w:p>
      <w:r>
        <w:rPr>
          <w:b/>
        </w:rPr>
        <w:t xml:space="preserve">Transition: </w:t>
      </w:r>
      <w:r>
        <w:t>“Let’s move from the website explanation into the workspace an adviser would use.”</w:t>
      </w:r>
    </w:p>
    <w:p>
      <w:r>
        <w:br w:type="page"/>
      </w:r>
    </w:p>
    <w:p>
      <w:pPr>
        <w:pStyle w:val="Heading1"/>
      </w:pPr>
      <w:r>
        <w:t>Adviser software portion</w:t>
      </w:r>
    </w:p>
    <w:p>
      <w:pPr>
        <w:pStyle w:val="Heading2"/>
      </w:pPr>
      <w:r>
        <w:t>3. Enter the demo workspace</w:t>
      </w:r>
    </w:p>
    <w:p>
      <w:r>
        <w:rPr>
          <w:b/>
        </w:rPr>
        <w:t xml:space="preserve">Show: </w:t>
      </w:r>
      <w:r>
        <w:t>Overview dashboard and sample deals. Point out the sample-data label.</w:t>
      </w:r>
    </w:p>
    <w:p>
      <w:r>
        <w:rPr>
          <w:b/>
        </w:rPr>
        <w:t xml:space="preserve">Say: </w:t>
      </w:r>
      <w:r>
        <w:t>“This is the adviser view. For the presentation, we’re using fictional deal and lender information.”</w:t>
      </w:r>
    </w:p>
    <w:p>
      <w:pPr>
        <w:pStyle w:val="Heading2"/>
      </w:pPr>
      <w:r>
        <w:t>4. Open one fictional deal</w:t>
      </w:r>
    </w:p>
    <w:p>
      <w:r>
        <w:rPr>
          <w:b/>
        </w:rPr>
        <w:t xml:space="preserve">Show: </w:t>
      </w:r>
      <w:r>
        <w:t>Deal details, the draft summary and deal-pack checklist.</w:t>
      </w:r>
    </w:p>
    <w:p>
      <w:r>
        <w:rPr>
          <w:b/>
        </w:rPr>
        <w:t xml:space="preserve">Say: </w:t>
      </w:r>
      <w:r>
        <w:t>“The deal information is brought together here. The summary is a draft for the adviser to review and refine; it is not sent automatically.”</w:t>
      </w:r>
    </w:p>
    <w:p>
      <w:pPr>
        <w:pStyle w:val="Heading2"/>
      </w:pPr>
      <w:r>
        <w:t>5. Explore possible lender fits</w:t>
      </w:r>
    </w:p>
    <w:p>
      <w:r>
        <w:rPr>
          <w:b/>
        </w:rPr>
        <w:t xml:space="preserve">Show: </w:t>
      </w:r>
      <w:r>
        <w:t>Potential lender fit and the lender criteria comparison, including the explanation of criteria overlap.</w:t>
      </w:r>
    </w:p>
    <w:p>
      <w:r>
        <w:rPr>
          <w:b/>
        </w:rPr>
        <w:t xml:space="preserve">Say: </w:t>
      </w:r>
      <w:r>
        <w:t>“The comparison helps make possible fits easier to assess by showing which sample criteria overlap with the deal. The adviser still checks current criteria and chooses who to approach.”</w:t>
      </w:r>
    </w:p>
    <w:p>
      <w:pPr>
        <w:pStyle w:val="Heading2"/>
      </w:pPr>
      <w:r>
        <w:t>6. Track the next step</w:t>
      </w:r>
    </w:p>
    <w:p>
      <w:r>
        <w:rPr>
          <w:b/>
        </w:rPr>
        <w:t xml:space="preserve">Show: </w:t>
      </w:r>
      <w:r>
        <w:t>Deal progress and activity. Advance the sample stage if the demo is reset and ready.</w:t>
      </w:r>
    </w:p>
    <w:p>
      <w:r>
        <w:rPr>
          <w:b/>
        </w:rPr>
        <w:t xml:space="preserve">Say: </w:t>
      </w:r>
      <w:r>
        <w:t>“The workspace keeps the status and next action visible as the application moves forward.”</w:t>
      </w:r>
    </w:p>
    <w:p>
      <w:pPr>
        <w:pStyle w:val="Heading1"/>
      </w:pPr>
      <w:r>
        <w:t>Close and invite feedback</w:t>
      </w:r>
    </w:p>
    <w:p>
      <w:r>
        <w:t>“That’s the workflow we’re exploring: bringing the deal together, making lender options easier to assess and keeping progress visible. We’re still validating the idea with advisers. Which step would be most useful in your work, and what would you need to trust a tool like this?”</w:t>
      </w:r>
    </w:p>
    <w:p>
      <w:pPr>
        <w:pStyle w:val="Heading1"/>
      </w:pPr>
      <w:r>
        <w:t>Presenter reminders</w:t>
      </w:r>
    </w:p>
    <w:p>
      <w:pPr>
        <w:pStyle w:val="ListBullet"/>
        <w:spacing w:after="40"/>
      </w:pPr>
      <w:r>
        <w:t>Keep the website tour brief; the product walkthrough is the centrepiece.</w:t>
      </w:r>
    </w:p>
    <w:p>
      <w:pPr>
        <w:pStyle w:val="ListBullet"/>
        <w:spacing w:after="40"/>
      </w:pPr>
      <w:r>
        <w:t>Use one fictional deal from start to finish. Reset the demo beforehand.</w:t>
      </w:r>
    </w:p>
    <w:p>
      <w:pPr>
        <w:pStyle w:val="ListBullet"/>
        <w:spacing w:after="40"/>
      </w:pPr>
      <w:r>
        <w:t>Describe lender results as possible fits based on illustrative criteria, not recommendations, approvals or offers.</w:t>
      </w:r>
    </w:p>
    <w:p>
      <w:pPr>
        <w:pStyle w:val="ListBullet"/>
        <w:spacing w:after="40"/>
      </w:pPr>
      <w:r>
        <w:t>Do not claim measured time savings, proven match accuracy or a validated subscription price.</w:t>
      </w:r>
    </w:p>
    <w:p>
      <w:pPr>
        <w:pStyle w:val="ListBullet"/>
        <w:spacing w:after="40"/>
      </w:pPr>
      <w:r>
        <w:t>If asked about pricing, say the monthly subscription model is being explored and the price is still to be validated.</w:t>
      </w:r>
    </w:p>
    <w:sectPr w:rsidR="00FC693F" w:rsidRPr="0006063C" w:rsidSect="00034616">
      <w:footerReference w:type="default" r:id="rId9"/>
      <w:pgSz w:w="12240" w:h="15840"/>
      <w:pgMar w:top="893" w:right="1123" w:bottom="893"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F8283"/>
        <w:sz w:val="16"/>
      </w:rPr>
      <w:t>MANDATE  |  WORKING PRESENTATION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B373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94C4E"/>
      <w:sz w:val="3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194C4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before="180"/>
      <w:contextualSpacing/>
    </w:pPr>
    <w:rPr>
      <w:rFonts w:asciiTheme="majorHAnsi" w:eastAsiaTheme="majorEastAsia" w:hAnsiTheme="majorHAnsi" w:cstheme="majorBidi" w:ascii="Aptos Display" w:hAnsi="Aptos Display"/>
      <w:b/>
      <w:color w:val="192F36"/>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