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0FA3D" w14:textId="77777777" w:rsidR="00B17E0A" w:rsidRPr="00274188" w:rsidRDefault="00B17E0A" w:rsidP="00274188">
      <w:pPr>
        <w:spacing w:after="0" w:line="240" w:lineRule="auto"/>
        <w:jc w:val="both"/>
        <w:rPr>
          <w:rFonts w:ascii="Times New Roman" w:hAnsi="Times New Roman" w:cs="Times New Roman"/>
          <w:b/>
          <w:bCs/>
          <w:kern w:val="0"/>
          <w:sz w:val="24"/>
          <w14:ligatures w14:val="none"/>
        </w:rPr>
      </w:pPr>
    </w:p>
    <w:p w14:paraId="115A20A5" w14:textId="77777777" w:rsidR="00B17E0A" w:rsidRPr="00274188" w:rsidRDefault="00B17E0A" w:rsidP="00274188">
      <w:pPr>
        <w:widowControl/>
        <w:spacing w:after="240" w:line="240" w:lineRule="auto"/>
        <w:jc w:val="both"/>
        <w:outlineLvl w:val="0"/>
        <w:rPr>
          <w:rFonts w:ascii="Times New Roman" w:hAnsi="Times New Roman" w:cs="Times New Roman"/>
          <w:color w:val="2E74B5"/>
          <w:kern w:val="0"/>
          <w:sz w:val="24"/>
          <w14:ligatures w14:val="none"/>
        </w:rPr>
      </w:pPr>
      <w:r w:rsidRPr="00274188">
        <w:rPr>
          <w:rFonts w:ascii="Times New Roman" w:eastAsia="Times New Roman" w:hAnsi="Times New Roman" w:cs="Times New Roman"/>
          <w:b/>
          <w:bCs/>
          <w:color w:val="2E74B5"/>
          <w:kern w:val="0"/>
          <w:sz w:val="24"/>
          <w14:ligatures w14:val="none"/>
        </w:rPr>
        <w:t>Introduction</w:t>
      </w:r>
    </w:p>
    <w:p w14:paraId="49A32731" w14:textId="1A8B7907" w:rsidR="00B17E0A" w:rsidRPr="00274188" w:rsidRDefault="00B17E0A" w:rsidP="00274188">
      <w:pPr>
        <w:spacing w:after="2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Hemifacial spasm (HFS) is a chronic neuromuscular disorder characterized by involuntary, unilateral contractions of the facial muscles that impair daily function and quality of life</w:t>
      </w:r>
      <w:r w:rsidR="00501321">
        <w:rPr>
          <w:rFonts w:ascii="Times New Roman" w:eastAsia="Times New Roman" w:hAnsi="Times New Roman" w:cs="Times New Roman"/>
          <w:kern w:val="0"/>
          <w:sz w:val="24"/>
          <w:vertAlign w:val="superscript"/>
          <w14:ligatures w14:val="none"/>
        </w:rPr>
        <w:fldChar w:fldCharType="begin">
          <w:fldData xml:space="preserve">PEVuZE5vdGU+PENpdGU+PEF1dGhvcj5YaWFuZzwvQXV0aG9yPjxZZWFyPjIwMjQ8L1llYXI+PFJl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=
</w:fldData>
        </w:fldChar>
      </w:r>
      <w:r w:rsidR="00501321">
        <w:rPr>
          <w:rFonts w:ascii="Times New Roman" w:eastAsia="Times New Roman" w:hAnsi="Times New Roman" w:cs="Times New Roman"/>
          <w:kern w:val="0"/>
          <w:sz w:val="24"/>
          <w:vertAlign w:val="superscript"/>
          <w14:ligatures w14:val="none"/>
        </w:rPr>
        <w:instrText xml:space="preserve"> ADDIN EN.CITE </w:instrText>
      </w:r>
      <w:r w:rsidR="00501321">
        <w:rPr>
          <w:rFonts w:ascii="Times New Roman" w:eastAsia="Times New Roman" w:hAnsi="Times New Roman" w:cs="Times New Roman"/>
          <w:kern w:val="0"/>
          <w:sz w:val="24"/>
          <w:vertAlign w:val="superscript"/>
          <w14:ligatures w14:val="none"/>
        </w:rPr>
        <w:fldChar w:fldCharType="begin">
          <w:fldData xml:space="preserve">PEVuZE5vdGU+PENpdGU+PEF1dGhvcj5YaWFuZzwvQXV0aG9yPjxZZWFyPjIwMjQ8L1llYXI+PFJl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=
</w:fldData>
        </w:fldChar>
      </w:r>
      <w:r w:rsidR="00501321">
        <w:rPr>
          <w:rFonts w:ascii="Times New Roman" w:eastAsia="Times New Roman" w:hAnsi="Times New Roman" w:cs="Times New Roman"/>
          <w:kern w:val="0"/>
          <w:sz w:val="24"/>
          <w:vertAlign w:val="superscript"/>
          <w14:ligatures w14:val="none"/>
        </w:rPr>
        <w:instrText xml:space="preserve"> ADDIN EN.CITE.DATA </w:instrText>
      </w:r>
      <w:r w:rsidR="00501321">
        <w:rPr>
          <w:rFonts w:ascii="Times New Roman" w:eastAsia="Times New Roman" w:hAnsi="Times New Roman" w:cs="Times New Roman"/>
          <w:kern w:val="0"/>
          <w:sz w:val="24"/>
          <w:vertAlign w:val="superscript"/>
          <w14:ligatures w14:val="none"/>
        </w:rPr>
      </w:r>
      <w:r w:rsidR="00501321">
        <w:rPr>
          <w:rFonts w:ascii="Times New Roman" w:eastAsia="Times New Roman" w:hAnsi="Times New Roman" w:cs="Times New Roman"/>
          <w:kern w:val="0"/>
          <w:sz w:val="24"/>
          <w:vertAlign w:val="superscript"/>
          <w14:ligatures w14:val="none"/>
        </w:rPr>
        <w:fldChar w:fldCharType="end"/>
      </w:r>
      <w:r w:rsidR="00501321">
        <w:rPr>
          <w:rFonts w:ascii="Times New Roman" w:eastAsia="Times New Roman" w:hAnsi="Times New Roman" w:cs="Times New Roman"/>
          <w:kern w:val="0"/>
          <w:sz w:val="24"/>
          <w:vertAlign w:val="superscript"/>
          <w14:ligatures w14:val="none"/>
        </w:rPr>
      </w:r>
      <w:r w:rsidR="00501321">
        <w:rPr>
          <w:rFonts w:ascii="Times New Roman" w:eastAsia="Times New Roman" w:hAnsi="Times New Roman" w:cs="Times New Roman"/>
          <w:kern w:val="0"/>
          <w:sz w:val="24"/>
          <w:vertAlign w:val="superscript"/>
          <w14:ligatures w14:val="none"/>
        </w:rPr>
        <w:fldChar w:fldCharType="separate"/>
      </w:r>
      <w:r w:rsidR="00501321">
        <w:rPr>
          <w:rFonts w:ascii="Times New Roman" w:eastAsia="Times New Roman" w:hAnsi="Times New Roman" w:cs="Times New Roman"/>
          <w:noProof/>
          <w:kern w:val="0"/>
          <w:sz w:val="24"/>
          <w:vertAlign w:val="superscript"/>
          <w14:ligatures w14:val="none"/>
        </w:rPr>
        <w:t>(1)</w:t>
      </w:r>
      <w:r w:rsidR="00501321">
        <w:rPr>
          <w:rFonts w:ascii="Times New Roman" w:eastAsia="Times New Roman" w:hAnsi="Times New Roman" w:cs="Times New Roman"/>
          <w:kern w:val="0"/>
          <w:sz w:val="24"/>
          <w:vertAlign w:val="superscript"/>
          <w14:ligatures w14:val="none"/>
        </w:rPr>
        <w:fldChar w:fldCharType="end"/>
      </w:r>
      <w:r w:rsidRPr="00274188">
        <w:rPr>
          <w:rFonts w:ascii="Times New Roman" w:eastAsia="Times New Roman" w:hAnsi="Times New Roman" w:cs="Times New Roman"/>
          <w:kern w:val="0"/>
          <w:sz w:val="24"/>
          <w14:ligatures w14:val="none"/>
        </w:rPr>
        <w:t>. Primary HFS (</w:t>
      </w:r>
      <w:proofErr w:type="spellStart"/>
      <w:r w:rsidRPr="00274188">
        <w:rPr>
          <w:rFonts w:ascii="Times New Roman" w:eastAsia="Times New Roman" w:hAnsi="Times New Roman" w:cs="Times New Roman"/>
          <w:kern w:val="0"/>
          <w:sz w:val="24"/>
          <w14:ligatures w14:val="none"/>
        </w:rPr>
        <w:t>pHFS</w:t>
      </w:r>
      <w:proofErr w:type="spellEnd"/>
      <w:r w:rsidRPr="00274188">
        <w:rPr>
          <w:rFonts w:ascii="Times New Roman" w:eastAsia="Times New Roman" w:hAnsi="Times New Roman" w:cs="Times New Roman"/>
          <w:kern w:val="0"/>
          <w:sz w:val="24"/>
          <w14:ligatures w14:val="none"/>
        </w:rPr>
        <w:t>), the predominant form, results from neurovascular compression at the root exit zone of the facial nerve, producing ephaptic transmission and facial-nucleus hyperexcitability</w:t>
      </w:r>
      <w:r w:rsidR="00501321">
        <w:rPr>
          <w:rFonts w:ascii="Times New Roman" w:eastAsia="Times New Roman" w:hAnsi="Times New Roman" w:cs="Times New Roman"/>
          <w:kern w:val="0"/>
          <w:sz w:val="24"/>
          <w:vertAlign w:val="superscript"/>
          <w14:ligatures w14:val="none"/>
        </w:rPr>
        <w:fldChar w:fldCharType="begin">
          <w:fldData xml:space="preserve">PEVuZE5vdGU+PENpdGU+PEF1dGhvcj5KZXN1dGhhc2FuPC9BdXRob3I+PFllYXI+MjAyNTwvWWVh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</w:fldData>
        </w:fldChar>
      </w:r>
      <w:r w:rsidR="00501321">
        <w:rPr>
          <w:rFonts w:ascii="Times New Roman" w:eastAsia="Times New Roman" w:hAnsi="Times New Roman" w:cs="Times New Roman"/>
          <w:kern w:val="0"/>
          <w:sz w:val="24"/>
          <w:vertAlign w:val="superscript"/>
          <w14:ligatures w14:val="none"/>
        </w:rPr>
        <w:instrText xml:space="preserve"> ADDIN EN.CITE </w:instrText>
      </w:r>
      <w:r w:rsidR="00501321">
        <w:rPr>
          <w:rFonts w:ascii="Times New Roman" w:eastAsia="Times New Roman" w:hAnsi="Times New Roman" w:cs="Times New Roman"/>
          <w:kern w:val="0"/>
          <w:sz w:val="24"/>
          <w:vertAlign w:val="superscript"/>
          <w14:ligatures w14:val="none"/>
        </w:rPr>
        <w:fldChar w:fldCharType="begin">
          <w:fldData xml:space="preserve">PEVuZE5vdGU+PENpdGU+PEF1dGhvcj5KZXN1dGhhc2FuPC9BdXRob3I+PFllYXI+MjAyNTwvWWVh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</w:fldData>
        </w:fldChar>
      </w:r>
      <w:r w:rsidR="00501321">
        <w:rPr>
          <w:rFonts w:ascii="Times New Roman" w:eastAsia="Times New Roman" w:hAnsi="Times New Roman" w:cs="Times New Roman"/>
          <w:kern w:val="0"/>
          <w:sz w:val="24"/>
          <w:vertAlign w:val="superscript"/>
          <w14:ligatures w14:val="none"/>
        </w:rPr>
        <w:instrText xml:space="preserve"> ADDIN EN.CITE.DATA </w:instrText>
      </w:r>
      <w:r w:rsidR="00501321">
        <w:rPr>
          <w:rFonts w:ascii="Times New Roman" w:eastAsia="Times New Roman" w:hAnsi="Times New Roman" w:cs="Times New Roman"/>
          <w:kern w:val="0"/>
          <w:sz w:val="24"/>
          <w:vertAlign w:val="superscript"/>
          <w14:ligatures w14:val="none"/>
        </w:rPr>
      </w:r>
      <w:r w:rsidR="00501321">
        <w:rPr>
          <w:rFonts w:ascii="Times New Roman" w:eastAsia="Times New Roman" w:hAnsi="Times New Roman" w:cs="Times New Roman"/>
          <w:kern w:val="0"/>
          <w:sz w:val="24"/>
          <w:vertAlign w:val="superscript"/>
          <w14:ligatures w14:val="none"/>
        </w:rPr>
        <w:fldChar w:fldCharType="end"/>
      </w:r>
      <w:r w:rsidR="00501321">
        <w:rPr>
          <w:rFonts w:ascii="Times New Roman" w:eastAsia="Times New Roman" w:hAnsi="Times New Roman" w:cs="Times New Roman"/>
          <w:kern w:val="0"/>
          <w:sz w:val="24"/>
          <w:vertAlign w:val="superscript"/>
          <w14:ligatures w14:val="none"/>
        </w:rPr>
      </w:r>
      <w:r w:rsidR="00501321">
        <w:rPr>
          <w:rFonts w:ascii="Times New Roman" w:eastAsia="Times New Roman" w:hAnsi="Times New Roman" w:cs="Times New Roman"/>
          <w:kern w:val="0"/>
          <w:sz w:val="24"/>
          <w:vertAlign w:val="superscript"/>
          <w14:ligatures w14:val="none"/>
        </w:rPr>
        <w:fldChar w:fldCharType="separate"/>
      </w:r>
      <w:r w:rsidR="00501321">
        <w:rPr>
          <w:rFonts w:ascii="Times New Roman" w:eastAsia="Times New Roman" w:hAnsi="Times New Roman" w:cs="Times New Roman"/>
          <w:noProof/>
          <w:kern w:val="0"/>
          <w:sz w:val="24"/>
          <w:vertAlign w:val="superscript"/>
          <w14:ligatures w14:val="none"/>
        </w:rPr>
        <w:t>(2)</w:t>
      </w:r>
      <w:r w:rsidR="00501321">
        <w:rPr>
          <w:rFonts w:ascii="Times New Roman" w:eastAsia="Times New Roman" w:hAnsi="Times New Roman" w:cs="Times New Roman"/>
          <w:kern w:val="0"/>
          <w:sz w:val="24"/>
          <w:vertAlign w:val="superscript"/>
          <w14:ligatures w14:val="none"/>
        </w:rPr>
        <w:fldChar w:fldCharType="end"/>
      </w:r>
      <w:r w:rsidRPr="00274188">
        <w:rPr>
          <w:rFonts w:ascii="Times New Roman" w:eastAsia="Times New Roman" w:hAnsi="Times New Roman" w:cs="Times New Roman"/>
          <w:kern w:val="0"/>
          <w:sz w:val="24"/>
          <w14:ligatures w14:val="none"/>
        </w:rPr>
        <w:t>. Microvascular decompression (MVD) is the definitive treatment, with recent systematic reviews and prospective multicenter studies reporting durable spasm relief in over 90% of patients</w:t>
      </w:r>
      <w:r w:rsidR="00501321">
        <w:rPr>
          <w:rFonts w:ascii="Times New Roman" w:eastAsia="Times New Roman" w:hAnsi="Times New Roman" w:cs="Times New Roman"/>
          <w:kern w:val="0"/>
          <w:sz w:val="24"/>
          <w:vertAlign w:val="superscript"/>
          <w14:ligatures w14:val="none"/>
        </w:rPr>
        <w:fldChar w:fldCharType="begin">
          <w:fldData xml:space="preserve">PEVuZE5vdGU+PENpdGU+PEF1dGhvcj5MaTwvQXV0aG9yPjxZZWFyPjIwMjI8L1llYXI+PFJlY051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</w:fldData>
        </w:fldChar>
      </w:r>
      <w:r w:rsidR="00240565">
        <w:rPr>
          <w:rFonts w:ascii="Times New Roman" w:eastAsia="Times New Roman" w:hAnsi="Times New Roman" w:cs="Times New Roman"/>
          <w:kern w:val="0"/>
          <w:sz w:val="24"/>
          <w:vertAlign w:val="superscript"/>
          <w14:ligatures w14:val="none"/>
        </w:rPr>
        <w:instrText xml:space="preserve"> ADDIN EN.CITE </w:instrText>
      </w:r>
      <w:r w:rsidR="00240565">
        <w:rPr>
          <w:rFonts w:ascii="Times New Roman" w:eastAsia="Times New Roman" w:hAnsi="Times New Roman" w:cs="Times New Roman"/>
          <w:kern w:val="0"/>
          <w:sz w:val="24"/>
          <w:vertAlign w:val="superscript"/>
          <w14:ligatures w14:val="none"/>
        </w:rPr>
        <w:fldChar w:fldCharType="begin">
          <w:fldData xml:space="preserve">PEVuZE5vdGU+PENpdGU+PEF1dGhvcj5MaTwvQXV0aG9yPjxZZWFyPjIwMjI8L1llYXI+PFJlY051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</w:fldData>
        </w:fldChar>
      </w:r>
      <w:r w:rsidR="00240565">
        <w:rPr>
          <w:rFonts w:ascii="Times New Roman" w:eastAsia="Times New Roman" w:hAnsi="Times New Roman" w:cs="Times New Roman"/>
          <w:kern w:val="0"/>
          <w:sz w:val="24"/>
          <w:vertAlign w:val="superscript"/>
          <w14:ligatures w14:val="none"/>
        </w:rPr>
        <w:instrText xml:space="preserve"> ADDIN EN.CITE.DATA </w:instrText>
      </w:r>
      <w:r w:rsidR="00240565">
        <w:rPr>
          <w:rFonts w:ascii="Times New Roman" w:eastAsia="Times New Roman" w:hAnsi="Times New Roman" w:cs="Times New Roman"/>
          <w:kern w:val="0"/>
          <w:sz w:val="24"/>
          <w:vertAlign w:val="superscript"/>
          <w14:ligatures w14:val="none"/>
        </w:rPr>
      </w:r>
      <w:r w:rsidR="00240565">
        <w:rPr>
          <w:rFonts w:ascii="Times New Roman" w:eastAsia="Times New Roman" w:hAnsi="Times New Roman" w:cs="Times New Roman"/>
          <w:kern w:val="0"/>
          <w:sz w:val="24"/>
          <w:vertAlign w:val="superscript"/>
          <w14:ligatures w14:val="none"/>
        </w:rPr>
        <w:fldChar w:fldCharType="end"/>
      </w:r>
      <w:r w:rsidR="00501321">
        <w:rPr>
          <w:rFonts w:ascii="Times New Roman" w:eastAsia="Times New Roman" w:hAnsi="Times New Roman" w:cs="Times New Roman"/>
          <w:kern w:val="0"/>
          <w:sz w:val="24"/>
          <w:vertAlign w:val="superscript"/>
          <w14:ligatures w14:val="none"/>
        </w:rPr>
      </w:r>
      <w:r w:rsidR="00501321">
        <w:rPr>
          <w:rFonts w:ascii="Times New Roman" w:eastAsia="Times New Roman" w:hAnsi="Times New Roman" w:cs="Times New Roman"/>
          <w:kern w:val="0"/>
          <w:sz w:val="24"/>
          <w:vertAlign w:val="superscript"/>
          <w14:ligatures w14:val="none"/>
        </w:rPr>
        <w:fldChar w:fldCharType="separate"/>
      </w:r>
      <w:r w:rsidR="00240565">
        <w:rPr>
          <w:rFonts w:ascii="Times New Roman" w:eastAsia="Times New Roman" w:hAnsi="Times New Roman" w:cs="Times New Roman"/>
          <w:noProof/>
          <w:kern w:val="0"/>
          <w:sz w:val="24"/>
          <w:vertAlign w:val="superscript"/>
          <w14:ligatures w14:val="none"/>
        </w:rPr>
        <w:t>(3-5)</w:t>
      </w:r>
      <w:r w:rsidR="00501321">
        <w:rPr>
          <w:rFonts w:ascii="Times New Roman" w:eastAsia="Times New Roman" w:hAnsi="Times New Roman" w:cs="Times New Roman"/>
          <w:kern w:val="0"/>
          <w:sz w:val="24"/>
          <w:vertAlign w:val="superscript"/>
          <w14:ligatures w14:val="none"/>
        </w:rPr>
        <w:fldChar w:fldCharType="end"/>
      </w:r>
      <w:r w:rsidRPr="00274188">
        <w:rPr>
          <w:rFonts w:ascii="Times New Roman" w:eastAsia="Times New Roman" w:hAnsi="Times New Roman" w:cs="Times New Roman"/>
          <w:kern w:val="0"/>
          <w:sz w:val="24"/>
          <w14:ligatures w14:val="none"/>
        </w:rPr>
        <w:t xml:space="preserve">. However, a subset of patients still experiences persistent or recurrent </w:t>
      </w:r>
      <w:proofErr w:type="gramStart"/>
      <w:r w:rsidRPr="00274188">
        <w:rPr>
          <w:rFonts w:ascii="Times New Roman" w:eastAsia="Times New Roman" w:hAnsi="Times New Roman" w:cs="Times New Roman"/>
          <w:kern w:val="0"/>
          <w:sz w:val="24"/>
          <w14:ligatures w14:val="none"/>
        </w:rPr>
        <w:t>spasm</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6]</w:t>
      </w:r>
      <w:r w:rsidRPr="00274188">
        <w:rPr>
          <w:rFonts w:ascii="Times New Roman" w:eastAsia="Times New Roman" w:hAnsi="Times New Roman" w:cs="Times New Roman"/>
          <w:kern w:val="0"/>
          <w:sz w:val="24"/>
          <w14:ligatures w14:val="none"/>
        </w:rPr>
        <w:t>, and reliable prognostic assessment remains an unmet clinical need.</w:t>
      </w:r>
    </w:p>
    <w:p w14:paraId="1323670F" w14:textId="5FEC0BC5" w:rsidR="00B17E0A" w:rsidRPr="00274188" w:rsidRDefault="00B17E0A" w:rsidP="00274188">
      <w:pPr>
        <w:spacing w:after="2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 xml:space="preserve">The lateral spread response (LSR), an abnormal muscle response elicited by stimulating one facial nerve branch and recorded from muscles innervated by another, is the principal intraoperative indicator of decompression </w:t>
      </w:r>
      <w:proofErr w:type="gramStart"/>
      <w:r w:rsidRPr="00274188">
        <w:rPr>
          <w:rFonts w:ascii="Times New Roman" w:eastAsia="Times New Roman" w:hAnsi="Times New Roman" w:cs="Times New Roman"/>
          <w:kern w:val="0"/>
          <w:sz w:val="24"/>
          <w14:ligatures w14:val="none"/>
        </w:rPr>
        <w:t>adequacy</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7]</w:t>
      </w:r>
      <w:r w:rsidRPr="00274188">
        <w:rPr>
          <w:rFonts w:ascii="Times New Roman" w:eastAsia="Times New Roman" w:hAnsi="Times New Roman" w:cs="Times New Roman"/>
          <w:kern w:val="0"/>
          <w:sz w:val="24"/>
          <w14:ligatures w14:val="none"/>
        </w:rPr>
        <w:t xml:space="preserve">. However, its prognostic value has been debated: a definitive meta-analysis of 7,479 patients demonstrated that final intraoperative LSR is highly specific but only moderately sensitive for spasm-free </w:t>
      </w:r>
      <w:proofErr w:type="gramStart"/>
      <w:r w:rsidRPr="00274188">
        <w:rPr>
          <w:rFonts w:ascii="Times New Roman" w:eastAsia="Times New Roman" w:hAnsi="Times New Roman" w:cs="Times New Roman"/>
          <w:kern w:val="0"/>
          <w:sz w:val="24"/>
          <w14:ligatures w14:val="none"/>
        </w:rPr>
        <w:t>status</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8]</w:t>
      </w:r>
      <w:r w:rsidRPr="00274188">
        <w:rPr>
          <w:rFonts w:ascii="Times New Roman" w:eastAsia="Times New Roman" w:hAnsi="Times New Roman" w:cs="Times New Roman"/>
          <w:kern w:val="0"/>
          <w:sz w:val="24"/>
          <w14:ligatures w14:val="none"/>
        </w:rPr>
        <w:t xml:space="preserve">, and subsequent cohort studies have reached conflicting </w:t>
      </w:r>
      <w:proofErr w:type="gramStart"/>
      <w:r w:rsidRPr="00274188">
        <w:rPr>
          <w:rFonts w:ascii="Times New Roman" w:eastAsia="Times New Roman" w:hAnsi="Times New Roman" w:cs="Times New Roman"/>
          <w:kern w:val="0"/>
          <w:sz w:val="24"/>
          <w14:ligatures w14:val="none"/>
        </w:rPr>
        <w:t>conclusions</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9,10]</w:t>
      </w:r>
      <w:r w:rsidRPr="00274188">
        <w:rPr>
          <w:rFonts w:ascii="Times New Roman" w:eastAsia="Times New Roman" w:hAnsi="Times New Roman" w:cs="Times New Roman"/>
          <w:kern w:val="0"/>
          <w:sz w:val="24"/>
          <w14:ligatures w14:val="none"/>
        </w:rPr>
        <w:t xml:space="preserve">. Moreover, most prior studies have relied on single-branch monitoring, single-timepoint assessment, and conventional association analysis, while delayed relief further complicates single-indicator </w:t>
      </w:r>
      <w:proofErr w:type="gramStart"/>
      <w:r w:rsidRPr="00274188">
        <w:rPr>
          <w:rFonts w:ascii="Times New Roman" w:eastAsia="Times New Roman" w:hAnsi="Times New Roman" w:cs="Times New Roman"/>
          <w:kern w:val="0"/>
          <w:sz w:val="24"/>
          <w14:ligatures w14:val="none"/>
        </w:rPr>
        <w:t>interpretation</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11,12]</w:t>
      </w:r>
      <w:r w:rsidRPr="00274188">
        <w:rPr>
          <w:rFonts w:ascii="Times New Roman" w:eastAsia="Times New Roman" w:hAnsi="Times New Roman" w:cs="Times New Roman"/>
          <w:kern w:val="0"/>
          <w:sz w:val="24"/>
          <w14:ligatures w14:val="none"/>
        </w:rPr>
        <w:t>.</w:t>
      </w:r>
    </w:p>
    <w:p w14:paraId="50355F46" w14:textId="77777777" w:rsidR="00B17E0A" w:rsidRPr="00274188" w:rsidRDefault="00B17E0A" w:rsidP="00274188">
      <w:pPr>
        <w:spacing w:after="2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 xml:space="preserve">In our previous studies, we demonstrated that two-branch (zygomatic and mandibular) LSR monitoring better stratifies long-term outcome than single-branch </w:t>
      </w:r>
      <w:proofErr w:type="gramStart"/>
      <w:r w:rsidRPr="00274188">
        <w:rPr>
          <w:rFonts w:ascii="Times New Roman" w:eastAsia="Times New Roman" w:hAnsi="Times New Roman" w:cs="Times New Roman"/>
          <w:kern w:val="0"/>
          <w:sz w:val="24"/>
          <w14:ligatures w14:val="none"/>
        </w:rPr>
        <w:t>monitoring</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13]</w:t>
      </w:r>
      <w:r w:rsidRPr="00274188">
        <w:rPr>
          <w:rFonts w:ascii="Times New Roman" w:eastAsia="Times New Roman" w:hAnsi="Times New Roman" w:cs="Times New Roman"/>
          <w:kern w:val="0"/>
          <w:sz w:val="24"/>
          <w14:ligatures w14:val="none"/>
        </w:rPr>
        <w:t xml:space="preserve">, and that combining LSR with the blink reflex improves prognostic accuracy across postoperative time </w:t>
      </w:r>
      <w:proofErr w:type="gramStart"/>
      <w:r w:rsidRPr="00274188">
        <w:rPr>
          <w:rFonts w:ascii="Times New Roman" w:eastAsia="Times New Roman" w:hAnsi="Times New Roman" w:cs="Times New Roman"/>
          <w:kern w:val="0"/>
          <w:sz w:val="24"/>
          <w14:ligatures w14:val="none"/>
        </w:rPr>
        <w:t>points</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14]</w:t>
      </w:r>
      <w:r w:rsidRPr="00274188">
        <w:rPr>
          <w:rFonts w:ascii="Times New Roman" w:eastAsia="Times New Roman" w:hAnsi="Times New Roman" w:cs="Times New Roman"/>
          <w:kern w:val="0"/>
          <w:sz w:val="24"/>
          <w14:ligatures w14:val="none"/>
        </w:rPr>
        <w:t xml:space="preserve">. These findings confirmed that individual intraoperative indicators carry prognostic information, but they relied on conventional association analyses and could not translate multiple predictors into an individualized, validated risk estimate. Meanwhile, emerging prediction-modeling studies in HFS have begun to employ multivariable </w:t>
      </w:r>
      <w:proofErr w:type="gramStart"/>
      <w:r w:rsidRPr="00274188">
        <w:rPr>
          <w:rFonts w:ascii="Times New Roman" w:eastAsia="Times New Roman" w:hAnsi="Times New Roman" w:cs="Times New Roman"/>
          <w:kern w:val="0"/>
          <w:sz w:val="24"/>
          <w14:ligatures w14:val="none"/>
        </w:rPr>
        <w:t>frameworks</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15,16]</w:t>
      </w:r>
      <w:r w:rsidRPr="00274188">
        <w:rPr>
          <w:rFonts w:ascii="Times New Roman" w:eastAsia="Times New Roman" w:hAnsi="Times New Roman" w:cs="Times New Roman"/>
          <w:kern w:val="0"/>
          <w:sz w:val="24"/>
          <w14:ligatures w14:val="none"/>
        </w:rPr>
        <w:t>, yet none has integrated two-branch LSR with clinical predictors in a machine learning pipeline subjected to locked temporal validation and calibration assessment.</w:t>
      </w:r>
    </w:p>
    <w:p w14:paraId="2EEA00D0" w14:textId="28466D07" w:rsidR="00B17E0A" w:rsidRPr="00274188" w:rsidRDefault="00B17E0A" w:rsidP="00274188">
      <w:pPr>
        <w:spacing w:after="2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 xml:space="preserve">Building on this foundation, the present study advances from association testing to prediction modeling. We integrated two-branch LSR monitoring with routine clinical </w:t>
      </w:r>
      <w:r w:rsidRPr="00274188">
        <w:rPr>
          <w:rFonts w:ascii="Times New Roman" w:eastAsia="Times New Roman" w:hAnsi="Times New Roman" w:cs="Times New Roman"/>
          <w:kern w:val="0"/>
          <w:sz w:val="24"/>
          <w14:ligatures w14:val="none"/>
        </w:rPr>
        <w:lastRenderedPageBreak/>
        <w:t xml:space="preserve">variables, compared 14 candidate machine learning algorithms, and froze the selected index model before evaluating it on a temporally separated internal validation cohort, following the TRIPOD+AI </w:t>
      </w:r>
      <w:proofErr w:type="gramStart"/>
      <w:r w:rsidRPr="00274188">
        <w:rPr>
          <w:rFonts w:ascii="Times New Roman" w:eastAsia="Times New Roman" w:hAnsi="Times New Roman" w:cs="Times New Roman"/>
          <w:kern w:val="0"/>
          <w:sz w:val="24"/>
          <w14:ligatures w14:val="none"/>
        </w:rPr>
        <w:t>framework</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17]</w:t>
      </w:r>
      <w:r w:rsidRPr="00274188">
        <w:rPr>
          <w:rFonts w:ascii="Times New Roman" w:eastAsia="Times New Roman" w:hAnsi="Times New Roman" w:cs="Times New Roman"/>
          <w:kern w:val="0"/>
          <w:sz w:val="24"/>
          <w14:ligatures w14:val="none"/>
        </w:rPr>
        <w:t xml:space="preserve"> with calibration </w:t>
      </w:r>
      <w:proofErr w:type="gramStart"/>
      <w:r w:rsidRPr="00274188">
        <w:rPr>
          <w:rFonts w:ascii="Times New Roman" w:eastAsia="Times New Roman" w:hAnsi="Times New Roman" w:cs="Times New Roman"/>
          <w:kern w:val="0"/>
          <w:sz w:val="24"/>
          <w14:ligatures w14:val="none"/>
        </w:rPr>
        <w:t>assessment</w:t>
      </w:r>
      <w:r w:rsidRPr="00274188">
        <w:rPr>
          <w:rFonts w:ascii="Times New Roman" w:eastAsia="Times New Roman" w:hAnsi="Times New Roman" w:cs="Times New Roman"/>
          <w:kern w:val="0"/>
          <w:sz w:val="24"/>
          <w:vertAlign w:val="superscript"/>
          <w14:ligatures w14:val="none"/>
        </w:rPr>
        <w:t>[</w:t>
      </w:r>
      <w:proofErr w:type="gramEnd"/>
      <w:r w:rsidRPr="00274188">
        <w:rPr>
          <w:rFonts w:ascii="Times New Roman" w:eastAsia="Times New Roman" w:hAnsi="Times New Roman" w:cs="Times New Roman"/>
          <w:kern w:val="0"/>
          <w:sz w:val="24"/>
          <w:vertAlign w:val="superscript"/>
          <w14:ligatures w14:val="none"/>
        </w:rPr>
        <w:t>18]</w:t>
      </w:r>
      <w:r w:rsidRPr="00274188">
        <w:rPr>
          <w:rFonts w:ascii="Times New Roman" w:eastAsia="Times New Roman" w:hAnsi="Times New Roman" w:cs="Times New Roman"/>
          <w:kern w:val="0"/>
          <w:sz w:val="24"/>
          <w14:ligatures w14:val="none"/>
        </w:rPr>
        <w:t xml:space="preserve">. This approach aims to provide an individualized, rigorously validated prognostic tool for predicting one-year outcome after MVD and to support better postoperative expectation management in patients with </w:t>
      </w:r>
      <w:proofErr w:type="spellStart"/>
      <w:r w:rsidRPr="00274188">
        <w:rPr>
          <w:rFonts w:ascii="Times New Roman" w:eastAsia="Times New Roman" w:hAnsi="Times New Roman" w:cs="Times New Roman"/>
          <w:kern w:val="0"/>
          <w:sz w:val="24"/>
          <w14:ligatures w14:val="none"/>
        </w:rPr>
        <w:t>pHFS</w:t>
      </w:r>
      <w:proofErr w:type="spellEnd"/>
      <w:r w:rsidRPr="00274188">
        <w:rPr>
          <w:rFonts w:ascii="Times New Roman" w:eastAsia="Times New Roman" w:hAnsi="Times New Roman" w:cs="Times New Roman"/>
          <w:kern w:val="0"/>
          <w:sz w:val="24"/>
          <w14:ligatures w14:val="none"/>
        </w:rPr>
        <w:t>.</w:t>
      </w:r>
    </w:p>
    <w:p w14:paraId="1841ECBC" w14:textId="77777777" w:rsidR="00B17E0A" w:rsidRPr="00274188" w:rsidRDefault="00B17E0A" w:rsidP="00274188">
      <w:pPr>
        <w:spacing w:after="0" w:line="240" w:lineRule="auto"/>
        <w:jc w:val="both"/>
        <w:rPr>
          <w:rFonts w:ascii="Times New Roman" w:hAnsi="Times New Roman" w:cs="Times New Roman"/>
          <w:b/>
          <w:bCs/>
          <w:kern w:val="0"/>
          <w:sz w:val="24"/>
          <w14:ligatures w14:val="none"/>
        </w:rPr>
      </w:pPr>
    </w:p>
    <w:p w14:paraId="15BF84A1" w14:textId="622DF5F7" w:rsidR="004608B9" w:rsidRPr="00274188" w:rsidRDefault="004608B9" w:rsidP="00274188">
      <w:pPr>
        <w:spacing w:after="0" w:line="24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Methods</w:t>
      </w:r>
    </w:p>
    <w:p w14:paraId="6F4FD5AC"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t>Study Design and Participants</w:t>
      </w:r>
    </w:p>
    <w:p w14:paraId="64C528BC"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This single-center retrospective cohort study with internal temporal validation analyzed data from patients who underwent microvascular decompression (MVD) for primary hemifacial spasm (</w:t>
      </w:r>
      <w:proofErr w:type="spellStart"/>
      <w:r w:rsidRPr="00274188">
        <w:rPr>
          <w:rFonts w:ascii="Times New Roman" w:eastAsia="Times New Roman" w:hAnsi="Times New Roman" w:cs="Times New Roman"/>
          <w:kern w:val="0"/>
          <w:sz w:val="24"/>
          <w14:ligatures w14:val="none"/>
        </w:rPr>
        <w:t>pHFS</w:t>
      </w:r>
      <w:proofErr w:type="spellEnd"/>
      <w:r w:rsidRPr="00274188">
        <w:rPr>
          <w:rFonts w:ascii="Times New Roman" w:eastAsia="Times New Roman" w:hAnsi="Times New Roman" w:cs="Times New Roman"/>
          <w:kern w:val="0"/>
          <w:sz w:val="24"/>
          <w14:ligatures w14:val="none"/>
        </w:rPr>
        <w:t xml:space="preserve">) at the Department of Neurosurgery, Beijing </w:t>
      </w:r>
      <w:proofErr w:type="spellStart"/>
      <w:r w:rsidRPr="00274188">
        <w:rPr>
          <w:rFonts w:ascii="Times New Roman" w:eastAsia="Times New Roman" w:hAnsi="Times New Roman" w:cs="Times New Roman"/>
          <w:kern w:val="0"/>
          <w:sz w:val="24"/>
          <w14:ligatures w14:val="none"/>
        </w:rPr>
        <w:t>Tiantan</w:t>
      </w:r>
      <w:proofErr w:type="spellEnd"/>
      <w:r w:rsidRPr="00274188">
        <w:rPr>
          <w:rFonts w:ascii="Times New Roman" w:eastAsia="Times New Roman" w:hAnsi="Times New Roman" w:cs="Times New Roman"/>
          <w:kern w:val="0"/>
          <w:sz w:val="24"/>
          <w14:ligatures w14:val="none"/>
        </w:rPr>
        <w:t xml:space="preserve"> Hospital, Capital Medical University. The inclusion criteria were as follows: (1) a final diagnosis of </w:t>
      </w:r>
      <w:proofErr w:type="spellStart"/>
      <w:r w:rsidRPr="00274188">
        <w:rPr>
          <w:rFonts w:ascii="Times New Roman" w:eastAsia="Times New Roman" w:hAnsi="Times New Roman" w:cs="Times New Roman"/>
          <w:kern w:val="0"/>
          <w:sz w:val="24"/>
          <w14:ligatures w14:val="none"/>
        </w:rPr>
        <w:t>pHFS</w:t>
      </w:r>
      <w:proofErr w:type="spellEnd"/>
      <w:r w:rsidRPr="00274188">
        <w:rPr>
          <w:rFonts w:ascii="Times New Roman" w:eastAsia="Times New Roman" w:hAnsi="Times New Roman" w:cs="Times New Roman"/>
          <w:kern w:val="0"/>
          <w:sz w:val="24"/>
          <w14:ligatures w14:val="none"/>
        </w:rPr>
        <w:t xml:space="preserve">; (2) presence of the lateral spread response (LSR) confirmed by preoperative facial electromyography. The exclusion criteria were: </w:t>
      </w:r>
      <w:proofErr w:type="gramStart"/>
      <w:r w:rsidRPr="00274188">
        <w:rPr>
          <w:rFonts w:ascii="Times New Roman" w:eastAsia="Times New Roman" w:hAnsi="Times New Roman" w:cs="Times New Roman"/>
          <w:kern w:val="0"/>
          <w:sz w:val="24"/>
          <w14:ligatures w14:val="none"/>
        </w:rPr>
        <w:t>(1)</w:t>
      </w:r>
      <w:proofErr w:type="gramEnd"/>
      <w:r w:rsidRPr="00274188">
        <w:rPr>
          <w:rFonts w:ascii="Times New Roman" w:eastAsia="Times New Roman" w:hAnsi="Times New Roman" w:cs="Times New Roman"/>
          <w:kern w:val="0"/>
          <w:sz w:val="24"/>
          <w14:ligatures w14:val="none"/>
        </w:rPr>
        <w:t xml:space="preserve"> incomplete demographic or clinical data; </w:t>
      </w:r>
      <w:proofErr w:type="gramStart"/>
      <w:r w:rsidRPr="00274188">
        <w:rPr>
          <w:rFonts w:ascii="Times New Roman" w:eastAsia="Times New Roman" w:hAnsi="Times New Roman" w:cs="Times New Roman"/>
          <w:kern w:val="0"/>
          <w:sz w:val="24"/>
          <w14:ligatures w14:val="none"/>
        </w:rPr>
        <w:t>(2)</w:t>
      </w:r>
      <w:proofErr w:type="gramEnd"/>
      <w:r w:rsidRPr="00274188">
        <w:rPr>
          <w:rFonts w:ascii="Times New Roman" w:eastAsia="Times New Roman" w:hAnsi="Times New Roman" w:cs="Times New Roman"/>
          <w:kern w:val="0"/>
          <w:sz w:val="24"/>
          <w14:ligatures w14:val="none"/>
        </w:rPr>
        <w:t xml:space="preserve"> failure to elicit </w:t>
      </w:r>
      <w:r w:rsidRPr="00274188">
        <w:rPr>
          <w:rFonts w:ascii="Times New Roman" w:eastAsia="宋体" w:hAnsi="Times New Roman" w:cs="Times New Roman"/>
          <w:kern w:val="0"/>
          <w:sz w:val="24"/>
          <w14:ligatures w14:val="none"/>
        </w:rPr>
        <w:t>双支</w:t>
      </w:r>
      <w:r w:rsidRPr="00274188">
        <w:rPr>
          <w:rFonts w:ascii="Times New Roman" w:eastAsia="Times New Roman" w:hAnsi="Times New Roman" w:cs="Times New Roman"/>
          <w:kern w:val="0"/>
          <w:sz w:val="24"/>
          <w14:ligatures w14:val="none"/>
        </w:rPr>
        <w:t xml:space="preserve">LSR intraoperatively; </w:t>
      </w:r>
      <w:proofErr w:type="gramStart"/>
      <w:r w:rsidRPr="00274188">
        <w:rPr>
          <w:rFonts w:ascii="Times New Roman" w:eastAsia="Times New Roman" w:hAnsi="Times New Roman" w:cs="Times New Roman"/>
          <w:kern w:val="0"/>
          <w:sz w:val="24"/>
          <w14:ligatures w14:val="none"/>
        </w:rPr>
        <w:t>(3)</w:t>
      </w:r>
      <w:proofErr w:type="gramEnd"/>
      <w:r w:rsidRPr="00274188">
        <w:rPr>
          <w:rFonts w:ascii="Times New Roman" w:eastAsia="Times New Roman" w:hAnsi="Times New Roman" w:cs="Times New Roman"/>
          <w:kern w:val="0"/>
          <w:sz w:val="24"/>
          <w14:ligatures w14:val="none"/>
        </w:rPr>
        <w:t xml:space="preserve"> insufficient follow-up data </w:t>
      </w:r>
      <w:proofErr w:type="gramStart"/>
      <w:r w:rsidRPr="00274188">
        <w:rPr>
          <w:rFonts w:ascii="Times New Roman" w:eastAsia="Times New Roman" w:hAnsi="Times New Roman" w:cs="Times New Roman"/>
          <w:kern w:val="0"/>
          <w:sz w:val="24"/>
          <w14:ligatures w14:val="none"/>
        </w:rPr>
        <w:t>(less than one year)</w:t>
      </w:r>
      <w:proofErr w:type="gramEnd"/>
      <w:r w:rsidRPr="00274188">
        <w:rPr>
          <w:rFonts w:ascii="Times New Roman" w:eastAsia="Times New Roman" w:hAnsi="Times New Roman" w:cs="Times New Roman"/>
          <w:kern w:val="0"/>
          <w:sz w:val="24"/>
          <w14:ligatures w14:val="none"/>
        </w:rPr>
        <w:t xml:space="preserve">. The study protocol was reviewed and approved by the Ethics Committee of Beijing </w:t>
      </w:r>
      <w:proofErr w:type="spellStart"/>
      <w:r w:rsidRPr="00274188">
        <w:rPr>
          <w:rFonts w:ascii="Times New Roman" w:eastAsia="Times New Roman" w:hAnsi="Times New Roman" w:cs="Times New Roman"/>
          <w:kern w:val="0"/>
          <w:sz w:val="24"/>
          <w14:ligatures w14:val="none"/>
        </w:rPr>
        <w:t>Tiantan</w:t>
      </w:r>
      <w:proofErr w:type="spellEnd"/>
      <w:r w:rsidRPr="00274188">
        <w:rPr>
          <w:rFonts w:ascii="Times New Roman" w:eastAsia="Times New Roman" w:hAnsi="Times New Roman" w:cs="Times New Roman"/>
          <w:kern w:val="0"/>
          <w:sz w:val="24"/>
          <w14:ligatures w14:val="none"/>
        </w:rPr>
        <w:t xml:space="preserve"> Hospital. Written informed consent was obtained from all patients or their legal representatives. </w:t>
      </w:r>
    </w:p>
    <w:p w14:paraId="7AB89ADF"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t>Outcome and Predictors</w:t>
      </w:r>
    </w:p>
    <w:p w14:paraId="171A5067"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The primary outcome was the presence or absence of hemifacial spasm at one year after surgery. Follow-up data were obtained through outpatient visits and telephone interviews, with a minimum required follow-up period of one year.</w:t>
      </w:r>
      <w:r w:rsidRPr="00274188">
        <w:rPr>
          <w:rFonts w:ascii="Times New Roman" w:hAnsi="Times New Roman" w:cs="Times New Roman"/>
          <w:kern w:val="0"/>
          <w:sz w:val="24"/>
          <w14:ligatures w14:val="none"/>
        </w:rPr>
        <w:t xml:space="preserve"> </w:t>
      </w:r>
      <w:r w:rsidRPr="00274188">
        <w:rPr>
          <w:rFonts w:ascii="Times New Roman" w:eastAsia="Times New Roman" w:hAnsi="Times New Roman" w:cs="Times New Roman"/>
          <w:kern w:val="0"/>
          <w:sz w:val="24"/>
          <w14:ligatures w14:val="none"/>
        </w:rPr>
        <w:t>The prediction model used 12 source predictors. Four were numerical: age, disease duration, body mass index (BMI), and admission Karnofsky Performance Status (KPS) score. Eight were categorical: sex, affected side, hypertension, diabetes mellitus, prior botulinum toxin treatment, prior acupuncture, zygomatic-branch lateral spread response (ZYG-LSR), and mandibular-branch lateral spread response (MAN-LSR). Each branch-specific LSR variable had three nominal categories: elicited and disappeared, not elicited, and elicited but persisted. The two LSR variables were independently one-hot encoded.</w:t>
      </w:r>
    </w:p>
    <w:p w14:paraId="678B4EC4"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t>Temporal Split and Data Quality</w:t>
      </w:r>
    </w:p>
    <w:p w14:paraId="66599CC1"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lastRenderedPageBreak/>
        <w:t xml:space="preserve">Records dated on or before 30 June 2022 formed Group 1, the development cohort (observed range: March 2020 to June 2022). Records after August 2022 formed Group 2, the locked internal temporal validation cohort (observed range: 26 September 2022 to 7 August 2023). A prespecified washout period from 1 July through 31 August 2022 contained no patients. </w:t>
      </w:r>
    </w:p>
    <w:p w14:paraId="16DF7301"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t>Model Development and Freezing</w:t>
      </w:r>
    </w:p>
    <w:p w14:paraId="154BAD81"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F</w:t>
      </w:r>
      <w:r w:rsidRPr="00274188">
        <w:rPr>
          <w:rFonts w:ascii="Times New Roman" w:hAnsi="Times New Roman" w:cs="Times New Roman"/>
          <w:kern w:val="0"/>
          <w:sz w:val="24"/>
          <w14:ligatures w14:val="none"/>
        </w:rPr>
        <w:t>if</w:t>
      </w:r>
      <w:r w:rsidRPr="00274188">
        <w:rPr>
          <w:rFonts w:ascii="Times New Roman" w:eastAsia="Times New Roman" w:hAnsi="Times New Roman" w:cs="Times New Roman"/>
          <w:kern w:val="0"/>
          <w:sz w:val="24"/>
          <w14:ligatures w14:val="none"/>
        </w:rPr>
        <w:t>teen fixed candidate specifications were evaluated: elastic-net logistic regression, linear and quadratic discriminant analysis, Gaussian naive Bayes, k-nearest neighbors, linear and radial-basis-function support vector machines, Decision Tree, Random Forest, Extra Trees, AdaBoost, Gradient Boosting, Histogram Gradient Boosting,</w:t>
      </w:r>
      <w:r w:rsidRPr="00274188">
        <w:rPr>
          <w:rFonts w:ascii="Times New Roman" w:hAnsi="Times New Roman" w:cs="Times New Roman"/>
          <w:b/>
          <w:bCs/>
          <w:color w:val="0F1115"/>
          <w:kern w:val="0"/>
          <w:sz w:val="24"/>
          <w:shd w:val="clear" w:color="auto" w:fill="FFFFFF"/>
          <w14:ligatures w14:val="none"/>
        </w:rPr>
        <w:t xml:space="preserve"> </w:t>
      </w:r>
      <w:proofErr w:type="spellStart"/>
      <w:r w:rsidRPr="00274188">
        <w:rPr>
          <w:rFonts w:ascii="Times New Roman" w:eastAsia="Times New Roman" w:hAnsi="Times New Roman" w:cs="Times New Roman"/>
          <w:kern w:val="0"/>
          <w:sz w:val="24"/>
          <w14:ligatures w14:val="none"/>
        </w:rPr>
        <w:t>LightGBM</w:t>
      </w:r>
      <w:proofErr w:type="spellEnd"/>
      <w:r w:rsidRPr="00274188">
        <w:rPr>
          <w:rFonts w:ascii="Times New Roman" w:eastAsia="Times New Roman" w:hAnsi="Times New Roman" w:cs="Times New Roman"/>
          <w:kern w:val="0"/>
          <w:sz w:val="24"/>
          <w14:ligatures w14:val="none"/>
        </w:rPr>
        <w:t xml:space="preserve"> and a multilayer perceptron. Numerical variables were median-imputed with missingness indicators and standardized only for candidates configured with scaling; the Gradient Boosting numerical pipeline was not standardized. </w:t>
      </w:r>
    </w:p>
    <w:p w14:paraId="134BF3ED"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 xml:space="preserve">Stratified five-fold cross-validation generated out-of-fold predictions for every fixed specification. Within each outer training fold, the implementation used a three-fold </w:t>
      </w:r>
      <w:proofErr w:type="spellStart"/>
      <w:r w:rsidRPr="00274188">
        <w:rPr>
          <w:rFonts w:ascii="Times New Roman" w:eastAsia="Times New Roman" w:hAnsi="Times New Roman" w:cs="Times New Roman"/>
          <w:kern w:val="0"/>
          <w:sz w:val="24"/>
          <w14:ligatures w14:val="none"/>
        </w:rPr>
        <w:t>GridSearchCV</w:t>
      </w:r>
      <w:proofErr w:type="spellEnd"/>
      <w:r w:rsidRPr="00274188">
        <w:rPr>
          <w:rFonts w:ascii="Times New Roman" w:eastAsia="Times New Roman" w:hAnsi="Times New Roman" w:cs="Times New Roman"/>
          <w:kern w:val="0"/>
          <w:sz w:val="24"/>
          <w14:ligatures w14:val="none"/>
        </w:rPr>
        <w:t xml:space="preserve"> wrapper with an empty parameter grid, which therefore refitted the same fixed specification without performing substantive hyperparameter optimization. Candidate selection minimized the out-of-fold Brier score, with log-loss as the tie-breaker; area under the receiver operating characteristic curve (AUROC) and area under the precision-recall curve (AUPRC) were secondary metrics. </w:t>
      </w:r>
    </w:p>
    <w:p w14:paraId="63D97834"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t>Internal Temporal Validation and Statistical Analysis</w:t>
      </w:r>
    </w:p>
    <w:p w14:paraId="28E54A12"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The frozen pipeline generated one predicted probability for each Group 2 patient. No Group 2 data were used for model selection, feature selection, parameter tuning, or recalibration. Discrimination was summarized by AUROC and AUPRC. Overall predictive accuracy was assessed with the Brier score and log-loss. Calibration was summarized by the calibration intercept and slope from a logistic recalibration model and by grouped observed-versus-predicted event rates. Percentile 95% confidence intervals (CIs) were estimated from 2,000 patient-level bootstrap resamples of Group 2.</w:t>
      </w:r>
      <w:r w:rsidRPr="00274188">
        <w:rPr>
          <w:rFonts w:ascii="Times New Roman" w:hAnsi="Times New Roman" w:cs="Times New Roman"/>
          <w:kern w:val="0"/>
          <w:sz w:val="24"/>
          <w14:ligatures w14:val="none"/>
        </w:rPr>
        <w:t xml:space="preserve"> Decision-curve analysis was performed to compare model net benefit against treat-all and treat-none reference strategies across a prespecified range of probability thresholds. </w:t>
      </w:r>
      <w:r w:rsidRPr="00274188">
        <w:rPr>
          <w:rFonts w:ascii="Times New Roman" w:eastAsia="Times New Roman" w:hAnsi="Times New Roman" w:cs="Times New Roman"/>
          <w:kern w:val="0"/>
          <w:sz w:val="24"/>
          <w14:ligatures w14:val="none"/>
        </w:rPr>
        <w:t xml:space="preserve">Shapley additive explanations (SHAP) values were calculated with </w:t>
      </w:r>
      <w:proofErr w:type="spellStart"/>
      <w:r w:rsidRPr="00274188">
        <w:rPr>
          <w:rFonts w:ascii="Times New Roman" w:eastAsia="Times New Roman" w:hAnsi="Times New Roman" w:cs="Times New Roman"/>
          <w:kern w:val="0"/>
          <w:sz w:val="24"/>
          <w14:ligatures w14:val="none"/>
        </w:rPr>
        <w:t>TreeExplainer</w:t>
      </w:r>
      <w:proofErr w:type="spellEnd"/>
      <w:r w:rsidRPr="00274188">
        <w:rPr>
          <w:rFonts w:ascii="Times New Roman" w:eastAsia="Times New Roman" w:hAnsi="Times New Roman" w:cs="Times New Roman"/>
          <w:kern w:val="0"/>
          <w:sz w:val="24"/>
          <w14:ligatures w14:val="none"/>
        </w:rPr>
        <w:t xml:space="preserve"> for the frozen Gradient Boosting model refitted on all Group 1 patients. </w:t>
      </w:r>
    </w:p>
    <w:p w14:paraId="7F574C95"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lastRenderedPageBreak/>
        <w:t>Exploratory Effect-Modification Analysis</w:t>
      </w:r>
    </w:p>
    <w:p w14:paraId="5321EB3C"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 xml:space="preserve">A separate pooled-cohort analysis examined whether the association between residual LSR and the 1-year outcome varied with age, disease duration, or responsible vessel. Residual LSR was defined as persistence in either the zygomatic- or mandibular-branch response. All analyses were performed using Python 3.12 with pandas, NumPy, SciPy, scikit-learn, matplotlib, and SHAP. </w:t>
      </w:r>
    </w:p>
    <w:p>
      <w:r>
        <w:t>A completed TRIPOD+AI checklist is provided as Supplementary Table S1.</w:t>
      </w:r>
    </w:p>
    <w:p>
      <w:r>
        <w:t>To facilitate clinical implementation, the fixed Gradient Boosting specification was refitted in Group 1 using the five highest-ranked original-variable SHAP predictors (MAN-LSR, ZYG-LSR, disease duration, prior acupuncture, and age) and implemented as a web calculator that accepts these five inputs and returns the predicted probability of one-year postoperative spasm; the web-based research calculator is publicly accessible at https://hfs-mvd-risk-calculator.streamlit.app/.</w:t>
      </w:r>
    </w:p>
    <w:p w14:paraId="574A476B" w14:textId="77777777" w:rsidR="004608B9" w:rsidRPr="00274188" w:rsidRDefault="004608B9" w:rsidP="00274188">
      <w:pPr>
        <w:spacing w:after="0" w:line="240" w:lineRule="auto"/>
        <w:jc w:val="both"/>
        <w:rPr>
          <w:rFonts w:ascii="Times New Roman" w:hAnsi="Times New Roman" w:cs="Times New Roman"/>
          <w:kern w:val="0"/>
          <w:sz w:val="24"/>
          <w14:ligatures w14:val="none"/>
        </w:rPr>
      </w:pPr>
      <w:r w:rsidRPr="00274188">
        <w:rPr>
          <w:rFonts w:ascii="Times New Roman" w:hAnsi="Times New Roman" w:cs="Times New Roman"/>
          <w:kern w:val="0"/>
          <w:sz w:val="24"/>
          <w14:ligatures w14:val="none"/>
        </w:rPr>
        <w:br w:type="page"/>
      </w:r>
    </w:p>
    <w:p w14:paraId="57A2BFEB" w14:textId="77777777" w:rsidR="004608B9" w:rsidRPr="00274188" w:rsidRDefault="004608B9" w:rsidP="00274188">
      <w:pPr>
        <w:widowControl/>
        <w:spacing w:before="240" w:after="120" w:line="360" w:lineRule="auto"/>
        <w:jc w:val="both"/>
        <w:outlineLvl w:val="0"/>
        <w:rPr>
          <w:rFonts w:ascii="Times New Roman" w:hAnsi="Times New Roman" w:cs="Times New Roman"/>
          <w:color w:val="2E74B5"/>
          <w:kern w:val="0"/>
          <w:sz w:val="24"/>
          <w14:ligatures w14:val="none"/>
        </w:rPr>
      </w:pPr>
      <w:r w:rsidRPr="00274188">
        <w:rPr>
          <w:rFonts w:ascii="Times New Roman" w:eastAsia="Times New Roman" w:hAnsi="Times New Roman" w:cs="Times New Roman"/>
          <w:b/>
          <w:bCs/>
          <w:color w:val="2E74B5"/>
          <w:kern w:val="0"/>
          <w:sz w:val="24"/>
          <w14:ligatures w14:val="none"/>
        </w:rPr>
        <w:lastRenderedPageBreak/>
        <w:t>Results</w:t>
      </w:r>
    </w:p>
    <w:p w14:paraId="19A9715E"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t>Cohort Flow and Characteristics</w:t>
      </w:r>
    </w:p>
    <w:p w14:paraId="146ED235"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The study cohort comprised 476 Group 1 patients and 104 Group 2 patients (Figure 1). The 1-year postoperative spasm rate was 12.2% (58/476) in Group 1 and 8.7% (9/104) in Group 2. Mean age was 50.92 (standard deviation [SD] 10.35) years in Group 1 and 52.29 (SD 10.42) years in Group 2 (P = 0.173). Median disease duration was 3.00 (interquartile range [IQR] 2.00–6.00) years in Group 1 and 4.00 (IQR 2.00–6.00) years in Group 2 (P = 0.473). There were no statistically significant differences between the two groups in most demographic and clinical characteristics, except for surgical incision type (P &lt; 0.001) and the proportion of other vessel involvement (P &lt; 0.001). The complete cohort comparison is reported in Table 1.</w:t>
      </w:r>
    </w:p>
    <w:p w14:paraId="7A82F16C"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t>Candidate-Model Comparison and Index-Model Selection</w:t>
      </w:r>
    </w:p>
    <w:p w14:paraId="774DF0E9" w14:textId="11669A9E"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Among the 1</w:t>
      </w:r>
      <w:r w:rsidRPr="00274188">
        <w:rPr>
          <w:rFonts w:ascii="Times New Roman" w:hAnsi="Times New Roman" w:cs="Times New Roman"/>
          <w:kern w:val="0"/>
          <w:sz w:val="24"/>
          <w14:ligatures w14:val="none"/>
        </w:rPr>
        <w:t>5</w:t>
      </w:r>
      <w:r w:rsidRPr="00274188">
        <w:rPr>
          <w:rFonts w:ascii="Times New Roman" w:eastAsia="Times New Roman" w:hAnsi="Times New Roman" w:cs="Times New Roman"/>
          <w:kern w:val="0"/>
          <w:sz w:val="24"/>
          <w14:ligatures w14:val="none"/>
        </w:rPr>
        <w:t xml:space="preserve"> primary candidate specifications evaluated in Group 1, Gradient Boosting had the lowest out-of-fold Brier score (0.0573), followed by elastic-net logistic regression (0.0578; absolute difference 0.00046) (Figure 2). Their log-loss values were 0.2052 and 0.2060, respectively. Elastic-net logistic regression achieved higher AUROC (0.913 vs. 0.900) and AUPRC (0.712 vs. 0.653). Gradient Boosting was retained as the index model under the predefined primary selection rule (lowest Brier score, with log-loss as tie-breaker). These results do not establish broad performance superiority of Gradient Boosting over elastic-net logistic regression. The learning curve analysis demonstrated that the training-to-validation gap progressively narrowed with increasing sample size and that cross-validated AUROC had stabilized by the full Group 1 sample, indicating adequate sample utilization (Figure S1).</w:t>
      </w:r>
    </w:p>
    <w:p w14:paraId="5B518F94" w14:textId="417FA59F" w:rsidR="004608B9" w:rsidRPr="00274188" w:rsidRDefault="002779B9" w:rsidP="00274188">
      <w:pPr>
        <w:spacing w:before="200" w:after="100" w:line="360" w:lineRule="auto"/>
        <w:jc w:val="both"/>
        <w:rPr>
          <w:rFonts w:ascii="Times New Roman" w:hAnsi="Times New Roman" w:cs="Times New Roman"/>
          <w:b/>
          <w:bCs/>
          <w:i/>
          <w:iCs/>
          <w:kern w:val="0"/>
          <w:sz w:val="24"/>
          <w14:ligatures w14:val="none"/>
        </w:rPr>
      </w:pPr>
      <w:r w:rsidRPr="00274188">
        <w:rPr>
          <w:rFonts w:ascii="Times New Roman" w:eastAsia="Times New Roman" w:hAnsi="Times New Roman" w:cs="Times New Roman"/>
          <w:b/>
          <w:bCs/>
          <w:i/>
          <w:iCs/>
          <w:kern w:val="0"/>
          <w:sz w:val="24"/>
          <w14:ligatures w14:val="none"/>
        </w:rPr>
        <w:t>Model Interpretation</w:t>
      </w:r>
      <w:r w:rsidRPr="00274188">
        <w:rPr>
          <w:rFonts w:ascii="Times New Roman" w:hAnsi="Times New Roman" w:cs="Times New Roman"/>
          <w:b/>
          <w:bCs/>
          <w:i/>
          <w:iCs/>
          <w:kern w:val="0"/>
          <w:sz w:val="24"/>
          <w14:ligatures w14:val="none"/>
        </w:rPr>
        <w:t xml:space="preserve"> </w:t>
      </w:r>
      <w:r w:rsidRPr="00274188">
        <w:rPr>
          <w:rFonts w:ascii="Times New Roman" w:eastAsia="Times New Roman" w:hAnsi="Times New Roman" w:cs="Times New Roman"/>
          <w:b/>
          <w:bCs/>
          <w:i/>
          <w:iCs/>
          <w:kern w:val="0"/>
          <w:sz w:val="24"/>
          <w14:ligatures w14:val="none"/>
        </w:rPr>
        <w:t>and</w:t>
      </w:r>
      <w:r w:rsidRPr="00274188">
        <w:rPr>
          <w:rFonts w:ascii="Times New Roman" w:hAnsi="Times New Roman" w:cs="Times New Roman"/>
          <w:b/>
          <w:bCs/>
          <w:i/>
          <w:iCs/>
          <w:kern w:val="0"/>
          <w:sz w:val="24"/>
          <w14:ligatures w14:val="none"/>
        </w:rPr>
        <w:t xml:space="preserve"> </w:t>
      </w:r>
      <w:r w:rsidR="004608B9" w:rsidRPr="00274188">
        <w:rPr>
          <w:rFonts w:ascii="Times New Roman" w:eastAsia="Times New Roman" w:hAnsi="Times New Roman" w:cs="Times New Roman"/>
          <w:b/>
          <w:bCs/>
          <w:i/>
          <w:iCs/>
          <w:kern w:val="0"/>
          <w:sz w:val="24"/>
          <w14:ligatures w14:val="none"/>
        </w:rPr>
        <w:t>Locked Internal Temporal Validation</w:t>
      </w:r>
    </w:p>
    <w:p w14:paraId="6A756E56" w14:textId="2513E26D" w:rsidR="002779B9" w:rsidRPr="00274188" w:rsidRDefault="002779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 xml:space="preserve">The five original variables with the largest mean absolute SHAP values in Group 1 were MAN-LSR, ZYG-LSR, disease duration, prior acupuncture, and age (Figure 3). The two branch-specific LSR variables accounted for the largest average changes in the model's raw output. </w:t>
      </w:r>
    </w:p>
    <w:p w14:paraId="62FE14E7" w14:textId="492DB0C3"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 xml:space="preserve">In Group 2 (n = 104; 9 events), the frozen Gradient Boosting model yielded an AUROC of 0.899 (95% CI, 0.829–0.957), an AUPRC of 0.361 (95% CI, 0.189–0.700), a Brier score of 0.080 (95% CI, 0.043–0.121), and a log-loss of 0.247 (95% CI, 0.147–0.360) </w:t>
      </w:r>
      <w:r w:rsidRPr="00274188">
        <w:rPr>
          <w:rFonts w:ascii="Times New Roman" w:eastAsia="Times New Roman" w:hAnsi="Times New Roman" w:cs="Times New Roman"/>
          <w:kern w:val="0"/>
          <w:sz w:val="24"/>
          <w14:ligatures w14:val="none"/>
        </w:rPr>
        <w:lastRenderedPageBreak/>
        <w:t xml:space="preserve">(Table </w:t>
      </w:r>
      <w:r w:rsidR="0039649D" w:rsidRPr="00274188">
        <w:rPr>
          <w:rFonts w:ascii="Times New Roman" w:hAnsi="Times New Roman" w:cs="Times New Roman"/>
          <w:kern w:val="0"/>
          <w:sz w:val="24"/>
          <w14:ligatures w14:val="none"/>
        </w:rPr>
        <w:t>2</w:t>
      </w:r>
      <w:r w:rsidRPr="00274188">
        <w:rPr>
          <w:rFonts w:ascii="Times New Roman" w:eastAsia="Times New Roman" w:hAnsi="Times New Roman" w:cs="Times New Roman"/>
          <w:kern w:val="0"/>
          <w:sz w:val="24"/>
          <w14:ligatures w14:val="none"/>
        </w:rPr>
        <w:t xml:space="preserve">). </w:t>
      </w:r>
      <w:r w:rsidR="0039649D" w:rsidRPr="00274188">
        <w:rPr>
          <w:rFonts w:ascii="Times New Roman" w:eastAsia="Times New Roman" w:hAnsi="Times New Roman" w:cs="Times New Roman"/>
          <w:kern w:val="0"/>
          <w:sz w:val="24"/>
          <w14:ligatures w14:val="none"/>
        </w:rPr>
        <w:t>The 95% confidence intervals for the calibration intercept and calibration slope were wide and included the ideal values of 0 and 1, respectively.</w:t>
      </w:r>
    </w:p>
    <w:p w14:paraId="4874D096" w14:textId="7388A12B"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Grouped calibration showed no observed events in the three lowest predicted-risk groups; the highest-risk group had a mean predicted probability of 0.503 and an observed event rate of 0.350 (Figure 4A). Patient-level predicted probabilities with bootstrap intervals demonstrated that most event patients were concentrated in the upper tail of the risk distribution, while the majority of non-event patients received low predicted probabilities (Figure S2). The Kolmogorov-Smirnov (KS) curve further confirmed the model's discriminatory capacity, with a maximum KS statistic of 0.779 (Figure S</w:t>
      </w:r>
      <w:r w:rsidR="000E5C2B" w:rsidRPr="00274188">
        <w:rPr>
          <w:rFonts w:ascii="Times New Roman" w:hAnsi="Times New Roman" w:cs="Times New Roman"/>
          <w:kern w:val="0"/>
          <w:sz w:val="24"/>
          <w14:ligatures w14:val="none"/>
        </w:rPr>
        <w:t>3</w:t>
      </w:r>
      <w:r w:rsidRPr="00274188">
        <w:rPr>
          <w:rFonts w:ascii="Times New Roman" w:eastAsia="Times New Roman" w:hAnsi="Times New Roman" w:cs="Times New Roman"/>
          <w:kern w:val="0"/>
          <w:sz w:val="24"/>
          <w14:ligatures w14:val="none"/>
        </w:rPr>
        <w:t>).</w:t>
      </w:r>
    </w:p>
    <w:p w14:paraId="4472EF32"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In exploratory decision-curve analysis, model net benefit exceeded both treat-all and treat-none reference strategies at thresholds from 0.05 through 0.30, but fell below treat-none at 0.40 (Figure 4B). Threshold-specific sensitivity, specificity, positive predictive value, negative predictive value, and F1 score are summarized descriptively in Figure 4C. At threshold 0.10, the confusion matrix contained 76 true negatives, 19 false positives, 1 false negative, and 8 true positives (Figure 4D). This threshold was selected for illustrative purposes because sensitivity dropped sharply between 0.10 and 0.15, representing a clinically unacceptable loss for a screening application. These estimates are uncertain because Group 2 contained only nine events, and they do not establish a clinically actionable threshold.</w:t>
      </w:r>
    </w:p>
    <w:p w14:paraId="084F2FCD" w14:textId="77777777" w:rsidR="004608B9" w:rsidRPr="00274188" w:rsidRDefault="004608B9" w:rsidP="00274188">
      <w:pPr>
        <w:spacing w:before="200" w:after="10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i/>
          <w:iCs/>
          <w:kern w:val="0"/>
          <w:sz w:val="24"/>
          <w14:ligatures w14:val="none"/>
        </w:rPr>
        <w:t>Exploratory Pooled-Cohort Effect Modification</w:t>
      </w:r>
    </w:p>
    <w:p w14:paraId="60E98EC2"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In the pooled 580-patient analysis, the interaction OR for age was 2.392 per 10.36-year increase (bootstrap 95% CI, 1.180–5.021), suggesting that the association between residual LSR and 1-year spasm may strengthen with increasing age (Figure 5A). The corresponding estimate for disease duration was 1.286 per 3.93-year increase (bootstrap 95% CI, 0.645–4.955). Vessel interaction estimates were highly unstable, and the other-vessel interaction was not estimable.</w:t>
      </w:r>
    </w:p>
    <w:p w14:paraId="7B1686A8" w14:textId="22140E73" w:rsidR="004608B9"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kern w:val="0"/>
          <w:sz w:val="24"/>
          <w14:ligatures w14:val="none"/>
        </w:rPr>
        <w:t xml:space="preserve">Among patients younger than 60 years, the observed event rate was 2.4% (9/369) without residual LSR and 43.4% (43/99) with residual LSR. Among patients aged 60 years or older, the corresponding rates were 1.1% (1/92) and 70.0% (14/20), respectively (Figure 5B). </w:t>
      </w:r>
    </w:p>
    <w:p w14:paraId="5734B189" w14:textId="77777777" w:rsidR="007B429C" w:rsidRDefault="007B429C" w:rsidP="00274188">
      <w:pPr>
        <w:spacing w:after="120" w:line="360" w:lineRule="auto"/>
        <w:jc w:val="both"/>
        <w:rPr>
          <w:rFonts w:ascii="Times New Roman" w:hAnsi="Times New Roman" w:cs="Times New Roman"/>
          <w:kern w:val="0"/>
          <w:sz w:val="24"/>
          <w14:ligatures w14:val="none"/>
        </w:rPr>
      </w:pPr>
    </w:p>
    <w:p w14:paraId="50B7CD2C" w14:textId="77777777" w:rsidR="007B429C" w:rsidRPr="007B429C" w:rsidRDefault="007B429C" w:rsidP="007B429C">
      <w:pPr>
        <w:widowControl/>
        <w:spacing w:after="240" w:line="240" w:lineRule="auto"/>
        <w:outlineLvl w:val="0"/>
        <w:rPr>
          <w:rFonts w:ascii="Times New Roman" w:hAnsi="Times New Roman" w:cs="Times New Roman"/>
          <w:color w:val="2E74B5"/>
          <w:kern w:val="0"/>
          <w:sz w:val="32"/>
          <w:szCs w:val="32"/>
          <w14:ligatures w14:val="none"/>
        </w:rPr>
      </w:pPr>
      <w:r w:rsidRPr="007B429C">
        <w:rPr>
          <w:rFonts w:ascii="Times New Roman" w:eastAsia="Times New Roman" w:hAnsi="Times New Roman" w:cs="Times New Roman"/>
          <w:b/>
          <w:bCs/>
          <w:color w:val="2E74B5"/>
          <w:kern w:val="0"/>
          <w:sz w:val="28"/>
          <w:szCs w:val="28"/>
          <w14:ligatures w14:val="none"/>
        </w:rPr>
        <w:lastRenderedPageBreak/>
        <w:t>Discussion</w:t>
      </w:r>
    </w:p>
    <w:p w14:paraId="662554BF" w14:textId="77777777" w:rsidR="00EE6948" w:rsidRDefault="00EE6948" w:rsidP="007B429C">
      <w:pPr>
        <w:spacing w:after="120" w:line="360" w:lineRule="auto"/>
        <w:ind w:firstLine="431"/>
        <w:jc w:val="both"/>
        <w:rPr>
          <w:rFonts w:ascii="Times New Roman" w:hAnsi="Times New Roman" w:cs="Times New Roman"/>
          <w:color w:val="EE0000"/>
          <w:kern w:val="0"/>
          <w:sz w:val="24"/>
          <w14:ligatures w14:val="none"/>
        </w:rPr>
      </w:pPr>
      <w:r w:rsidRPr="00EE6948">
        <w:rPr>
          <w:rFonts w:ascii="Times New Roman" w:eastAsia="Times New Roman" w:hAnsi="Times New Roman" w:cs="Times New Roman"/>
          <w:color w:val="EE0000"/>
          <w:kern w:val="0"/>
          <w:sz w:val="24"/>
          <w14:ligatures w14:val="none"/>
        </w:rPr>
        <w:t xml:space="preserve">The present study advances from association-level evidence to individualized prediction modeling for one-year outcomes after MVD in patients with </w:t>
      </w:r>
      <w:proofErr w:type="spellStart"/>
      <w:r w:rsidRPr="00EE6948">
        <w:rPr>
          <w:rFonts w:ascii="Times New Roman" w:eastAsia="Times New Roman" w:hAnsi="Times New Roman" w:cs="Times New Roman"/>
          <w:color w:val="EE0000"/>
          <w:kern w:val="0"/>
          <w:sz w:val="24"/>
          <w14:ligatures w14:val="none"/>
        </w:rPr>
        <w:t>pHFS</w:t>
      </w:r>
      <w:proofErr w:type="spellEnd"/>
      <w:r w:rsidRPr="00EE6948">
        <w:rPr>
          <w:rFonts w:ascii="Times New Roman" w:eastAsia="Times New Roman" w:hAnsi="Times New Roman" w:cs="Times New Roman"/>
          <w:color w:val="EE0000"/>
          <w:kern w:val="0"/>
          <w:sz w:val="24"/>
          <w14:ligatures w14:val="none"/>
        </w:rPr>
        <w:t>. By integrating two-branch LSR with routine clinical variables and comparing 15 candidate machine learning algorithms under a locked temporal validation design, we obtained a frozen Gradient Boosting model that achieved an AUROC of 0.899 (95% CI, 0.829–0.957) in the held-out validation cohort. This result confirms that intraoperative electrophysiological data, when embedded in a multivariable framework, can yield a rigorously validated prognostic tool—moving beyond the conventional association analyses that have characterized prior work in this field, including our own [13,14].</w:t>
      </w:r>
    </w:p>
    <w:p w14:paraId="57F965DA" w14:textId="57C5D35D" w:rsidR="007B429C" w:rsidRPr="007B429C" w:rsidRDefault="007B429C" w:rsidP="007B429C">
      <w:pPr>
        <w:spacing w:after="120" w:line="360" w:lineRule="auto"/>
        <w:ind w:firstLine="431"/>
        <w:jc w:val="both"/>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4"/>
          <w14:ligatures w14:val="none"/>
        </w:rPr>
        <w:t xml:space="preserve">The dominance of the two branch-specific LSR variables in the SHAP analysis is consistent with a substantial body of evidence supporting the prognostic relevance of intraoperative LSR status. </w:t>
      </w:r>
      <w:r w:rsidR="00EE6948" w:rsidRPr="00EE6948">
        <w:rPr>
          <w:rFonts w:ascii="Times New Roman" w:eastAsia="Times New Roman" w:hAnsi="Times New Roman" w:cs="Times New Roman"/>
          <w:color w:val="EE0000"/>
          <w:kern w:val="0"/>
          <w:sz w:val="24"/>
          <w14:ligatures w14:val="none"/>
        </w:rPr>
        <w:t>In a definitive meta-analysis pooling 7,479 patients, Thirumala et al. demonstrated that final intraoperative LSR disappearance is highly specific for long-term spasm-free outcomes [8]. Prospective single-center studies have reinforced this finding: El Damaty et al. reported that persistent LSR at the end of MVD was the strongest predictor of unfavorable outcome in a 100-patient cohort [NEW REF-A], and Kim et al. observed that the disappearance of LSR during surgery prospectively predicted spasm-free status in their series [NEW REF-B]</w:t>
      </w:r>
      <w:r w:rsidRPr="007B429C">
        <w:rPr>
          <w:rFonts w:ascii="Times New Roman" w:eastAsia="Times New Roman" w:hAnsi="Times New Roman" w:cs="Times New Roman"/>
          <w:kern w:val="0"/>
          <w:sz w:val="24"/>
          <w14:ligatures w14:val="none"/>
        </w:rPr>
        <w:t xml:space="preserve">. Al </w:t>
      </w:r>
      <w:proofErr w:type="spellStart"/>
      <w:r w:rsidRPr="007B429C">
        <w:rPr>
          <w:rFonts w:ascii="Times New Roman" w:eastAsia="Times New Roman" w:hAnsi="Times New Roman" w:cs="Times New Roman"/>
          <w:kern w:val="0"/>
          <w:sz w:val="24"/>
          <w14:ligatures w14:val="none"/>
        </w:rPr>
        <w:t>Menabbawy</w:t>
      </w:r>
      <w:proofErr w:type="spellEnd"/>
      <w:r w:rsidRPr="007B429C">
        <w:rPr>
          <w:rFonts w:ascii="Times New Roman" w:eastAsia="Times New Roman" w:hAnsi="Times New Roman" w:cs="Times New Roman"/>
          <w:kern w:val="0"/>
          <w:sz w:val="24"/>
          <w14:ligatures w14:val="none"/>
        </w:rPr>
        <w:t xml:space="preserve"> et al. further demonstrated that the timing of LSR disappearance provides additional prognostic information, with early disappearance associated with more favorable outcomes [20]. Cho et al. have argued that LSR disappearance serves as the definitive electrophysiological marker of adequate decompression [21], while Cheng et al. showed that combining LSR with brainstem auditory evoked potentials can enhance the monitoring strategy during MVD [22]. Conversely, Baranwal et al. cautioned that the clinical utility of LSR disappearance may be overestimated when analyzed in isolation, given the confounding effects of anesthetic depth, stimulation parameters, and the phenomenon of delayed relief [23]. Our prediction model addresses this concern by embedding LSR status within a multivariable framework, thereby capturing its prognostic value while accounting for the influence of other clinical factors that may modulate the LSR–outcome relationship.</w:t>
      </w:r>
    </w:p>
    <w:p w14:paraId="15C53E0E" w14:textId="77777777" w:rsidR="007B429C" w:rsidRPr="007B429C" w:rsidRDefault="007B429C" w:rsidP="007B429C">
      <w:pPr>
        <w:spacing w:after="120" w:line="360" w:lineRule="auto"/>
        <w:ind w:firstLine="431"/>
        <w:jc w:val="both"/>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4"/>
          <w14:ligatures w14:val="none"/>
        </w:rPr>
        <w:t xml:space="preserve">An important finding of the current study is that MAN-LSR exhibited a larger mean absolute SHAP value than ZYG-LSR, suggesting that the mandibular-branch </w:t>
      </w:r>
      <w:r w:rsidRPr="007B429C">
        <w:rPr>
          <w:rFonts w:ascii="Times New Roman" w:eastAsia="Times New Roman" w:hAnsi="Times New Roman" w:cs="Times New Roman"/>
          <w:kern w:val="0"/>
          <w:sz w:val="24"/>
          <w14:ligatures w14:val="none"/>
        </w:rPr>
        <w:lastRenderedPageBreak/>
        <w:t>response contributed more to the model’s predictive output. This observation is intriguing in light of the branch-specific differences in LSR morphology reported by Amano et al., who demonstrated that the polyphasic pattern of the lateral spread response differs between temporal and mandibular branch stimulation and correlates with the likelihood of delayed relief [24]. It is plausible that mandibular-branch LSR captures a more sensitive signal of residual neurovascular compression or facial nerve excitability. Xu et al. also reported that persistent abnormal muscle response after MVD is associated with less favorable long-term outcomes, further supporting the prognostic weight carried by residual LSR [25]. Chai et al. similarly found that the characteristics of early LSR loss during surgery can jointly influence surgical outcomes alongside disease chronicity [26]. Nevertheless, the SHAP values describe model behavior and do not establish causality; the observed difference between MAN-LSR and ZYG-LSR contributions may also reflect interactions within the tree-based model and warrants confirmation in independent datasets.</w:t>
      </w:r>
    </w:p>
    <w:p w14:paraId="4AEA5B1A" w14:textId="77777777" w:rsidR="007B429C" w:rsidRPr="007B429C" w:rsidRDefault="007B429C" w:rsidP="007B429C">
      <w:pPr>
        <w:spacing w:after="120" w:line="360" w:lineRule="auto"/>
        <w:ind w:firstLine="431"/>
        <w:jc w:val="both"/>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4"/>
          <w14:ligatures w14:val="none"/>
        </w:rPr>
        <w:t xml:space="preserve">Beyond the LSR variables, disease duration emerged as the third most influential predictor. This finding is clinically plausible, as prolonged neurovascular compression has been hypothesized to cause progressive demyelination of the facial nerve and hyperexcitability of the facial motor nucleus, potentially making full recovery more difficult even after successful decompression [24,26]. Inoue et al. have catalogued diverse reasons for failure and recurrence after MVD—including inadequate decompression, Teflon granuloma, and new vascular compression—and noted that longer disease duration may reflect a more advanced stage of neural pathology that is not fully reversible by surgical decompression alone [27]. Prior acupuncture, the fourth-ranked predictor, may serve as a surrogate marker for disease chronicity or health-seeking behavior rather than exerting a direct pathophysiological effect. Age ranked fifth in overall SHAP importance but revealed a more striking pattern in the exploratory effect-modification analysis. The interaction odds ratio for age was 2.392 per standard deviation increase (bootstrap 95% CI, 1.180–5.021), indicating that the association between residual LSR and one-year spasm may be amplified in older patients. This finding resonates with the age-stratified analyses reported by Zhao et al., who compared MVD outcomes between patients older and younger than 70 years and observed comparable overall efficacy but subtle differences in the pattern of recovery [28]. Tugend et al. similarly investigated elderly patients undergoing MVD and found that </w:t>
      </w:r>
      <w:r w:rsidRPr="007B429C">
        <w:rPr>
          <w:rFonts w:ascii="Times New Roman" w:eastAsia="Times New Roman" w:hAnsi="Times New Roman" w:cs="Times New Roman"/>
          <w:kern w:val="0"/>
          <w:sz w:val="24"/>
          <w14:ligatures w14:val="none"/>
        </w:rPr>
        <w:lastRenderedPageBreak/>
        <w:t>age alone was not a statistically significant predictor of spasm-freedom, suggesting that its effect may be non-linear and primarily manifested through interaction with other factors such as residual LSR [29]. Our Gradient Boosting model, with its capacity to capture non-linear relationships and interactions, is well suited to leverage such patterns, which may be difficult to detect using conventional regression approaches.</w:t>
      </w:r>
    </w:p>
    <w:p w14:paraId="1BB5E13E" w14:textId="77777777" w:rsidR="007B429C" w:rsidRPr="007B429C" w:rsidRDefault="007B429C" w:rsidP="007B429C">
      <w:pPr>
        <w:spacing w:after="120" w:line="360" w:lineRule="auto"/>
        <w:ind w:firstLine="431"/>
        <w:jc w:val="both"/>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4"/>
          <w14:ligatures w14:val="none"/>
        </w:rPr>
        <w:t>Decision-curve analysis demonstrated that the model’s net benefit exceeded both the treat-all and treat-none reference strategies at probability thresholds from 0.05 to 0.30 [32,33]. This range corresponds to clinical scenarios in which the cost of a false positive (e.g., additional intraoperative manipulation in a patient who would have recovered regardless) is between roughly one-nineteenth and three-sevenths the cost of a false negative (i.e., failing to identify a patient at risk of persistent spasm). While the precise threshold at which clinical action would be warranted remains undefined and requires prospective clinical input, the broad range of superiority suggests that the model could meaningfully inform postoperative counseling and follow-up scheduling. For instance, patients stratified into the highest predicted-risk group could be counseled about the possibility of delayed or incomplete relief and scheduled for closer follow-up, while those in the lowest risk groups could be reassured about their favorable prognosis. However, we emphasize that no clinically actionable threshold was established in this study, and the decision-curve findings are exploratory [33].</w:t>
      </w:r>
    </w:p>
    <w:p>
      <w:r>
        <w:t>To support clinical implementation, we implemented the frozen five-predictor Gradient Boosting model as a web calculator for individualized risk estimation; because external validation and a clinically actionable threshold are lacking, its current use remains research-only.</w:t>
      </w:r>
    </w:p>
    <w:p w14:paraId="2B8ED779" w14:textId="77777777" w:rsidR="007B429C" w:rsidRPr="007B429C" w:rsidRDefault="007B429C" w:rsidP="007B429C">
      <w:pPr>
        <w:spacing w:after="120" w:line="360" w:lineRule="auto"/>
        <w:ind w:firstLine="431"/>
        <w:jc w:val="both"/>
        <w:rPr>
          <w:rFonts w:ascii="Times New Roman" w:hAnsi="Times New Roman" w:cs="Times New Roman"/>
          <w:kern w:val="0"/>
          <w:sz w:val="24"/>
          <w14:ligatures w14:val="none"/>
        </w:rPr>
      </w:pPr>
      <w:r w:rsidRPr="007B429C">
        <w:rPr>
          <w:rFonts w:ascii="Times New Roman" w:eastAsia="Times New Roman" w:hAnsi="Times New Roman" w:cs="Times New Roman"/>
          <w:kern w:val="0"/>
          <w:sz w:val="24"/>
          <w14:ligatures w14:val="none"/>
        </w:rPr>
        <w:t xml:space="preserve">Several recent studies have attempted to construct prediction models for HFS outcomes after MVD. Chen et al. developed a nomogram integrating quantitative LSR parameters with clinical features for predicting recurrence, with promising discrimination in a two-center validation [34]. Similarly, a recent study presented a logistic regression-based nomogram for early risk stratification in patients with residual HFS after MVD [35]. Our study differs from these efforts in three important aspects. First, we employed a locked temporal validation design, in which the index model was frozen before any Group 2 data were accessed, thereby minimizing optimistic bias inherent in random-split or </w:t>
      </w:r>
      <w:proofErr w:type="spellStart"/>
      <w:r w:rsidRPr="007B429C">
        <w:rPr>
          <w:rFonts w:ascii="Times New Roman" w:eastAsia="Times New Roman" w:hAnsi="Times New Roman" w:cs="Times New Roman"/>
          <w:kern w:val="0"/>
          <w:sz w:val="24"/>
          <w14:ligatures w14:val="none"/>
        </w:rPr>
        <w:t>resubstitution</w:t>
      </w:r>
      <w:proofErr w:type="spellEnd"/>
      <w:r w:rsidRPr="007B429C">
        <w:rPr>
          <w:rFonts w:ascii="Times New Roman" w:eastAsia="Times New Roman" w:hAnsi="Times New Roman" w:cs="Times New Roman"/>
          <w:kern w:val="0"/>
          <w:sz w:val="24"/>
          <w14:ligatures w14:val="none"/>
        </w:rPr>
        <w:t xml:space="preserve"> validation [36]. Second, we reported comprehensive calibration metrics beyond discrimination alone, in line with the TRIPOD recommendations [17]. Third, we directly compared 15 candidate algorithms using a standardized cross-validation framework, providing transparency regarding model selection and demonstrating that the performance margin between the best candidates—Gradient Boosting and elastic-net logistic regression—was narrow (Brier </w:t>
      </w:r>
      <w:r w:rsidRPr="007B429C">
        <w:rPr>
          <w:rFonts w:ascii="Times New Roman" w:eastAsia="Times New Roman" w:hAnsi="Times New Roman" w:cs="Times New Roman"/>
          <w:kern w:val="0"/>
          <w:sz w:val="24"/>
          <w14:ligatures w14:val="none"/>
        </w:rPr>
        <w:lastRenderedPageBreak/>
        <w:t>score difference 0.00046). The near-equivalent performance of these two fundamentally different approaches suggests that the primary signal in the data, driven largely by the LSR variables, is robust and accessible to both linear and non-linear models.</w:t>
      </w:r>
    </w:p>
    <w:p w14:paraId="1E798E54" w14:textId="42D7DC51" w:rsidR="007B429C" w:rsidRPr="007B429C" w:rsidRDefault="007B429C" w:rsidP="006E491A">
      <w:pPr>
        <w:spacing w:after="120" w:line="360" w:lineRule="auto"/>
        <w:ind w:firstLine="431"/>
        <w:jc w:val="both"/>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4"/>
          <w14:ligatures w14:val="none"/>
        </w:rPr>
        <w:t xml:space="preserve">Several limitations of this study should be acknowledged. First, this is a single-center retrospective study, and although the temporal validation design provides more rigorous evaluation than random splitting, the generalizability of our model to other institutions with different surgical techniques, monitoring protocols, and patient populations remains unconfirmed. Second, the validation cohort contained only 104 patients with 9 events, resulting in wide confidence intervals for all performance metrics. This sample size, while meeting the minimum threshold for AUROC estimation </w:t>
      </w:r>
      <w:bookmarkStart w:id="0" w:name="OLE_LINK1"/>
      <w:r w:rsidRPr="007B429C">
        <w:rPr>
          <w:rFonts w:ascii="Times New Roman" w:eastAsia="Times New Roman" w:hAnsi="Times New Roman" w:cs="Times New Roman"/>
          <w:kern w:val="0"/>
          <w:sz w:val="24"/>
          <w14:ligatures w14:val="none"/>
        </w:rPr>
        <w:t>[31]</w:t>
      </w:r>
      <w:bookmarkEnd w:id="0"/>
      <w:r w:rsidRPr="007B429C">
        <w:rPr>
          <w:rFonts w:ascii="Times New Roman" w:eastAsia="Times New Roman" w:hAnsi="Times New Roman" w:cs="Times New Roman"/>
          <w:kern w:val="0"/>
          <w:sz w:val="24"/>
          <w14:ligatures w14:val="none"/>
        </w:rPr>
        <w:t>, is insufficient for precise calibration assessment. Third, the outcome was defined as the presence of any spasm at one year, without grading spasm severity or distinguishing between residual and recurrent disease. A more granular outcome scale might capture clinically meaningful differences that a binary classification cannot. Looking forward, several avenues merit investigation. External multicenter validation should be prioritized to assess the model’s transportability and to obtain more precise calibration estimates. Incorporation of the blink reflex</w:t>
      </w:r>
      <w:r w:rsidR="006E491A" w:rsidRPr="006E491A">
        <w:rPr>
          <w:rFonts w:ascii="Times New Roman" w:eastAsia="Times New Roman" w:hAnsi="Times New Roman" w:cs="Times New Roman"/>
          <w:kern w:val="0"/>
          <w:sz w:val="24"/>
          <w14:ligatures w14:val="none"/>
        </w:rPr>
        <w:t>, Z-L reflex</w:t>
      </w:r>
      <w:r w:rsidR="006E491A">
        <w:rPr>
          <w:rFonts w:ascii="Times New Roman" w:hAnsi="Times New Roman" w:cs="Times New Roman" w:hint="eastAsia"/>
          <w:kern w:val="0"/>
          <w:sz w:val="24"/>
          <w14:ligatures w14:val="none"/>
        </w:rPr>
        <w:t xml:space="preserve"> an</w:t>
      </w:r>
      <w:r w:rsidRPr="007B429C">
        <w:rPr>
          <w:rFonts w:ascii="Times New Roman" w:eastAsia="Times New Roman" w:hAnsi="Times New Roman" w:cs="Times New Roman"/>
          <w:kern w:val="0"/>
          <w:sz w:val="24"/>
          <w14:ligatures w14:val="none"/>
        </w:rPr>
        <w:t>d other monitoring modalities into an expanded predictor set may further enhance prediction</w:t>
      </w:r>
      <w:r w:rsidR="00B016D5">
        <w:rPr>
          <w:rFonts w:ascii="Times New Roman" w:hAnsi="Times New Roman" w:cs="Times New Roman" w:hint="eastAsia"/>
          <w:kern w:val="0"/>
          <w:sz w:val="24"/>
          <w14:ligatures w14:val="none"/>
        </w:rPr>
        <w:t xml:space="preserve"> </w:t>
      </w:r>
      <w:r w:rsidR="00B016D5" w:rsidRPr="007B429C">
        <w:rPr>
          <w:rFonts w:ascii="Times New Roman" w:eastAsia="Times New Roman" w:hAnsi="Times New Roman" w:cs="Times New Roman"/>
          <w:kern w:val="0"/>
          <w:sz w:val="24"/>
          <w14:ligatures w14:val="none"/>
        </w:rPr>
        <w:t>[</w:t>
      </w:r>
      <w:r w:rsidR="00B016D5">
        <w:rPr>
          <w:rFonts w:ascii="Times New Roman" w:hAnsi="Times New Roman" w:cs="Times New Roman" w:hint="eastAsia"/>
          <w:kern w:val="0"/>
          <w:sz w:val="24"/>
          <w14:ligatures w14:val="none"/>
        </w:rPr>
        <w:t>22</w:t>
      </w:r>
      <w:r w:rsidR="00B016D5" w:rsidRPr="007B429C">
        <w:rPr>
          <w:rFonts w:ascii="Times New Roman" w:eastAsia="Times New Roman" w:hAnsi="Times New Roman" w:cs="Times New Roman"/>
          <w:kern w:val="0"/>
          <w:sz w:val="24"/>
          <w14:ligatures w14:val="none"/>
        </w:rPr>
        <w:t>]</w:t>
      </w:r>
      <w:r w:rsidRPr="007B429C">
        <w:rPr>
          <w:rFonts w:ascii="Times New Roman" w:eastAsia="Times New Roman" w:hAnsi="Times New Roman" w:cs="Times New Roman"/>
          <w:kern w:val="0"/>
          <w:sz w:val="24"/>
          <w14:ligatures w14:val="none"/>
        </w:rPr>
        <w:t>. Time-to-event analysis with regular follow-up intervals could reveal the trajectory of symptom resolution and allow dynamic prediction of recovery timing. Finally, the observed age–LSR interaction, if confirmed in larger populations, may have implications for personalized surgical decision-making in elderly patients, for whom the risk–benefit calculus of MVD is particularly relevant [28,29].</w:t>
      </w:r>
    </w:p>
    <w:p w14:paraId="59E71AA2" w14:textId="77777777" w:rsidR="007B429C" w:rsidRPr="007B429C" w:rsidRDefault="007B429C" w:rsidP="00274188">
      <w:pPr>
        <w:spacing w:after="120" w:line="360" w:lineRule="auto"/>
        <w:jc w:val="both"/>
        <w:rPr>
          <w:rFonts w:ascii="Times New Roman" w:hAnsi="Times New Roman" w:cs="Times New Roman"/>
          <w:kern w:val="0"/>
          <w:sz w:val="24"/>
          <w14:ligatures w14:val="none"/>
        </w:rPr>
      </w:pPr>
    </w:p>
    <w:p w14:paraId="187EBA25" w14:textId="77777777" w:rsidR="007B429C" w:rsidRPr="007B429C" w:rsidRDefault="007B429C" w:rsidP="00274188">
      <w:pPr>
        <w:spacing w:after="120" w:line="360" w:lineRule="auto"/>
        <w:jc w:val="both"/>
        <w:rPr>
          <w:rFonts w:ascii="Times New Roman" w:hAnsi="Times New Roman" w:cs="Times New Roman"/>
          <w:kern w:val="0"/>
          <w:sz w:val="24"/>
          <w14:ligatures w14:val="none"/>
        </w:rPr>
      </w:pPr>
    </w:p>
    <w:p w14:paraId="2A38E799" w14:textId="77777777" w:rsidR="004608B9" w:rsidRPr="00274188" w:rsidRDefault="004608B9" w:rsidP="00274188">
      <w:pPr>
        <w:spacing w:after="0" w:line="240" w:lineRule="auto"/>
        <w:jc w:val="both"/>
        <w:rPr>
          <w:rFonts w:ascii="Times New Roman" w:hAnsi="Times New Roman" w:cs="Times New Roman"/>
          <w:kern w:val="0"/>
          <w:sz w:val="24"/>
          <w14:ligatures w14:val="none"/>
        </w:rPr>
      </w:pPr>
      <w:r w:rsidRPr="00274188">
        <w:rPr>
          <w:rFonts w:ascii="Times New Roman" w:hAnsi="Times New Roman" w:cs="Times New Roman"/>
          <w:kern w:val="0"/>
          <w:sz w:val="24"/>
          <w14:ligatures w14:val="none"/>
        </w:rPr>
        <w:br w:type="page"/>
      </w:r>
    </w:p>
    <w:p>
      <w:r>
        <w:rPr>
          <w:b/>
        </w:rPr>
        <w:t>Data Availability</w:t>
      </w:r>
    </w:p>
    <w:p>
      <w:r>
        <w:t>Participant-level data are not publicly available because of patient privacy and institutional ethics requirements.</w:t>
      </w:r>
    </w:p>
    <w:p>
      <w:r>
        <w:rPr>
          <w:b/>
        </w:rPr>
        <w:t>Code Availability</w:t>
      </w:r>
    </w:p>
    <w:p>
      <w:r>
        <w:t>The analysis code, frozen five-variable model artifact, and locked internal temporal-validation report are publicly available at https://github.com/yangjun1997/machine-learning-lsr. The web-based research calculator is publicly accessible at https://hfs-mvd-risk-calculator.streamlit.app/.</w:t>
      </w:r>
    </w:p>
    <w:p w14:paraId="1628DA70" w14:textId="3850B49C" w:rsidR="001F0633" w:rsidRPr="001F0633" w:rsidRDefault="004608B9" w:rsidP="001F0633">
      <w:pPr>
        <w:widowControl/>
        <w:spacing w:before="240" w:after="120" w:line="360" w:lineRule="auto"/>
        <w:jc w:val="both"/>
        <w:outlineLvl w:val="0"/>
        <w:rPr>
          <w:rFonts w:ascii="Times New Roman" w:hAnsi="Times New Roman" w:cs="Times New Roman"/>
          <w:color w:val="2E74B5"/>
          <w:kern w:val="0"/>
          <w:sz w:val="24"/>
          <w14:ligatures w14:val="none"/>
        </w:rPr>
      </w:pPr>
      <w:r w:rsidRPr="00274188">
        <w:rPr>
          <w:rFonts w:ascii="Times New Roman" w:eastAsia="Times New Roman" w:hAnsi="Times New Roman" w:cs="Times New Roman"/>
          <w:b/>
          <w:bCs/>
          <w:color w:val="2E74B5"/>
          <w:kern w:val="0"/>
          <w:sz w:val="24"/>
          <w14:ligatures w14:val="none"/>
        </w:rPr>
        <w:lastRenderedPageBreak/>
        <w:t>Figure Legends</w:t>
      </w:r>
    </w:p>
    <w:p w14:paraId="477A3AF1" w14:textId="71B05E91"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Figure 1. </w:t>
      </w:r>
      <w:r w:rsidRPr="00274188">
        <w:rPr>
          <w:rFonts w:ascii="Times New Roman" w:eastAsia="Times New Roman" w:hAnsi="Times New Roman" w:cs="Times New Roman"/>
          <w:kern w:val="0"/>
          <w:sz w:val="24"/>
          <w14:ligatures w14:val="none"/>
        </w:rPr>
        <w:t>Study design and analysis workflow. The 580 records were separated by admission date into Group 1 for model development and Group 2 for locked internal temporal validation. The displayed dates are the observed ranges, and the predefined July–August 2022 washout contained no patients. Group 1 was used for fixed-specification comparison, model selection, refitting, and SHAP analysis. Group 2 remained held out until the Gradient Boosting pipeline had been frozen and was then evaluated once without tuning or recalibration. BMI, body mass index; KPS, Karnofsky Performance Status; LSR, lateral spread response.</w:t>
      </w:r>
    </w:p>
    <w:p w14:paraId="3734153B"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Figure 2. </w:t>
      </w:r>
      <w:r w:rsidRPr="00274188">
        <w:rPr>
          <w:rFonts w:ascii="Times New Roman" w:eastAsia="Times New Roman" w:hAnsi="Times New Roman" w:cs="Times New Roman"/>
          <w:kern w:val="0"/>
          <w:sz w:val="24"/>
          <w14:ligatures w14:val="none"/>
        </w:rPr>
        <w:t xml:space="preserve">Group 1 performance of candidate models. Panel A shows out-of-fold Brier scores and panel B shows out-of-fold AUROCs for 15 displayed models: 14 fixed primary candidates plus the post-freeze supplementary </w:t>
      </w:r>
      <w:proofErr w:type="spellStart"/>
      <w:r w:rsidRPr="00274188">
        <w:rPr>
          <w:rFonts w:ascii="Times New Roman" w:eastAsia="Times New Roman" w:hAnsi="Times New Roman" w:cs="Times New Roman"/>
          <w:kern w:val="0"/>
          <w:sz w:val="24"/>
          <w14:ligatures w14:val="none"/>
        </w:rPr>
        <w:t>LightGBM</w:t>
      </w:r>
      <w:proofErr w:type="spellEnd"/>
      <w:r w:rsidRPr="00274188">
        <w:rPr>
          <w:rFonts w:ascii="Times New Roman" w:eastAsia="Times New Roman" w:hAnsi="Times New Roman" w:cs="Times New Roman"/>
          <w:kern w:val="0"/>
          <w:sz w:val="24"/>
          <w14:ligatures w14:val="none"/>
        </w:rPr>
        <w:t xml:space="preserve"> analysis. Predictions for the primary candidates were produced by stratified five-fold cross-validation in Group 1 (n = 476; 58 events). Red identifies the frozen Gradient Boosting index model, teal identifies elastic-net logistic regression, and orange identifies supplementary </w:t>
      </w:r>
      <w:proofErr w:type="spellStart"/>
      <w:r w:rsidRPr="00274188">
        <w:rPr>
          <w:rFonts w:ascii="Times New Roman" w:eastAsia="Times New Roman" w:hAnsi="Times New Roman" w:cs="Times New Roman"/>
          <w:kern w:val="0"/>
          <w:sz w:val="24"/>
          <w14:ligatures w14:val="none"/>
        </w:rPr>
        <w:t>LightGBM</w:t>
      </w:r>
      <w:proofErr w:type="spellEnd"/>
      <w:r w:rsidRPr="00274188">
        <w:rPr>
          <w:rFonts w:ascii="Times New Roman" w:eastAsia="Times New Roman" w:hAnsi="Times New Roman" w:cs="Times New Roman"/>
          <w:kern w:val="0"/>
          <w:sz w:val="24"/>
          <w14:ligatures w14:val="none"/>
        </w:rPr>
        <w:t>. AUROC, area under the receiver operating characteristic curve; AUPRC, area under the precision-recall curve.</w:t>
      </w:r>
    </w:p>
    <w:p w14:paraId="641F3E91"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Figure 3. </w:t>
      </w:r>
      <w:r w:rsidRPr="00274188">
        <w:rPr>
          <w:rFonts w:ascii="Times New Roman" w:eastAsia="Times New Roman" w:hAnsi="Times New Roman" w:cs="Times New Roman"/>
          <w:kern w:val="0"/>
          <w:sz w:val="24"/>
          <w14:ligatures w14:val="none"/>
        </w:rPr>
        <w:t>SHAP interpretation of the frozen Gradient Boosting model in Group 1. Panel A ranks the five original variables with the largest mean absolute SHAP values after contributions from one-hot levels were aggregated to their source variable. Panel B shows the distribution of encoded-feature SHAP values; color represents the encoded feature value. SHAP values are on the raw Gradient Boosting output scale. The analysis describes the model refitted on all 476 Group 1 patients and does not estimate causality. LSR, lateral spread response; SHAP, Shapley additive explanations.</w:t>
      </w:r>
    </w:p>
    <w:p w14:paraId="1DB01B1E"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Figure 4. </w:t>
      </w:r>
      <w:r w:rsidRPr="00274188">
        <w:rPr>
          <w:rFonts w:ascii="Times New Roman" w:eastAsia="Times New Roman" w:hAnsi="Times New Roman" w:cs="Times New Roman"/>
          <w:kern w:val="0"/>
          <w:sz w:val="24"/>
          <w14:ligatures w14:val="none"/>
        </w:rPr>
        <w:t xml:space="preserve">Internal temporal validation and exploratory threshold performance in Group 2. Panel A plots observed 1-year event rates against mean frozen-model predictions in five quantile-based risk groups. Error bars are percentile 95% confidence intervals from 2,000 within-group bootstrap resamples. Panel B shows exploratory net benefit for the frozen model, treat-all, and treat-none strategies at thresholds from 0.05 to 0.40. Panel C is a radar plot of sensitivity, specificity, PPV, NPV, and F1 score at thresholds 0.05, 0.10, 0.15, and 0.20. Panel D is the confusion matrix at threshold 0.10, selected because sensitivity drops sharply between 0.10 and 0.15. Group 2 contained 104 patients and </w:t>
      </w:r>
      <w:r w:rsidRPr="00274188">
        <w:rPr>
          <w:rFonts w:ascii="Times New Roman" w:eastAsia="Times New Roman" w:hAnsi="Times New Roman" w:cs="Times New Roman"/>
          <w:kern w:val="0"/>
          <w:sz w:val="24"/>
          <w14:ligatures w14:val="none"/>
        </w:rPr>
        <w:lastRenderedPageBreak/>
        <w:t>nine events. No threshold was clinically confirmed, and none of these panels was used to recalibrate the model. NPV, negative predictive value; PPV, positive predictive value.</w:t>
      </w:r>
    </w:p>
    <w:p w14:paraId="080D0A98"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Figure 5. </w:t>
      </w:r>
      <w:r w:rsidRPr="00274188">
        <w:rPr>
          <w:rFonts w:ascii="Times New Roman" w:eastAsia="Times New Roman" w:hAnsi="Times New Roman" w:cs="Times New Roman"/>
          <w:kern w:val="0"/>
          <w:sz w:val="24"/>
          <w14:ligatures w14:val="none"/>
        </w:rPr>
        <w:t>Exploratory residual-LSR effect modification in the pooled cohort. Panel A shows interaction odds ratios from separate weakly ridge-stabilized logistic models fitted to all 580 patients. Each model contained residual LSR, one modifier, and their product term. Points are interaction odds ratios and bars are percentile 95% confidence intervals from 500 bootstrap resamples. The dashed line denotes an interaction odds ratio of 1. Panel B displays unadjusted observed event rates by age group and residual-LSR status. Residual LSR was defined as persistence in either branch-specific LSR. All modifier analyses were exploratory and no multiplicity adjustment was applied. CI, confidence interval; LSR, lateral spread response; NE, not estimable; OR, odds ratio; SD, standard deviation.</w:t>
      </w:r>
    </w:p>
    <w:p w14:paraId="775C21A3" w14:textId="77777777" w:rsidR="004608B9" w:rsidRPr="00274188" w:rsidRDefault="004608B9" w:rsidP="00274188">
      <w:pPr>
        <w:widowControl/>
        <w:spacing w:before="240" w:after="120" w:line="360" w:lineRule="auto"/>
        <w:jc w:val="both"/>
        <w:outlineLvl w:val="0"/>
        <w:rPr>
          <w:rFonts w:ascii="Times New Roman" w:hAnsi="Times New Roman" w:cs="Times New Roman"/>
          <w:color w:val="2E74B5"/>
          <w:kern w:val="0"/>
          <w:sz w:val="24"/>
          <w14:ligatures w14:val="none"/>
        </w:rPr>
      </w:pPr>
      <w:r w:rsidRPr="00274188">
        <w:rPr>
          <w:rFonts w:ascii="Times New Roman" w:eastAsia="Times New Roman" w:hAnsi="Times New Roman" w:cs="Times New Roman"/>
          <w:b/>
          <w:bCs/>
          <w:color w:val="2E74B5"/>
          <w:kern w:val="0"/>
          <w:sz w:val="24"/>
          <w14:ligatures w14:val="none"/>
        </w:rPr>
        <w:t>Supplementary Figure Legends</w:t>
      </w:r>
    </w:p>
    <w:p w14:paraId="248361CD"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Figure S1. </w:t>
      </w:r>
      <w:r w:rsidRPr="00274188">
        <w:rPr>
          <w:rFonts w:ascii="Times New Roman" w:eastAsia="Times New Roman" w:hAnsi="Times New Roman" w:cs="Times New Roman"/>
          <w:kern w:val="0"/>
          <w:sz w:val="24"/>
          <w14:ligatures w14:val="none"/>
        </w:rPr>
        <w:t>Learning curve for the frozen Gradient Boosting model in Group 1. Training AUROC (blue) and five-fold cross-validated AUROC (red) are plotted as a function of the number of Group 1 patients used. Shaded bands represent variability across folds. The narrowing gap between training and cross-validated performance and the plateau in cross-validated AUROC indicate that the model had stabilized at the available sample size. AUROC, area under the receiver operating characteristic curve; CV, cross-validation.</w:t>
      </w:r>
    </w:p>
    <w:p w14:paraId="5F4BCB6A"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Figure S2. </w:t>
      </w:r>
      <w:r w:rsidRPr="00274188">
        <w:rPr>
          <w:rFonts w:ascii="Times New Roman" w:eastAsia="Times New Roman" w:hAnsi="Times New Roman" w:cs="Times New Roman"/>
          <w:kern w:val="0"/>
          <w:sz w:val="24"/>
          <w14:ligatures w14:val="none"/>
        </w:rPr>
        <w:t>Patient-level predicted probabilities with bootstrap intervals in Group 2. Each point represents one Group 2 patient, sorted by predicted risk. Red points indicate patients who experienced 1-year postoperative spasm (events); blue points indicate patients without spasm (non-events). Vertical bars show percentile 95% bootstrap confidence intervals for each patient's predicted probability. The separation of events into the high-risk tail corroborates the discrimination reported in Table 3.</w:t>
      </w:r>
    </w:p>
    <w:p w14:paraId="79C78875"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Figure S</w:t>
      </w:r>
      <w:r w:rsidRPr="00274188">
        <w:rPr>
          <w:rFonts w:ascii="Times New Roman" w:hAnsi="Times New Roman" w:cs="Times New Roman"/>
          <w:b/>
          <w:bCs/>
          <w:kern w:val="0"/>
          <w:sz w:val="24"/>
          <w14:ligatures w14:val="none"/>
        </w:rPr>
        <w:t>3</w:t>
      </w:r>
      <w:r w:rsidRPr="00274188">
        <w:rPr>
          <w:rFonts w:ascii="Times New Roman" w:eastAsia="Times New Roman" w:hAnsi="Times New Roman" w:cs="Times New Roman"/>
          <w:b/>
          <w:bCs/>
          <w:kern w:val="0"/>
          <w:sz w:val="24"/>
          <w14:ligatures w14:val="none"/>
        </w:rPr>
        <w:t xml:space="preserve">. </w:t>
      </w:r>
      <w:r w:rsidRPr="00274188">
        <w:rPr>
          <w:rFonts w:ascii="Times New Roman" w:eastAsia="Times New Roman" w:hAnsi="Times New Roman" w:cs="Times New Roman"/>
          <w:kern w:val="0"/>
          <w:sz w:val="24"/>
          <w14:ligatures w14:val="none"/>
        </w:rPr>
        <w:t>Kolmogorov-Smirnov (KS) curve for the frozen Gradient Boosting model in Group 2. The cumulative proportions of events (red) and non-events (blue) are plotted against the fraction of Group 2 patients ranked by predicted risk (highest risk at right). The maximum KS statistic of 0.779 (green dashed line) indicates the point of greatest separation between the event and non-event distributions, providing an additional measure of the model's discriminatory ability. KS, Kolmogorov-Smirnov.</w:t>
      </w:r>
    </w:p>
    <w:p w14:paraId="76CAE05E" w14:textId="77777777" w:rsidR="004608B9" w:rsidRPr="00274188" w:rsidRDefault="004608B9" w:rsidP="00274188">
      <w:pPr>
        <w:spacing w:after="0" w:line="240" w:lineRule="auto"/>
        <w:jc w:val="both"/>
        <w:rPr>
          <w:rFonts w:ascii="Times New Roman" w:hAnsi="Times New Roman" w:cs="Times New Roman"/>
          <w:kern w:val="0"/>
          <w:sz w:val="24"/>
          <w14:ligatures w14:val="none"/>
        </w:rPr>
      </w:pPr>
      <w:r w:rsidRPr="00274188">
        <w:rPr>
          <w:rFonts w:ascii="Times New Roman" w:hAnsi="Times New Roman" w:cs="Times New Roman"/>
          <w:kern w:val="0"/>
          <w:sz w:val="24"/>
          <w14:ligatures w14:val="none"/>
        </w:rPr>
        <w:lastRenderedPageBreak/>
        <w:br w:type="page"/>
      </w:r>
    </w:p>
    <w:p w14:paraId="26F8DFC5" w14:textId="2BE39204" w:rsidR="004608B9" w:rsidRPr="008B3746" w:rsidRDefault="004608B9" w:rsidP="008B3746">
      <w:pPr>
        <w:widowControl/>
        <w:spacing w:before="240" w:after="120" w:line="360" w:lineRule="auto"/>
        <w:jc w:val="both"/>
        <w:outlineLvl w:val="0"/>
        <w:rPr>
          <w:rFonts w:ascii="Times New Roman" w:hAnsi="Times New Roman" w:cs="Times New Roman"/>
          <w:color w:val="2E74B5"/>
          <w:kern w:val="0"/>
          <w:sz w:val="24"/>
          <w14:ligatures w14:val="none"/>
        </w:rPr>
      </w:pPr>
      <w:r w:rsidRPr="00274188">
        <w:rPr>
          <w:rFonts w:ascii="Times New Roman" w:eastAsia="Times New Roman" w:hAnsi="Times New Roman" w:cs="Times New Roman"/>
          <w:b/>
          <w:bCs/>
          <w:color w:val="2E74B5"/>
          <w:kern w:val="0"/>
          <w:sz w:val="24"/>
          <w14:ligatures w14:val="none"/>
        </w:rPr>
        <w:lastRenderedPageBreak/>
        <w:t>Table Titles and Notes</w:t>
      </w:r>
    </w:p>
    <w:p w14:paraId="34AD54B2" w14:textId="77777777" w:rsidR="004608B9" w:rsidRPr="00274188" w:rsidRDefault="004608B9" w:rsidP="00274188">
      <w:pPr>
        <w:keepNext/>
        <w:keepLines/>
        <w:widowControl/>
        <w:spacing w:before="200" w:after="0" w:line="480" w:lineRule="auto"/>
        <w:jc w:val="both"/>
        <w:outlineLvl w:val="1"/>
        <w:rPr>
          <w:rFonts w:ascii="Times New Roman" w:eastAsia="MS Gothic" w:hAnsi="Times New Roman" w:cs="Times New Roman"/>
          <w:b/>
          <w:bCs/>
          <w:color w:val="4F81BD"/>
          <w:kern w:val="0"/>
          <w:sz w:val="24"/>
          <w:lang w:eastAsia="en-US"/>
          <w14:ligatures w14:val="none"/>
        </w:rPr>
      </w:pPr>
      <w:r w:rsidRPr="00274188">
        <w:rPr>
          <w:rFonts w:ascii="Times New Roman" w:eastAsia="MS Gothic" w:hAnsi="Times New Roman" w:cs="Times New Roman"/>
          <w:b/>
          <w:bCs/>
          <w:color w:val="4F81BD"/>
          <w:kern w:val="0"/>
          <w:sz w:val="24"/>
          <w:lang w:eastAsia="en-US"/>
          <w14:ligatures w14:val="none"/>
        </w:rPr>
        <w:t>Table 1. Cohort characteristics by temporal group</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8"/>
        <w:gridCol w:w="2193"/>
        <w:gridCol w:w="2678"/>
        <w:gridCol w:w="1197"/>
      </w:tblGrid>
      <w:tr w:rsidR="006B4062" w:rsidRPr="00274188" w14:paraId="3B872849" w14:textId="77777777" w:rsidTr="006B4062">
        <w:trPr>
          <w:tblHeader/>
        </w:trPr>
        <w:tc>
          <w:tcPr>
            <w:tcW w:w="3119" w:type="dxa"/>
            <w:tcBorders>
              <w:top w:val="single" w:sz="4" w:space="0" w:color="auto"/>
              <w:bottom w:val="single" w:sz="4" w:space="0" w:color="auto"/>
            </w:tcBorders>
            <w:shd w:val="clear" w:color="auto" w:fill="D9EAF7"/>
          </w:tcPr>
          <w:p w14:paraId="7896F91E" w14:textId="77777777" w:rsidR="006B4062" w:rsidRPr="00274188" w:rsidRDefault="006B4062" w:rsidP="00274188">
            <w:pPr>
              <w:widowControl/>
              <w:jc w:val="both"/>
              <w:rPr>
                <w:rFonts w:ascii="Times New Roman" w:eastAsia="Times New Roman" w:hAnsi="Times New Roman"/>
                <w:sz w:val="24"/>
                <w:szCs w:val="24"/>
              </w:rPr>
            </w:pPr>
            <w:r w:rsidRPr="00274188">
              <w:rPr>
                <w:rFonts w:ascii="Times New Roman" w:eastAsia="Times New Roman" w:hAnsi="Times New Roman"/>
                <w:b/>
                <w:sz w:val="24"/>
                <w:szCs w:val="24"/>
              </w:rPr>
              <w:t>Characteristic</w:t>
            </w:r>
          </w:p>
        </w:tc>
        <w:tc>
          <w:tcPr>
            <w:tcW w:w="3260" w:type="dxa"/>
            <w:tcBorders>
              <w:top w:val="single" w:sz="4" w:space="0" w:color="auto"/>
              <w:bottom w:val="single" w:sz="4" w:space="0" w:color="auto"/>
            </w:tcBorders>
            <w:shd w:val="clear" w:color="auto" w:fill="D9EAF7"/>
          </w:tcPr>
          <w:p w14:paraId="52DFE68A" w14:textId="77777777" w:rsidR="006B4062" w:rsidRPr="00274188" w:rsidRDefault="006B4062" w:rsidP="00274188">
            <w:pPr>
              <w:widowControl/>
              <w:jc w:val="both"/>
              <w:rPr>
                <w:rFonts w:ascii="Times New Roman" w:eastAsia="Times New Roman" w:hAnsi="Times New Roman"/>
                <w:sz w:val="24"/>
                <w:szCs w:val="24"/>
              </w:rPr>
            </w:pPr>
            <w:r w:rsidRPr="00274188">
              <w:rPr>
                <w:rFonts w:ascii="Times New Roman" w:eastAsia="Times New Roman" w:hAnsi="Times New Roman"/>
                <w:b/>
                <w:sz w:val="24"/>
                <w:szCs w:val="24"/>
              </w:rPr>
              <w:t>Group 1 development (n=476)</w:t>
            </w:r>
          </w:p>
        </w:tc>
        <w:tc>
          <w:tcPr>
            <w:tcW w:w="4961" w:type="dxa"/>
            <w:tcBorders>
              <w:top w:val="single" w:sz="4" w:space="0" w:color="auto"/>
              <w:bottom w:val="single" w:sz="4" w:space="0" w:color="auto"/>
            </w:tcBorders>
            <w:shd w:val="clear" w:color="auto" w:fill="D9EAF7"/>
          </w:tcPr>
          <w:p w14:paraId="729C12AC" w14:textId="77777777" w:rsidR="006B4062" w:rsidRPr="00274188" w:rsidRDefault="006B4062" w:rsidP="00274188">
            <w:pPr>
              <w:widowControl/>
              <w:jc w:val="both"/>
              <w:rPr>
                <w:rFonts w:ascii="Times New Roman" w:eastAsia="Times New Roman" w:hAnsi="Times New Roman"/>
                <w:sz w:val="24"/>
                <w:szCs w:val="24"/>
              </w:rPr>
            </w:pPr>
            <w:r w:rsidRPr="00274188">
              <w:rPr>
                <w:rFonts w:ascii="Times New Roman" w:eastAsia="Times New Roman" w:hAnsi="Times New Roman"/>
                <w:b/>
                <w:sz w:val="24"/>
                <w:szCs w:val="24"/>
              </w:rPr>
              <w:t>Group 2 internal temporal validation (n=104)</w:t>
            </w:r>
          </w:p>
        </w:tc>
        <w:tc>
          <w:tcPr>
            <w:tcW w:w="1555" w:type="dxa"/>
            <w:tcBorders>
              <w:top w:val="single" w:sz="4" w:space="0" w:color="auto"/>
              <w:bottom w:val="single" w:sz="4" w:space="0" w:color="auto"/>
            </w:tcBorders>
            <w:shd w:val="clear" w:color="auto" w:fill="D9EAF7"/>
          </w:tcPr>
          <w:p w14:paraId="688548D1" w14:textId="77777777" w:rsidR="006B4062" w:rsidRPr="00274188" w:rsidRDefault="006B4062" w:rsidP="00274188">
            <w:pPr>
              <w:widowControl/>
              <w:jc w:val="both"/>
              <w:rPr>
                <w:rFonts w:ascii="Times New Roman" w:eastAsia="Times New Roman" w:hAnsi="Times New Roman"/>
                <w:sz w:val="24"/>
                <w:szCs w:val="24"/>
              </w:rPr>
            </w:pPr>
            <w:r w:rsidRPr="00274188">
              <w:rPr>
                <w:rFonts w:ascii="Times New Roman" w:eastAsia="Times New Roman" w:hAnsi="Times New Roman"/>
                <w:b/>
                <w:sz w:val="24"/>
                <w:szCs w:val="24"/>
              </w:rPr>
              <w:t>P value</w:t>
            </w:r>
          </w:p>
        </w:tc>
      </w:tr>
      <w:tr w:rsidR="006B4062" w:rsidRPr="00274188" w14:paraId="1B31DC01" w14:textId="77777777" w:rsidTr="006B4062">
        <w:tc>
          <w:tcPr>
            <w:tcW w:w="3119" w:type="dxa"/>
            <w:tcBorders>
              <w:top w:val="single" w:sz="4" w:space="0" w:color="auto"/>
              <w:left w:val="single" w:sz="4" w:space="0" w:color="auto"/>
              <w:bottom w:val="single" w:sz="4" w:space="0" w:color="auto"/>
              <w:right w:val="single" w:sz="4" w:space="0" w:color="auto"/>
            </w:tcBorders>
          </w:tcPr>
          <w:p w14:paraId="4B213D87"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Age, years</w:t>
            </w:r>
          </w:p>
        </w:tc>
        <w:tc>
          <w:tcPr>
            <w:tcW w:w="3260" w:type="dxa"/>
            <w:tcBorders>
              <w:top w:val="single" w:sz="4" w:space="0" w:color="auto"/>
              <w:left w:val="single" w:sz="4" w:space="0" w:color="auto"/>
              <w:bottom w:val="single" w:sz="4" w:space="0" w:color="auto"/>
              <w:right w:val="single" w:sz="4" w:space="0" w:color="auto"/>
            </w:tcBorders>
          </w:tcPr>
          <w:p w14:paraId="5542490C"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50.92 (10.35)</w:t>
            </w:r>
          </w:p>
        </w:tc>
        <w:tc>
          <w:tcPr>
            <w:tcW w:w="4961" w:type="dxa"/>
            <w:tcBorders>
              <w:top w:val="single" w:sz="4" w:space="0" w:color="auto"/>
              <w:left w:val="single" w:sz="4" w:space="0" w:color="auto"/>
              <w:bottom w:val="single" w:sz="4" w:space="0" w:color="auto"/>
              <w:right w:val="single" w:sz="4" w:space="0" w:color="auto"/>
            </w:tcBorders>
          </w:tcPr>
          <w:p w14:paraId="6AF92580"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52.29 (10.42)</w:t>
            </w:r>
          </w:p>
        </w:tc>
        <w:tc>
          <w:tcPr>
            <w:tcW w:w="1555" w:type="dxa"/>
            <w:tcBorders>
              <w:top w:val="single" w:sz="4" w:space="0" w:color="auto"/>
              <w:left w:val="single" w:sz="4" w:space="0" w:color="auto"/>
              <w:bottom w:val="single" w:sz="4" w:space="0" w:color="auto"/>
              <w:right w:val="single" w:sz="4" w:space="0" w:color="auto"/>
            </w:tcBorders>
          </w:tcPr>
          <w:p w14:paraId="73209F06" w14:textId="1909708C"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0.173</w:t>
            </w:r>
            <w:r w:rsidRPr="00274188">
              <w:rPr>
                <w:rFonts w:ascii="Times New Roman" w:hAnsi="Times New Roman"/>
                <w:sz w:val="24"/>
                <w:szCs w:val="24"/>
                <w:vertAlign w:val="superscript"/>
                <w:lang w:eastAsia="zh-CN"/>
              </w:rPr>
              <w:t>a</w:t>
            </w:r>
          </w:p>
        </w:tc>
      </w:tr>
      <w:tr w:rsidR="006B4062" w:rsidRPr="00274188" w14:paraId="63D31A72" w14:textId="77777777" w:rsidTr="006B4062">
        <w:tc>
          <w:tcPr>
            <w:tcW w:w="3119" w:type="dxa"/>
            <w:tcBorders>
              <w:top w:val="single" w:sz="4" w:space="0" w:color="auto"/>
              <w:left w:val="single" w:sz="4" w:space="0" w:color="auto"/>
              <w:bottom w:val="single" w:sz="4" w:space="0" w:color="auto"/>
              <w:right w:val="single" w:sz="4" w:space="0" w:color="auto"/>
            </w:tcBorders>
          </w:tcPr>
          <w:p w14:paraId="62D1DBF1"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Disease duration, years</w:t>
            </w:r>
          </w:p>
        </w:tc>
        <w:tc>
          <w:tcPr>
            <w:tcW w:w="3260" w:type="dxa"/>
            <w:tcBorders>
              <w:top w:val="single" w:sz="4" w:space="0" w:color="auto"/>
              <w:left w:val="single" w:sz="4" w:space="0" w:color="auto"/>
              <w:bottom w:val="single" w:sz="4" w:space="0" w:color="auto"/>
              <w:right w:val="single" w:sz="4" w:space="0" w:color="auto"/>
            </w:tcBorders>
          </w:tcPr>
          <w:p w14:paraId="27EF94A1"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3.00 [2.00, 6.00]</w:t>
            </w:r>
          </w:p>
        </w:tc>
        <w:tc>
          <w:tcPr>
            <w:tcW w:w="4961" w:type="dxa"/>
            <w:tcBorders>
              <w:top w:val="single" w:sz="4" w:space="0" w:color="auto"/>
              <w:left w:val="single" w:sz="4" w:space="0" w:color="auto"/>
              <w:bottom w:val="single" w:sz="4" w:space="0" w:color="auto"/>
              <w:right w:val="single" w:sz="4" w:space="0" w:color="auto"/>
            </w:tcBorders>
          </w:tcPr>
          <w:p w14:paraId="2D25A36E"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4.00 [2.00, 6.00]</w:t>
            </w:r>
          </w:p>
        </w:tc>
        <w:tc>
          <w:tcPr>
            <w:tcW w:w="1555" w:type="dxa"/>
            <w:tcBorders>
              <w:top w:val="single" w:sz="4" w:space="0" w:color="auto"/>
              <w:left w:val="single" w:sz="4" w:space="0" w:color="auto"/>
              <w:bottom w:val="single" w:sz="4" w:space="0" w:color="auto"/>
              <w:right w:val="single" w:sz="4" w:space="0" w:color="auto"/>
            </w:tcBorders>
          </w:tcPr>
          <w:p w14:paraId="17FB7C9E" w14:textId="51810C01"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0.473</w:t>
            </w:r>
            <w:r w:rsidRPr="00274188">
              <w:rPr>
                <w:rFonts w:ascii="Times New Roman" w:hAnsi="Times New Roman"/>
                <w:sz w:val="24"/>
                <w:szCs w:val="24"/>
                <w:vertAlign w:val="superscript"/>
                <w:lang w:eastAsia="zh-CN"/>
              </w:rPr>
              <w:t>a</w:t>
            </w:r>
          </w:p>
        </w:tc>
      </w:tr>
      <w:tr w:rsidR="006B4062" w:rsidRPr="00274188" w14:paraId="79F144E3" w14:textId="77777777" w:rsidTr="006B4062">
        <w:tc>
          <w:tcPr>
            <w:tcW w:w="3119" w:type="dxa"/>
            <w:tcBorders>
              <w:top w:val="single" w:sz="4" w:space="0" w:color="auto"/>
              <w:left w:val="single" w:sz="4" w:space="0" w:color="auto"/>
              <w:bottom w:val="single" w:sz="4" w:space="0" w:color="auto"/>
              <w:right w:val="single" w:sz="4" w:space="0" w:color="auto"/>
            </w:tcBorders>
          </w:tcPr>
          <w:p w14:paraId="34AA77CF"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Body mass index, kg/m2</w:t>
            </w:r>
          </w:p>
        </w:tc>
        <w:tc>
          <w:tcPr>
            <w:tcW w:w="3260" w:type="dxa"/>
            <w:tcBorders>
              <w:top w:val="single" w:sz="4" w:space="0" w:color="auto"/>
              <w:left w:val="single" w:sz="4" w:space="0" w:color="auto"/>
              <w:bottom w:val="single" w:sz="4" w:space="0" w:color="auto"/>
              <w:right w:val="single" w:sz="4" w:space="0" w:color="auto"/>
            </w:tcBorders>
          </w:tcPr>
          <w:p w14:paraId="0AC3055D"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25.14 (3.82)</w:t>
            </w:r>
          </w:p>
        </w:tc>
        <w:tc>
          <w:tcPr>
            <w:tcW w:w="4961" w:type="dxa"/>
            <w:tcBorders>
              <w:top w:val="single" w:sz="4" w:space="0" w:color="auto"/>
              <w:left w:val="single" w:sz="4" w:space="0" w:color="auto"/>
              <w:bottom w:val="single" w:sz="4" w:space="0" w:color="auto"/>
              <w:right w:val="single" w:sz="4" w:space="0" w:color="auto"/>
            </w:tcBorders>
          </w:tcPr>
          <w:p w14:paraId="76B166FF"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24.61 (3.18)</w:t>
            </w:r>
          </w:p>
        </w:tc>
        <w:tc>
          <w:tcPr>
            <w:tcW w:w="1555" w:type="dxa"/>
            <w:tcBorders>
              <w:top w:val="single" w:sz="4" w:space="0" w:color="auto"/>
              <w:left w:val="single" w:sz="4" w:space="0" w:color="auto"/>
              <w:bottom w:val="single" w:sz="4" w:space="0" w:color="auto"/>
              <w:right w:val="single" w:sz="4" w:space="0" w:color="auto"/>
            </w:tcBorders>
          </w:tcPr>
          <w:p w14:paraId="0EC936E8" w14:textId="5EB6759A"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0.165</w:t>
            </w:r>
            <w:r w:rsidRPr="00274188">
              <w:rPr>
                <w:rFonts w:ascii="Times New Roman" w:hAnsi="Times New Roman"/>
                <w:sz w:val="24"/>
                <w:szCs w:val="24"/>
                <w:vertAlign w:val="superscript"/>
                <w:lang w:eastAsia="zh-CN"/>
              </w:rPr>
              <w:t>a</w:t>
            </w:r>
          </w:p>
        </w:tc>
      </w:tr>
      <w:tr w:rsidR="006B4062" w:rsidRPr="00274188" w14:paraId="22A5058A" w14:textId="77777777" w:rsidTr="006B4062">
        <w:tc>
          <w:tcPr>
            <w:tcW w:w="3119" w:type="dxa"/>
            <w:tcBorders>
              <w:top w:val="single" w:sz="4" w:space="0" w:color="auto"/>
              <w:left w:val="single" w:sz="4" w:space="0" w:color="auto"/>
              <w:bottom w:val="single" w:sz="4" w:space="0" w:color="auto"/>
              <w:right w:val="single" w:sz="4" w:space="0" w:color="auto"/>
            </w:tcBorders>
          </w:tcPr>
          <w:p w14:paraId="37ECAFFA"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Admission KPS score</w:t>
            </w:r>
          </w:p>
        </w:tc>
        <w:tc>
          <w:tcPr>
            <w:tcW w:w="3260" w:type="dxa"/>
            <w:tcBorders>
              <w:top w:val="single" w:sz="4" w:space="0" w:color="auto"/>
              <w:left w:val="single" w:sz="4" w:space="0" w:color="auto"/>
              <w:bottom w:val="single" w:sz="4" w:space="0" w:color="auto"/>
              <w:right w:val="single" w:sz="4" w:space="0" w:color="auto"/>
            </w:tcBorders>
          </w:tcPr>
          <w:p w14:paraId="0E27D8DF"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100.00 [100.00, 100.00]</w:t>
            </w:r>
          </w:p>
        </w:tc>
        <w:tc>
          <w:tcPr>
            <w:tcW w:w="4961" w:type="dxa"/>
            <w:tcBorders>
              <w:top w:val="single" w:sz="4" w:space="0" w:color="auto"/>
              <w:left w:val="single" w:sz="4" w:space="0" w:color="auto"/>
              <w:bottom w:val="single" w:sz="4" w:space="0" w:color="auto"/>
              <w:right w:val="single" w:sz="4" w:space="0" w:color="auto"/>
            </w:tcBorders>
          </w:tcPr>
          <w:p w14:paraId="29B7AEB1"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100.00 [100.00, 100.00]</w:t>
            </w:r>
          </w:p>
        </w:tc>
        <w:tc>
          <w:tcPr>
            <w:tcW w:w="1555" w:type="dxa"/>
            <w:tcBorders>
              <w:top w:val="single" w:sz="4" w:space="0" w:color="auto"/>
              <w:left w:val="single" w:sz="4" w:space="0" w:color="auto"/>
              <w:bottom w:val="single" w:sz="4" w:space="0" w:color="auto"/>
              <w:right w:val="single" w:sz="4" w:space="0" w:color="auto"/>
            </w:tcBorders>
          </w:tcPr>
          <w:p w14:paraId="06B58150" w14:textId="18CA7CB9"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0.447</w:t>
            </w:r>
            <w:r w:rsidRPr="00274188">
              <w:rPr>
                <w:rFonts w:ascii="Times New Roman" w:hAnsi="Times New Roman"/>
                <w:sz w:val="24"/>
                <w:szCs w:val="24"/>
                <w:vertAlign w:val="superscript"/>
                <w:lang w:eastAsia="zh-CN"/>
              </w:rPr>
              <w:t>a</w:t>
            </w:r>
          </w:p>
        </w:tc>
      </w:tr>
      <w:tr w:rsidR="006B4062" w:rsidRPr="00274188" w14:paraId="3EF5482D" w14:textId="77777777" w:rsidTr="006B4062">
        <w:tc>
          <w:tcPr>
            <w:tcW w:w="3119" w:type="dxa"/>
            <w:tcBorders>
              <w:top w:val="single" w:sz="4" w:space="0" w:color="auto"/>
              <w:left w:val="single" w:sz="4" w:space="0" w:color="auto"/>
              <w:bottom w:val="single" w:sz="4" w:space="0" w:color="auto"/>
              <w:right w:val="single" w:sz="4" w:space="0" w:color="auto"/>
            </w:tcBorders>
          </w:tcPr>
          <w:p w14:paraId="2FD23203"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Intraoperative blood loss, mL</w:t>
            </w:r>
          </w:p>
        </w:tc>
        <w:tc>
          <w:tcPr>
            <w:tcW w:w="3260" w:type="dxa"/>
            <w:tcBorders>
              <w:top w:val="single" w:sz="4" w:space="0" w:color="auto"/>
              <w:left w:val="single" w:sz="4" w:space="0" w:color="auto"/>
              <w:bottom w:val="single" w:sz="4" w:space="0" w:color="auto"/>
              <w:right w:val="single" w:sz="4" w:space="0" w:color="auto"/>
            </w:tcBorders>
          </w:tcPr>
          <w:p w14:paraId="2DD55D61"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50.00 [50.00, 50.00]</w:t>
            </w:r>
          </w:p>
        </w:tc>
        <w:tc>
          <w:tcPr>
            <w:tcW w:w="4961" w:type="dxa"/>
            <w:tcBorders>
              <w:top w:val="single" w:sz="4" w:space="0" w:color="auto"/>
              <w:left w:val="single" w:sz="4" w:space="0" w:color="auto"/>
              <w:bottom w:val="single" w:sz="4" w:space="0" w:color="auto"/>
              <w:right w:val="single" w:sz="4" w:space="0" w:color="auto"/>
            </w:tcBorders>
          </w:tcPr>
          <w:p w14:paraId="6D6C263B"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50.00 [50.00, 50.00]</w:t>
            </w:r>
          </w:p>
        </w:tc>
        <w:tc>
          <w:tcPr>
            <w:tcW w:w="1555" w:type="dxa"/>
            <w:tcBorders>
              <w:top w:val="single" w:sz="4" w:space="0" w:color="auto"/>
              <w:left w:val="single" w:sz="4" w:space="0" w:color="auto"/>
              <w:bottom w:val="single" w:sz="4" w:space="0" w:color="auto"/>
              <w:right w:val="single" w:sz="4" w:space="0" w:color="auto"/>
            </w:tcBorders>
          </w:tcPr>
          <w:p w14:paraId="69039706" w14:textId="2B1F8EA3"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0.794</w:t>
            </w:r>
            <w:r w:rsidRPr="00274188">
              <w:rPr>
                <w:rFonts w:ascii="Times New Roman" w:hAnsi="Times New Roman"/>
                <w:sz w:val="24"/>
                <w:szCs w:val="24"/>
                <w:vertAlign w:val="superscript"/>
                <w:lang w:eastAsia="zh-CN"/>
              </w:rPr>
              <w:t>a</w:t>
            </w:r>
          </w:p>
        </w:tc>
      </w:tr>
      <w:tr w:rsidR="006B4062" w:rsidRPr="00274188" w14:paraId="50FF6D5C" w14:textId="77777777" w:rsidTr="006B4062">
        <w:tc>
          <w:tcPr>
            <w:tcW w:w="3119" w:type="dxa"/>
            <w:tcBorders>
              <w:top w:val="single" w:sz="4" w:space="0" w:color="auto"/>
              <w:left w:val="single" w:sz="4" w:space="0" w:color="auto"/>
              <w:bottom w:val="single" w:sz="4" w:space="0" w:color="auto"/>
              <w:right w:val="single" w:sz="4" w:space="0" w:color="auto"/>
            </w:tcBorders>
          </w:tcPr>
          <w:p w14:paraId="62DEB83E"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Female sex</w:t>
            </w:r>
          </w:p>
        </w:tc>
        <w:tc>
          <w:tcPr>
            <w:tcW w:w="3260" w:type="dxa"/>
            <w:tcBorders>
              <w:top w:val="single" w:sz="4" w:space="0" w:color="auto"/>
              <w:left w:val="single" w:sz="4" w:space="0" w:color="auto"/>
              <w:bottom w:val="single" w:sz="4" w:space="0" w:color="auto"/>
              <w:right w:val="single" w:sz="4" w:space="0" w:color="auto"/>
            </w:tcBorders>
          </w:tcPr>
          <w:p w14:paraId="154F10D2"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313 (65.8%)</w:t>
            </w:r>
          </w:p>
        </w:tc>
        <w:tc>
          <w:tcPr>
            <w:tcW w:w="4961" w:type="dxa"/>
            <w:tcBorders>
              <w:top w:val="single" w:sz="4" w:space="0" w:color="auto"/>
              <w:left w:val="single" w:sz="4" w:space="0" w:color="auto"/>
              <w:bottom w:val="single" w:sz="4" w:space="0" w:color="auto"/>
              <w:right w:val="single" w:sz="4" w:space="0" w:color="auto"/>
            </w:tcBorders>
          </w:tcPr>
          <w:p w14:paraId="15450A27"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68 (65.4%)</w:t>
            </w:r>
          </w:p>
        </w:tc>
        <w:tc>
          <w:tcPr>
            <w:tcW w:w="1555" w:type="dxa"/>
            <w:tcBorders>
              <w:top w:val="single" w:sz="4" w:space="0" w:color="auto"/>
              <w:left w:val="single" w:sz="4" w:space="0" w:color="auto"/>
              <w:bottom w:val="single" w:sz="4" w:space="0" w:color="auto"/>
              <w:right w:val="single" w:sz="4" w:space="0" w:color="auto"/>
            </w:tcBorders>
          </w:tcPr>
          <w:p w14:paraId="14A3470C" w14:textId="74AFDD5A"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0.942</w:t>
            </w:r>
            <w:r w:rsidRPr="00274188">
              <w:rPr>
                <w:rFonts w:ascii="Times New Roman" w:hAnsi="Times New Roman"/>
                <w:sz w:val="24"/>
                <w:szCs w:val="24"/>
                <w:vertAlign w:val="superscript"/>
                <w:lang w:eastAsia="zh-CN"/>
              </w:rPr>
              <w:t>b</w:t>
            </w:r>
          </w:p>
        </w:tc>
      </w:tr>
      <w:tr w:rsidR="006B4062" w:rsidRPr="00274188" w14:paraId="3A279F24" w14:textId="77777777" w:rsidTr="006B4062">
        <w:tc>
          <w:tcPr>
            <w:tcW w:w="3119" w:type="dxa"/>
            <w:tcBorders>
              <w:top w:val="single" w:sz="4" w:space="0" w:color="auto"/>
              <w:left w:val="single" w:sz="4" w:space="0" w:color="auto"/>
              <w:bottom w:val="single" w:sz="4" w:space="0" w:color="auto"/>
              <w:right w:val="single" w:sz="4" w:space="0" w:color="auto"/>
            </w:tcBorders>
          </w:tcPr>
          <w:p w14:paraId="72133C8F"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Left-sided disease</w:t>
            </w:r>
          </w:p>
        </w:tc>
        <w:tc>
          <w:tcPr>
            <w:tcW w:w="3260" w:type="dxa"/>
            <w:tcBorders>
              <w:top w:val="single" w:sz="4" w:space="0" w:color="auto"/>
              <w:left w:val="single" w:sz="4" w:space="0" w:color="auto"/>
              <w:bottom w:val="single" w:sz="4" w:space="0" w:color="auto"/>
              <w:right w:val="single" w:sz="4" w:space="0" w:color="auto"/>
            </w:tcBorders>
          </w:tcPr>
          <w:p w14:paraId="6707277E"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251 (52.7%)</w:t>
            </w:r>
          </w:p>
        </w:tc>
        <w:tc>
          <w:tcPr>
            <w:tcW w:w="4961" w:type="dxa"/>
            <w:tcBorders>
              <w:top w:val="single" w:sz="4" w:space="0" w:color="auto"/>
              <w:left w:val="single" w:sz="4" w:space="0" w:color="auto"/>
              <w:bottom w:val="single" w:sz="4" w:space="0" w:color="auto"/>
              <w:right w:val="single" w:sz="4" w:space="0" w:color="auto"/>
            </w:tcBorders>
          </w:tcPr>
          <w:p w14:paraId="1882FC32"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50 (48.1%)</w:t>
            </w:r>
          </w:p>
        </w:tc>
        <w:tc>
          <w:tcPr>
            <w:tcW w:w="1555" w:type="dxa"/>
            <w:tcBorders>
              <w:top w:val="single" w:sz="4" w:space="0" w:color="auto"/>
              <w:left w:val="single" w:sz="4" w:space="0" w:color="auto"/>
              <w:bottom w:val="single" w:sz="4" w:space="0" w:color="auto"/>
              <w:right w:val="single" w:sz="4" w:space="0" w:color="auto"/>
            </w:tcBorders>
          </w:tcPr>
          <w:p w14:paraId="7411C175" w14:textId="19CBB33E"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0.389</w:t>
            </w:r>
            <w:r w:rsidRPr="00274188">
              <w:rPr>
                <w:rFonts w:ascii="Times New Roman" w:hAnsi="Times New Roman"/>
                <w:sz w:val="24"/>
                <w:szCs w:val="24"/>
                <w:vertAlign w:val="superscript"/>
                <w:lang w:eastAsia="zh-CN"/>
              </w:rPr>
              <w:t>b</w:t>
            </w:r>
          </w:p>
        </w:tc>
      </w:tr>
      <w:tr w:rsidR="006B4062" w:rsidRPr="00274188" w14:paraId="04CFF06A" w14:textId="77777777" w:rsidTr="006B4062">
        <w:tc>
          <w:tcPr>
            <w:tcW w:w="3119" w:type="dxa"/>
            <w:tcBorders>
              <w:top w:val="single" w:sz="4" w:space="0" w:color="auto"/>
              <w:left w:val="single" w:sz="4" w:space="0" w:color="auto"/>
              <w:bottom w:val="single" w:sz="4" w:space="0" w:color="auto"/>
              <w:right w:val="single" w:sz="4" w:space="0" w:color="auto"/>
            </w:tcBorders>
          </w:tcPr>
          <w:p w14:paraId="1D10EA04"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Hypertension</w:t>
            </w:r>
          </w:p>
        </w:tc>
        <w:tc>
          <w:tcPr>
            <w:tcW w:w="3260" w:type="dxa"/>
            <w:tcBorders>
              <w:top w:val="single" w:sz="4" w:space="0" w:color="auto"/>
              <w:left w:val="single" w:sz="4" w:space="0" w:color="auto"/>
              <w:bottom w:val="single" w:sz="4" w:space="0" w:color="auto"/>
              <w:right w:val="single" w:sz="4" w:space="0" w:color="auto"/>
            </w:tcBorders>
          </w:tcPr>
          <w:p w14:paraId="2CEE6F4D"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172 (36.1%)</w:t>
            </w:r>
          </w:p>
        </w:tc>
        <w:tc>
          <w:tcPr>
            <w:tcW w:w="4961" w:type="dxa"/>
            <w:tcBorders>
              <w:top w:val="single" w:sz="4" w:space="0" w:color="auto"/>
              <w:left w:val="single" w:sz="4" w:space="0" w:color="auto"/>
              <w:bottom w:val="single" w:sz="4" w:space="0" w:color="auto"/>
              <w:right w:val="single" w:sz="4" w:space="0" w:color="auto"/>
            </w:tcBorders>
          </w:tcPr>
          <w:p w14:paraId="52309A43"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43 (41.3%)</w:t>
            </w:r>
          </w:p>
        </w:tc>
        <w:tc>
          <w:tcPr>
            <w:tcW w:w="1555" w:type="dxa"/>
            <w:tcBorders>
              <w:top w:val="single" w:sz="4" w:space="0" w:color="auto"/>
              <w:left w:val="single" w:sz="4" w:space="0" w:color="auto"/>
              <w:bottom w:val="single" w:sz="4" w:space="0" w:color="auto"/>
              <w:right w:val="single" w:sz="4" w:space="0" w:color="auto"/>
            </w:tcBorders>
          </w:tcPr>
          <w:p w14:paraId="2D9AEC82" w14:textId="36A81A94"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0.319</w:t>
            </w:r>
            <w:r w:rsidRPr="00274188">
              <w:rPr>
                <w:rFonts w:ascii="Times New Roman" w:hAnsi="Times New Roman"/>
                <w:sz w:val="24"/>
                <w:szCs w:val="24"/>
                <w:vertAlign w:val="superscript"/>
                <w:lang w:eastAsia="zh-CN"/>
              </w:rPr>
              <w:t>b</w:t>
            </w:r>
          </w:p>
        </w:tc>
      </w:tr>
      <w:tr w:rsidR="006B4062" w:rsidRPr="00274188" w14:paraId="2543C71C" w14:textId="77777777" w:rsidTr="006B4062">
        <w:tc>
          <w:tcPr>
            <w:tcW w:w="3119" w:type="dxa"/>
            <w:tcBorders>
              <w:top w:val="single" w:sz="4" w:space="0" w:color="auto"/>
              <w:left w:val="single" w:sz="4" w:space="0" w:color="auto"/>
              <w:bottom w:val="single" w:sz="4" w:space="0" w:color="auto"/>
              <w:right w:val="single" w:sz="4" w:space="0" w:color="auto"/>
            </w:tcBorders>
          </w:tcPr>
          <w:p w14:paraId="3846B6EC"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Diabetes mellitus</w:t>
            </w:r>
          </w:p>
        </w:tc>
        <w:tc>
          <w:tcPr>
            <w:tcW w:w="3260" w:type="dxa"/>
            <w:tcBorders>
              <w:top w:val="single" w:sz="4" w:space="0" w:color="auto"/>
              <w:left w:val="single" w:sz="4" w:space="0" w:color="auto"/>
              <w:bottom w:val="single" w:sz="4" w:space="0" w:color="auto"/>
              <w:right w:val="single" w:sz="4" w:space="0" w:color="auto"/>
            </w:tcBorders>
          </w:tcPr>
          <w:p w14:paraId="0BE46037"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35 (7.4%)</w:t>
            </w:r>
          </w:p>
        </w:tc>
        <w:tc>
          <w:tcPr>
            <w:tcW w:w="4961" w:type="dxa"/>
            <w:tcBorders>
              <w:top w:val="single" w:sz="4" w:space="0" w:color="auto"/>
              <w:left w:val="single" w:sz="4" w:space="0" w:color="auto"/>
              <w:bottom w:val="single" w:sz="4" w:space="0" w:color="auto"/>
              <w:right w:val="single" w:sz="4" w:space="0" w:color="auto"/>
            </w:tcBorders>
          </w:tcPr>
          <w:p w14:paraId="534BE7B6"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7 (6.7%)</w:t>
            </w:r>
          </w:p>
        </w:tc>
        <w:tc>
          <w:tcPr>
            <w:tcW w:w="1555" w:type="dxa"/>
            <w:tcBorders>
              <w:top w:val="single" w:sz="4" w:space="0" w:color="auto"/>
              <w:left w:val="single" w:sz="4" w:space="0" w:color="auto"/>
              <w:bottom w:val="single" w:sz="4" w:space="0" w:color="auto"/>
              <w:right w:val="single" w:sz="4" w:space="0" w:color="auto"/>
            </w:tcBorders>
          </w:tcPr>
          <w:p w14:paraId="220500C5" w14:textId="6A107D6C"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0.824</w:t>
            </w:r>
            <w:r w:rsidRPr="00274188">
              <w:rPr>
                <w:rFonts w:ascii="Times New Roman" w:hAnsi="Times New Roman"/>
                <w:sz w:val="24"/>
                <w:szCs w:val="24"/>
                <w:vertAlign w:val="superscript"/>
                <w:lang w:eastAsia="zh-CN"/>
              </w:rPr>
              <w:t>b</w:t>
            </w:r>
          </w:p>
        </w:tc>
      </w:tr>
      <w:tr w:rsidR="006B4062" w:rsidRPr="00274188" w14:paraId="1D484C01" w14:textId="77777777" w:rsidTr="006B4062">
        <w:tc>
          <w:tcPr>
            <w:tcW w:w="3119" w:type="dxa"/>
            <w:tcBorders>
              <w:top w:val="single" w:sz="4" w:space="0" w:color="auto"/>
              <w:left w:val="single" w:sz="4" w:space="0" w:color="auto"/>
              <w:bottom w:val="single" w:sz="4" w:space="0" w:color="auto"/>
              <w:right w:val="single" w:sz="4" w:space="0" w:color="auto"/>
            </w:tcBorders>
          </w:tcPr>
          <w:p w14:paraId="343A3ECF"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Type 2 incision</w:t>
            </w:r>
          </w:p>
        </w:tc>
        <w:tc>
          <w:tcPr>
            <w:tcW w:w="3260" w:type="dxa"/>
            <w:tcBorders>
              <w:top w:val="single" w:sz="4" w:space="0" w:color="auto"/>
              <w:left w:val="single" w:sz="4" w:space="0" w:color="auto"/>
              <w:bottom w:val="single" w:sz="4" w:space="0" w:color="auto"/>
              <w:right w:val="single" w:sz="4" w:space="0" w:color="auto"/>
            </w:tcBorders>
          </w:tcPr>
          <w:p w14:paraId="39886989"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343 (72.1%)</w:t>
            </w:r>
          </w:p>
        </w:tc>
        <w:tc>
          <w:tcPr>
            <w:tcW w:w="4961" w:type="dxa"/>
            <w:tcBorders>
              <w:top w:val="single" w:sz="4" w:space="0" w:color="auto"/>
              <w:left w:val="single" w:sz="4" w:space="0" w:color="auto"/>
              <w:bottom w:val="single" w:sz="4" w:space="0" w:color="auto"/>
              <w:right w:val="single" w:sz="4" w:space="0" w:color="auto"/>
            </w:tcBorders>
          </w:tcPr>
          <w:p w14:paraId="41457A8C"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49 (47.1%)</w:t>
            </w:r>
          </w:p>
        </w:tc>
        <w:tc>
          <w:tcPr>
            <w:tcW w:w="1555" w:type="dxa"/>
            <w:tcBorders>
              <w:top w:val="single" w:sz="4" w:space="0" w:color="auto"/>
              <w:left w:val="single" w:sz="4" w:space="0" w:color="auto"/>
              <w:bottom w:val="single" w:sz="4" w:space="0" w:color="auto"/>
              <w:right w:val="single" w:sz="4" w:space="0" w:color="auto"/>
            </w:tcBorders>
          </w:tcPr>
          <w:p w14:paraId="217B152B" w14:textId="15A89A63"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&lt;0.001</w:t>
            </w:r>
            <w:r w:rsidRPr="00274188">
              <w:rPr>
                <w:rFonts w:ascii="Times New Roman" w:hAnsi="Times New Roman"/>
                <w:sz w:val="24"/>
                <w:szCs w:val="24"/>
                <w:vertAlign w:val="superscript"/>
                <w:lang w:eastAsia="zh-CN"/>
              </w:rPr>
              <w:t>b</w:t>
            </w:r>
          </w:p>
        </w:tc>
      </w:tr>
      <w:tr w:rsidR="006B4062" w:rsidRPr="00274188" w14:paraId="3308D067" w14:textId="77777777" w:rsidTr="006B4062">
        <w:tc>
          <w:tcPr>
            <w:tcW w:w="3119" w:type="dxa"/>
            <w:tcBorders>
              <w:top w:val="single" w:sz="4" w:space="0" w:color="auto"/>
              <w:left w:val="single" w:sz="4" w:space="0" w:color="auto"/>
              <w:bottom w:val="single" w:sz="4" w:space="0" w:color="auto"/>
              <w:right w:val="single" w:sz="4" w:space="0" w:color="auto"/>
            </w:tcBorders>
          </w:tcPr>
          <w:p w14:paraId="799885A5"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Prior botulinum toxin treatment</w:t>
            </w:r>
          </w:p>
        </w:tc>
        <w:tc>
          <w:tcPr>
            <w:tcW w:w="3260" w:type="dxa"/>
            <w:tcBorders>
              <w:top w:val="single" w:sz="4" w:space="0" w:color="auto"/>
              <w:left w:val="single" w:sz="4" w:space="0" w:color="auto"/>
              <w:bottom w:val="single" w:sz="4" w:space="0" w:color="auto"/>
              <w:right w:val="single" w:sz="4" w:space="0" w:color="auto"/>
            </w:tcBorders>
          </w:tcPr>
          <w:p w14:paraId="6B4C0F7D"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47 (9.9%)</w:t>
            </w:r>
          </w:p>
        </w:tc>
        <w:tc>
          <w:tcPr>
            <w:tcW w:w="4961" w:type="dxa"/>
            <w:tcBorders>
              <w:top w:val="single" w:sz="4" w:space="0" w:color="auto"/>
              <w:left w:val="single" w:sz="4" w:space="0" w:color="auto"/>
              <w:bottom w:val="single" w:sz="4" w:space="0" w:color="auto"/>
              <w:right w:val="single" w:sz="4" w:space="0" w:color="auto"/>
            </w:tcBorders>
          </w:tcPr>
          <w:p w14:paraId="5FFB14B0"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12 (11.5%)</w:t>
            </w:r>
          </w:p>
        </w:tc>
        <w:tc>
          <w:tcPr>
            <w:tcW w:w="1555" w:type="dxa"/>
            <w:tcBorders>
              <w:top w:val="single" w:sz="4" w:space="0" w:color="auto"/>
              <w:left w:val="single" w:sz="4" w:space="0" w:color="auto"/>
              <w:bottom w:val="single" w:sz="4" w:space="0" w:color="auto"/>
              <w:right w:val="single" w:sz="4" w:space="0" w:color="auto"/>
            </w:tcBorders>
          </w:tcPr>
          <w:p w14:paraId="3E557B87" w14:textId="00378F00"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0.611</w:t>
            </w:r>
            <w:r w:rsidRPr="00274188">
              <w:rPr>
                <w:rFonts w:ascii="Times New Roman" w:hAnsi="Times New Roman"/>
                <w:sz w:val="24"/>
                <w:szCs w:val="24"/>
                <w:vertAlign w:val="superscript"/>
                <w:lang w:eastAsia="zh-CN"/>
              </w:rPr>
              <w:t>b</w:t>
            </w:r>
          </w:p>
        </w:tc>
      </w:tr>
      <w:tr w:rsidR="006B4062" w:rsidRPr="00274188" w14:paraId="0B39BBF5" w14:textId="77777777" w:rsidTr="006B4062">
        <w:tc>
          <w:tcPr>
            <w:tcW w:w="3119" w:type="dxa"/>
            <w:tcBorders>
              <w:top w:val="single" w:sz="4" w:space="0" w:color="auto"/>
              <w:left w:val="single" w:sz="4" w:space="0" w:color="auto"/>
              <w:bottom w:val="single" w:sz="4" w:space="0" w:color="auto"/>
              <w:right w:val="single" w:sz="4" w:space="0" w:color="auto"/>
            </w:tcBorders>
          </w:tcPr>
          <w:p w14:paraId="742FC27A"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Prior acupuncture</w:t>
            </w:r>
          </w:p>
        </w:tc>
        <w:tc>
          <w:tcPr>
            <w:tcW w:w="3260" w:type="dxa"/>
            <w:tcBorders>
              <w:top w:val="single" w:sz="4" w:space="0" w:color="auto"/>
              <w:left w:val="single" w:sz="4" w:space="0" w:color="auto"/>
              <w:bottom w:val="single" w:sz="4" w:space="0" w:color="auto"/>
              <w:right w:val="single" w:sz="4" w:space="0" w:color="auto"/>
            </w:tcBorders>
          </w:tcPr>
          <w:p w14:paraId="6744B1F6"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154 (32.4%)</w:t>
            </w:r>
          </w:p>
        </w:tc>
        <w:tc>
          <w:tcPr>
            <w:tcW w:w="4961" w:type="dxa"/>
            <w:tcBorders>
              <w:top w:val="single" w:sz="4" w:space="0" w:color="auto"/>
              <w:left w:val="single" w:sz="4" w:space="0" w:color="auto"/>
              <w:bottom w:val="single" w:sz="4" w:space="0" w:color="auto"/>
              <w:right w:val="single" w:sz="4" w:space="0" w:color="auto"/>
            </w:tcBorders>
          </w:tcPr>
          <w:p w14:paraId="516C1D15"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37 (35.6%)</w:t>
            </w:r>
          </w:p>
        </w:tc>
        <w:tc>
          <w:tcPr>
            <w:tcW w:w="1555" w:type="dxa"/>
            <w:tcBorders>
              <w:top w:val="single" w:sz="4" w:space="0" w:color="auto"/>
              <w:left w:val="single" w:sz="4" w:space="0" w:color="auto"/>
              <w:bottom w:val="single" w:sz="4" w:space="0" w:color="auto"/>
              <w:right w:val="single" w:sz="4" w:space="0" w:color="auto"/>
            </w:tcBorders>
          </w:tcPr>
          <w:p w14:paraId="3BA48BFD" w14:textId="6E75ADF7"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0.526</w:t>
            </w:r>
            <w:r w:rsidRPr="00274188">
              <w:rPr>
                <w:rFonts w:ascii="Times New Roman" w:hAnsi="Times New Roman"/>
                <w:sz w:val="24"/>
                <w:szCs w:val="24"/>
                <w:vertAlign w:val="superscript"/>
                <w:lang w:eastAsia="zh-CN"/>
              </w:rPr>
              <w:t>b</w:t>
            </w:r>
          </w:p>
        </w:tc>
      </w:tr>
      <w:tr w:rsidR="006B4062" w:rsidRPr="00274188" w14:paraId="36700864" w14:textId="77777777" w:rsidTr="006B4062">
        <w:tc>
          <w:tcPr>
            <w:tcW w:w="3119" w:type="dxa"/>
            <w:tcBorders>
              <w:top w:val="single" w:sz="4" w:space="0" w:color="auto"/>
              <w:left w:val="single" w:sz="4" w:space="0" w:color="auto"/>
              <w:bottom w:val="single" w:sz="4" w:space="0" w:color="auto"/>
              <w:right w:val="single" w:sz="4" w:space="0" w:color="auto"/>
            </w:tcBorders>
          </w:tcPr>
          <w:p w14:paraId="40EC5F79"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Vertebral artery involved</w:t>
            </w:r>
          </w:p>
        </w:tc>
        <w:tc>
          <w:tcPr>
            <w:tcW w:w="3260" w:type="dxa"/>
            <w:tcBorders>
              <w:top w:val="single" w:sz="4" w:space="0" w:color="auto"/>
              <w:left w:val="single" w:sz="4" w:space="0" w:color="auto"/>
              <w:bottom w:val="single" w:sz="4" w:space="0" w:color="auto"/>
              <w:right w:val="single" w:sz="4" w:space="0" w:color="auto"/>
            </w:tcBorders>
          </w:tcPr>
          <w:p w14:paraId="47178B02"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54 (11.3%)</w:t>
            </w:r>
          </w:p>
        </w:tc>
        <w:tc>
          <w:tcPr>
            <w:tcW w:w="4961" w:type="dxa"/>
            <w:tcBorders>
              <w:top w:val="single" w:sz="4" w:space="0" w:color="auto"/>
              <w:left w:val="single" w:sz="4" w:space="0" w:color="auto"/>
              <w:bottom w:val="single" w:sz="4" w:space="0" w:color="auto"/>
              <w:right w:val="single" w:sz="4" w:space="0" w:color="auto"/>
            </w:tcBorders>
          </w:tcPr>
          <w:p w14:paraId="6D3CB4B3"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10 (9.6%)</w:t>
            </w:r>
          </w:p>
        </w:tc>
        <w:tc>
          <w:tcPr>
            <w:tcW w:w="1555" w:type="dxa"/>
            <w:tcBorders>
              <w:top w:val="single" w:sz="4" w:space="0" w:color="auto"/>
              <w:left w:val="single" w:sz="4" w:space="0" w:color="auto"/>
              <w:bottom w:val="single" w:sz="4" w:space="0" w:color="auto"/>
              <w:right w:val="single" w:sz="4" w:space="0" w:color="auto"/>
            </w:tcBorders>
          </w:tcPr>
          <w:p w14:paraId="4CED2339" w14:textId="339FDB10"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0.610</w:t>
            </w:r>
            <w:r w:rsidRPr="00274188">
              <w:rPr>
                <w:rFonts w:ascii="Times New Roman" w:hAnsi="Times New Roman"/>
                <w:sz w:val="24"/>
                <w:szCs w:val="24"/>
                <w:vertAlign w:val="superscript"/>
                <w:lang w:eastAsia="zh-CN"/>
              </w:rPr>
              <w:t>b</w:t>
            </w:r>
          </w:p>
        </w:tc>
      </w:tr>
      <w:tr w:rsidR="006B4062" w:rsidRPr="00274188" w14:paraId="1CFFA85A" w14:textId="77777777" w:rsidTr="006B4062">
        <w:tc>
          <w:tcPr>
            <w:tcW w:w="3119" w:type="dxa"/>
            <w:tcBorders>
              <w:top w:val="single" w:sz="4" w:space="0" w:color="auto"/>
              <w:left w:val="single" w:sz="4" w:space="0" w:color="auto"/>
              <w:bottom w:val="single" w:sz="4" w:space="0" w:color="auto"/>
              <w:right w:val="single" w:sz="4" w:space="0" w:color="auto"/>
            </w:tcBorders>
          </w:tcPr>
          <w:p w14:paraId="02FEC19E"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Posterior inferior cerebellar artery involved</w:t>
            </w:r>
          </w:p>
        </w:tc>
        <w:tc>
          <w:tcPr>
            <w:tcW w:w="3260" w:type="dxa"/>
            <w:tcBorders>
              <w:top w:val="single" w:sz="4" w:space="0" w:color="auto"/>
              <w:left w:val="single" w:sz="4" w:space="0" w:color="auto"/>
              <w:bottom w:val="single" w:sz="4" w:space="0" w:color="auto"/>
              <w:right w:val="single" w:sz="4" w:space="0" w:color="auto"/>
            </w:tcBorders>
          </w:tcPr>
          <w:p w14:paraId="02568359"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346 (72.7%)</w:t>
            </w:r>
          </w:p>
        </w:tc>
        <w:tc>
          <w:tcPr>
            <w:tcW w:w="4961" w:type="dxa"/>
            <w:tcBorders>
              <w:top w:val="single" w:sz="4" w:space="0" w:color="auto"/>
              <w:left w:val="single" w:sz="4" w:space="0" w:color="auto"/>
              <w:bottom w:val="single" w:sz="4" w:space="0" w:color="auto"/>
              <w:right w:val="single" w:sz="4" w:space="0" w:color="auto"/>
            </w:tcBorders>
          </w:tcPr>
          <w:p w14:paraId="4BF9A29C"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75 (72.1%)</w:t>
            </w:r>
          </w:p>
        </w:tc>
        <w:tc>
          <w:tcPr>
            <w:tcW w:w="1555" w:type="dxa"/>
            <w:tcBorders>
              <w:top w:val="single" w:sz="4" w:space="0" w:color="auto"/>
              <w:left w:val="single" w:sz="4" w:space="0" w:color="auto"/>
              <w:bottom w:val="single" w:sz="4" w:space="0" w:color="auto"/>
              <w:right w:val="single" w:sz="4" w:space="0" w:color="auto"/>
            </w:tcBorders>
          </w:tcPr>
          <w:p w14:paraId="42E00AC4" w14:textId="16A3C01E"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0.905</w:t>
            </w:r>
            <w:r w:rsidRPr="00274188">
              <w:rPr>
                <w:rFonts w:ascii="Times New Roman" w:hAnsi="Times New Roman"/>
                <w:sz w:val="24"/>
                <w:szCs w:val="24"/>
                <w:vertAlign w:val="superscript"/>
                <w:lang w:eastAsia="zh-CN"/>
              </w:rPr>
              <w:t>b</w:t>
            </w:r>
          </w:p>
        </w:tc>
      </w:tr>
      <w:tr w:rsidR="006B4062" w:rsidRPr="00274188" w14:paraId="260BC24F" w14:textId="77777777" w:rsidTr="006B4062">
        <w:tc>
          <w:tcPr>
            <w:tcW w:w="3119" w:type="dxa"/>
            <w:tcBorders>
              <w:top w:val="single" w:sz="4" w:space="0" w:color="auto"/>
              <w:left w:val="single" w:sz="4" w:space="0" w:color="auto"/>
              <w:bottom w:val="single" w:sz="4" w:space="0" w:color="auto"/>
              <w:right w:val="single" w:sz="4" w:space="0" w:color="auto"/>
            </w:tcBorders>
          </w:tcPr>
          <w:p w14:paraId="16EA46EF"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Anterior inferior cerebellar artery involved</w:t>
            </w:r>
          </w:p>
        </w:tc>
        <w:tc>
          <w:tcPr>
            <w:tcW w:w="3260" w:type="dxa"/>
            <w:tcBorders>
              <w:top w:val="single" w:sz="4" w:space="0" w:color="auto"/>
              <w:left w:val="single" w:sz="4" w:space="0" w:color="auto"/>
              <w:bottom w:val="single" w:sz="4" w:space="0" w:color="auto"/>
              <w:right w:val="single" w:sz="4" w:space="0" w:color="auto"/>
            </w:tcBorders>
          </w:tcPr>
          <w:p w14:paraId="34B0082E"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105 (22.1%)</w:t>
            </w:r>
          </w:p>
        </w:tc>
        <w:tc>
          <w:tcPr>
            <w:tcW w:w="4961" w:type="dxa"/>
            <w:tcBorders>
              <w:top w:val="single" w:sz="4" w:space="0" w:color="auto"/>
              <w:left w:val="single" w:sz="4" w:space="0" w:color="auto"/>
              <w:bottom w:val="single" w:sz="4" w:space="0" w:color="auto"/>
              <w:right w:val="single" w:sz="4" w:space="0" w:color="auto"/>
            </w:tcBorders>
          </w:tcPr>
          <w:p w14:paraId="60369FE1"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17 (16.3%)</w:t>
            </w:r>
          </w:p>
        </w:tc>
        <w:tc>
          <w:tcPr>
            <w:tcW w:w="1555" w:type="dxa"/>
            <w:tcBorders>
              <w:top w:val="single" w:sz="4" w:space="0" w:color="auto"/>
              <w:left w:val="single" w:sz="4" w:space="0" w:color="auto"/>
              <w:bottom w:val="single" w:sz="4" w:space="0" w:color="auto"/>
              <w:right w:val="single" w:sz="4" w:space="0" w:color="auto"/>
            </w:tcBorders>
          </w:tcPr>
          <w:p w14:paraId="2AA06C68" w14:textId="230E076E"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0.195</w:t>
            </w:r>
            <w:r w:rsidRPr="00274188">
              <w:rPr>
                <w:rFonts w:ascii="Times New Roman" w:hAnsi="Times New Roman"/>
                <w:sz w:val="24"/>
                <w:szCs w:val="24"/>
                <w:vertAlign w:val="superscript"/>
                <w:lang w:eastAsia="zh-CN"/>
              </w:rPr>
              <w:t>b</w:t>
            </w:r>
          </w:p>
        </w:tc>
      </w:tr>
      <w:tr w:rsidR="006B4062" w:rsidRPr="00274188" w14:paraId="1B164937" w14:textId="77777777" w:rsidTr="006B4062">
        <w:tc>
          <w:tcPr>
            <w:tcW w:w="3119" w:type="dxa"/>
            <w:tcBorders>
              <w:top w:val="single" w:sz="4" w:space="0" w:color="auto"/>
              <w:left w:val="single" w:sz="4" w:space="0" w:color="auto"/>
              <w:bottom w:val="single" w:sz="4" w:space="0" w:color="auto"/>
              <w:right w:val="single" w:sz="4" w:space="0" w:color="auto"/>
            </w:tcBorders>
          </w:tcPr>
          <w:p w14:paraId="2C2A22F9" w14:textId="77777777" w:rsidR="006B4062" w:rsidRPr="00274188" w:rsidRDefault="006B4062" w:rsidP="00274188">
            <w:pPr>
              <w:widowControl/>
              <w:rPr>
                <w:rFonts w:ascii="Times New Roman" w:eastAsia="Times New Roman" w:hAnsi="Times New Roman"/>
                <w:sz w:val="24"/>
                <w:szCs w:val="24"/>
              </w:rPr>
            </w:pPr>
            <w:proofErr w:type="gramStart"/>
            <w:r w:rsidRPr="00274188">
              <w:rPr>
                <w:rFonts w:ascii="Times New Roman" w:eastAsia="Times New Roman" w:hAnsi="Times New Roman"/>
                <w:sz w:val="24"/>
                <w:szCs w:val="24"/>
              </w:rPr>
              <w:t>Other</w:t>
            </w:r>
            <w:proofErr w:type="gramEnd"/>
            <w:r w:rsidRPr="00274188">
              <w:rPr>
                <w:rFonts w:ascii="Times New Roman" w:eastAsia="Times New Roman" w:hAnsi="Times New Roman"/>
                <w:sz w:val="24"/>
                <w:szCs w:val="24"/>
              </w:rPr>
              <w:t xml:space="preserve"> vessel involved</w:t>
            </w:r>
          </w:p>
        </w:tc>
        <w:tc>
          <w:tcPr>
            <w:tcW w:w="3260" w:type="dxa"/>
            <w:tcBorders>
              <w:top w:val="single" w:sz="4" w:space="0" w:color="auto"/>
              <w:left w:val="single" w:sz="4" w:space="0" w:color="auto"/>
              <w:bottom w:val="single" w:sz="4" w:space="0" w:color="auto"/>
              <w:right w:val="single" w:sz="4" w:space="0" w:color="auto"/>
            </w:tcBorders>
          </w:tcPr>
          <w:p w14:paraId="678C6EDD"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3 (0.6%)</w:t>
            </w:r>
          </w:p>
        </w:tc>
        <w:tc>
          <w:tcPr>
            <w:tcW w:w="4961" w:type="dxa"/>
            <w:tcBorders>
              <w:top w:val="single" w:sz="4" w:space="0" w:color="auto"/>
              <w:left w:val="single" w:sz="4" w:space="0" w:color="auto"/>
              <w:bottom w:val="single" w:sz="4" w:space="0" w:color="auto"/>
              <w:right w:val="single" w:sz="4" w:space="0" w:color="auto"/>
            </w:tcBorders>
          </w:tcPr>
          <w:p w14:paraId="11860E46"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9 (8.7%)</w:t>
            </w:r>
          </w:p>
        </w:tc>
        <w:tc>
          <w:tcPr>
            <w:tcW w:w="1555" w:type="dxa"/>
            <w:tcBorders>
              <w:top w:val="single" w:sz="4" w:space="0" w:color="auto"/>
              <w:left w:val="single" w:sz="4" w:space="0" w:color="auto"/>
              <w:bottom w:val="single" w:sz="4" w:space="0" w:color="auto"/>
              <w:right w:val="single" w:sz="4" w:space="0" w:color="auto"/>
            </w:tcBorders>
          </w:tcPr>
          <w:p w14:paraId="5EDE3BD1" w14:textId="68A2F586"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&lt;0.001</w:t>
            </w:r>
            <w:r w:rsidRPr="00274188">
              <w:rPr>
                <w:rFonts w:ascii="Times New Roman" w:hAnsi="Times New Roman"/>
                <w:sz w:val="24"/>
                <w:szCs w:val="24"/>
                <w:vertAlign w:val="superscript"/>
                <w:lang w:eastAsia="zh-CN"/>
              </w:rPr>
              <w:t>c</w:t>
            </w:r>
          </w:p>
        </w:tc>
      </w:tr>
      <w:tr w:rsidR="006B4062" w:rsidRPr="00274188" w14:paraId="6D0D30B9" w14:textId="77777777" w:rsidTr="006B4062">
        <w:tc>
          <w:tcPr>
            <w:tcW w:w="3119" w:type="dxa"/>
            <w:tcBorders>
              <w:top w:val="single" w:sz="4" w:space="0" w:color="auto"/>
              <w:left w:val="single" w:sz="4" w:space="0" w:color="auto"/>
              <w:bottom w:val="single" w:sz="4" w:space="0" w:color="auto"/>
              <w:right w:val="single" w:sz="4" w:space="0" w:color="auto"/>
            </w:tcBorders>
          </w:tcPr>
          <w:p w14:paraId="5F2353CC"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1-year postoperative spasm</w:t>
            </w:r>
          </w:p>
        </w:tc>
        <w:tc>
          <w:tcPr>
            <w:tcW w:w="3260" w:type="dxa"/>
            <w:tcBorders>
              <w:top w:val="single" w:sz="4" w:space="0" w:color="auto"/>
              <w:left w:val="single" w:sz="4" w:space="0" w:color="auto"/>
              <w:bottom w:val="single" w:sz="4" w:space="0" w:color="auto"/>
              <w:right w:val="single" w:sz="4" w:space="0" w:color="auto"/>
            </w:tcBorders>
          </w:tcPr>
          <w:p w14:paraId="6952944B"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58 (12.2%)</w:t>
            </w:r>
          </w:p>
        </w:tc>
        <w:tc>
          <w:tcPr>
            <w:tcW w:w="4961" w:type="dxa"/>
            <w:tcBorders>
              <w:top w:val="single" w:sz="4" w:space="0" w:color="auto"/>
              <w:left w:val="single" w:sz="4" w:space="0" w:color="auto"/>
              <w:bottom w:val="single" w:sz="4" w:space="0" w:color="auto"/>
              <w:right w:val="single" w:sz="4" w:space="0" w:color="auto"/>
            </w:tcBorders>
          </w:tcPr>
          <w:p w14:paraId="201003A0" w14:textId="77777777" w:rsidR="006B4062" w:rsidRPr="00274188" w:rsidRDefault="006B4062" w:rsidP="00274188">
            <w:pPr>
              <w:widowControl/>
              <w:rPr>
                <w:rFonts w:ascii="Times New Roman" w:eastAsia="Times New Roman" w:hAnsi="Times New Roman"/>
                <w:sz w:val="24"/>
                <w:szCs w:val="24"/>
              </w:rPr>
            </w:pPr>
            <w:r w:rsidRPr="00274188">
              <w:rPr>
                <w:rFonts w:ascii="Times New Roman" w:eastAsia="Times New Roman" w:hAnsi="Times New Roman"/>
                <w:sz w:val="24"/>
                <w:szCs w:val="24"/>
              </w:rPr>
              <w:t>9 (8.7%)</w:t>
            </w:r>
          </w:p>
        </w:tc>
        <w:tc>
          <w:tcPr>
            <w:tcW w:w="1555" w:type="dxa"/>
            <w:tcBorders>
              <w:top w:val="single" w:sz="4" w:space="0" w:color="auto"/>
              <w:left w:val="single" w:sz="4" w:space="0" w:color="auto"/>
              <w:bottom w:val="single" w:sz="4" w:space="0" w:color="auto"/>
              <w:right w:val="single" w:sz="4" w:space="0" w:color="auto"/>
            </w:tcBorders>
          </w:tcPr>
          <w:p w14:paraId="2167C6B3" w14:textId="6C3FDA34" w:rsidR="006B4062" w:rsidRPr="00274188" w:rsidRDefault="006B4062" w:rsidP="00274188">
            <w:pPr>
              <w:widowControl/>
              <w:rPr>
                <w:rFonts w:ascii="Times New Roman" w:hAnsi="Times New Roman"/>
                <w:sz w:val="24"/>
                <w:szCs w:val="24"/>
                <w:lang w:eastAsia="zh-CN"/>
              </w:rPr>
            </w:pPr>
            <w:r w:rsidRPr="00274188">
              <w:rPr>
                <w:rFonts w:ascii="Times New Roman" w:eastAsia="Times New Roman" w:hAnsi="Times New Roman"/>
                <w:sz w:val="24"/>
                <w:szCs w:val="24"/>
              </w:rPr>
              <w:t>0.307</w:t>
            </w:r>
            <w:r w:rsidRPr="00274188">
              <w:rPr>
                <w:rFonts w:ascii="Times New Roman" w:hAnsi="Times New Roman"/>
                <w:sz w:val="24"/>
                <w:szCs w:val="24"/>
                <w:vertAlign w:val="superscript"/>
                <w:lang w:eastAsia="zh-CN"/>
              </w:rPr>
              <w:t>b</w:t>
            </w:r>
          </w:p>
        </w:tc>
      </w:tr>
    </w:tbl>
    <w:p w14:paraId="2E132849" w14:textId="66CAA13F" w:rsidR="004608B9" w:rsidRPr="00274188" w:rsidRDefault="004608B9" w:rsidP="00274188">
      <w:pPr>
        <w:widowControl/>
        <w:spacing w:after="120" w:line="24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kern w:val="0"/>
          <w:sz w:val="24"/>
          <w:lang w:eastAsia="en-US"/>
          <w14:ligatures w14:val="none"/>
        </w:rPr>
        <w:t>Note.</w:t>
      </w:r>
      <w:r w:rsidRPr="00274188">
        <w:rPr>
          <w:rFonts w:ascii="Times New Roman" w:eastAsia="Times New Roman" w:hAnsi="Times New Roman" w:cs="Times New Roman"/>
          <w:kern w:val="0"/>
          <w:sz w:val="24"/>
          <w:lang w:eastAsia="en-US"/>
          <w14:ligatures w14:val="none"/>
        </w:rPr>
        <w:t xml:space="preserve"> Values are mean (SD), median [IQR], or n (%).</w:t>
      </w:r>
      <w:r w:rsidR="006B4062" w:rsidRPr="00274188">
        <w:rPr>
          <w:rFonts w:ascii="Times New Roman" w:hAnsi="Times New Roman" w:cs="Times New Roman"/>
          <w:kern w:val="0"/>
          <w:sz w:val="24"/>
          <w14:ligatures w14:val="none"/>
        </w:rPr>
        <w:t xml:space="preserve"> </w:t>
      </w:r>
      <w:r w:rsidRPr="00274188">
        <w:rPr>
          <w:rFonts w:ascii="Times New Roman" w:eastAsia="Times New Roman" w:hAnsi="Times New Roman" w:cs="Times New Roman"/>
          <w:kern w:val="0"/>
          <w:sz w:val="24"/>
          <w:lang w:eastAsia="en-US"/>
          <w14:ligatures w14:val="none"/>
        </w:rPr>
        <w:t>KPS, Karnofsky Performance Status; LSR, lateral spread response; SD, standard deviation; IQR, interquartile range.</w:t>
      </w:r>
    </w:p>
    <w:p w14:paraId="6983610D" w14:textId="5D672AF1" w:rsidR="004608B9" w:rsidRPr="00274188" w:rsidRDefault="004608B9" w:rsidP="00274188">
      <w:pPr>
        <w:widowControl/>
        <w:spacing w:after="0" w:line="360" w:lineRule="auto"/>
        <w:jc w:val="both"/>
        <w:rPr>
          <w:rFonts w:ascii="Times New Roman" w:eastAsia="宋体" w:hAnsi="Times New Roman" w:cs="Times New Roman"/>
          <w:sz w:val="24"/>
        </w:rPr>
      </w:pPr>
      <w:proofErr w:type="spellStart"/>
      <w:r w:rsidRPr="00274188">
        <w:rPr>
          <w:rFonts w:ascii="Times New Roman" w:eastAsia="宋体" w:hAnsi="Times New Roman" w:cs="Times New Roman"/>
          <w:sz w:val="24"/>
          <w:vertAlign w:val="superscript"/>
        </w:rPr>
        <w:t>a</w:t>
      </w:r>
      <w:r w:rsidRPr="00274188">
        <w:rPr>
          <w:rFonts w:ascii="Times New Roman" w:eastAsia="宋体" w:hAnsi="Times New Roman" w:cs="Times New Roman"/>
          <w:sz w:val="24"/>
        </w:rPr>
        <w:t>Results</w:t>
      </w:r>
      <w:proofErr w:type="spellEnd"/>
      <w:r w:rsidRPr="00274188">
        <w:rPr>
          <w:rFonts w:ascii="Times New Roman" w:eastAsia="宋体" w:hAnsi="Times New Roman" w:cs="Times New Roman"/>
          <w:sz w:val="24"/>
        </w:rPr>
        <w:t xml:space="preserve"> of Mann-Whitney U test; </w:t>
      </w:r>
      <w:proofErr w:type="spellStart"/>
      <w:r w:rsidRPr="00274188">
        <w:rPr>
          <w:rFonts w:ascii="Times New Roman" w:eastAsia="宋体" w:hAnsi="Times New Roman" w:cs="Times New Roman"/>
          <w:sz w:val="24"/>
          <w:vertAlign w:val="superscript"/>
        </w:rPr>
        <w:t>b</w:t>
      </w:r>
      <w:r w:rsidRPr="00274188">
        <w:rPr>
          <w:rFonts w:ascii="Times New Roman" w:eastAsia="宋体" w:hAnsi="Times New Roman" w:cs="Times New Roman"/>
          <w:sz w:val="24"/>
        </w:rPr>
        <w:t>Results</w:t>
      </w:r>
      <w:proofErr w:type="spellEnd"/>
      <w:r w:rsidRPr="00274188">
        <w:rPr>
          <w:rFonts w:ascii="Times New Roman" w:eastAsia="宋体" w:hAnsi="Times New Roman" w:cs="Times New Roman"/>
          <w:sz w:val="24"/>
        </w:rPr>
        <w:t xml:space="preserve"> of the</w:t>
      </w:r>
      <w:r w:rsidR="001336F4" w:rsidRPr="00274188">
        <w:rPr>
          <w:rFonts w:ascii="Times New Roman" w:hAnsi="Times New Roman" w:cs="Times New Roman"/>
          <w:sz w:val="24"/>
        </w:rPr>
        <w:t xml:space="preserve"> </w:t>
      </w:r>
      <w:r w:rsidR="001336F4" w:rsidRPr="00274188">
        <w:rPr>
          <w:rFonts w:ascii="Times New Roman" w:eastAsia="宋体" w:hAnsi="Times New Roman" w:cs="Times New Roman"/>
          <w:sz w:val="24"/>
        </w:rPr>
        <w:t xml:space="preserve">Pearson chi-square test; </w:t>
      </w:r>
      <w:proofErr w:type="spellStart"/>
      <w:r w:rsidR="001336F4" w:rsidRPr="00274188">
        <w:rPr>
          <w:rFonts w:ascii="Times New Roman" w:eastAsia="宋体" w:hAnsi="Times New Roman" w:cs="Times New Roman"/>
          <w:sz w:val="24"/>
          <w:vertAlign w:val="superscript"/>
        </w:rPr>
        <w:t>c</w:t>
      </w:r>
      <w:r w:rsidR="001336F4" w:rsidRPr="00274188">
        <w:rPr>
          <w:rFonts w:ascii="Times New Roman" w:eastAsia="宋体" w:hAnsi="Times New Roman" w:cs="Times New Roman"/>
          <w:sz w:val="24"/>
        </w:rPr>
        <w:t>Results</w:t>
      </w:r>
      <w:proofErr w:type="spellEnd"/>
      <w:r w:rsidR="001336F4" w:rsidRPr="00274188">
        <w:rPr>
          <w:rFonts w:ascii="Times New Roman" w:eastAsia="宋体" w:hAnsi="Times New Roman" w:cs="Times New Roman"/>
          <w:sz w:val="24"/>
        </w:rPr>
        <w:t xml:space="preserve"> of the</w:t>
      </w:r>
      <w:r w:rsidR="001336F4" w:rsidRPr="00274188">
        <w:rPr>
          <w:rFonts w:ascii="Times New Roman" w:hAnsi="Times New Roman" w:cs="Times New Roman"/>
          <w:sz w:val="24"/>
        </w:rPr>
        <w:t xml:space="preserve"> </w:t>
      </w:r>
      <w:r w:rsidR="001336F4" w:rsidRPr="00274188">
        <w:rPr>
          <w:rFonts w:ascii="Times New Roman" w:eastAsia="宋体" w:hAnsi="Times New Roman" w:cs="Times New Roman"/>
          <w:sz w:val="24"/>
        </w:rPr>
        <w:t>Fisher exact test</w:t>
      </w:r>
    </w:p>
    <w:p w14:paraId="233E182C" w14:textId="77777777" w:rsidR="004608B9" w:rsidRPr="00274188" w:rsidRDefault="004608B9" w:rsidP="00274188">
      <w:pPr>
        <w:widowControl/>
        <w:spacing w:after="120" w:line="240" w:lineRule="auto"/>
        <w:jc w:val="both"/>
        <w:rPr>
          <w:rFonts w:ascii="Times New Roman" w:hAnsi="Times New Roman" w:cs="Times New Roman"/>
          <w:kern w:val="0"/>
          <w:sz w:val="24"/>
          <w14:ligatures w14:val="none"/>
        </w:rPr>
      </w:pPr>
    </w:p>
    <w:p w14:paraId="46C4B29C" w14:textId="5A97B782" w:rsidR="004608B9" w:rsidRPr="00274188" w:rsidRDefault="004608B9" w:rsidP="00274188">
      <w:pPr>
        <w:widowControl/>
        <w:spacing w:after="0" w:line="480" w:lineRule="auto"/>
        <w:jc w:val="both"/>
        <w:rPr>
          <w:rFonts w:ascii="Times New Roman" w:eastAsia="Times New Roman" w:hAnsi="Times New Roman" w:cs="Times New Roman"/>
          <w:kern w:val="0"/>
          <w:sz w:val="24"/>
          <w:lang w:eastAsia="en-US"/>
          <w14:ligatures w14:val="none"/>
        </w:rPr>
      </w:pPr>
      <w:r w:rsidRPr="00274188">
        <w:rPr>
          <w:rFonts w:ascii="Times New Roman" w:eastAsia="MS Gothic" w:hAnsi="Times New Roman" w:cs="Times New Roman"/>
          <w:b/>
          <w:bCs/>
          <w:color w:val="4F81BD"/>
          <w:kern w:val="0"/>
          <w:sz w:val="24"/>
          <w:lang w:eastAsia="en-US"/>
          <w14:ligatures w14:val="none"/>
        </w:rPr>
        <w:t xml:space="preserve">Table </w:t>
      </w:r>
      <w:r w:rsidR="0039649D" w:rsidRPr="00274188">
        <w:rPr>
          <w:rFonts w:ascii="Times New Roman" w:hAnsi="Times New Roman" w:cs="Times New Roman"/>
          <w:b/>
          <w:bCs/>
          <w:color w:val="4F81BD"/>
          <w:kern w:val="0"/>
          <w:sz w:val="24"/>
          <w14:ligatures w14:val="none"/>
        </w:rPr>
        <w:t>2</w:t>
      </w:r>
      <w:r w:rsidRPr="00274188">
        <w:rPr>
          <w:rFonts w:ascii="Times New Roman" w:eastAsia="MS Gothic" w:hAnsi="Times New Roman" w:cs="Times New Roman"/>
          <w:b/>
          <w:bCs/>
          <w:color w:val="4F81BD"/>
          <w:kern w:val="0"/>
          <w:sz w:val="24"/>
          <w:lang w:eastAsia="en-US"/>
          <w14:ligatures w14:val="none"/>
        </w:rPr>
        <w:t>. Performance of the frozen Gradient Boosting model in Group 2</w:t>
      </w:r>
    </w:p>
    <w:tbl>
      <w:tblPr>
        <w:tblStyle w:val="af2"/>
        <w:tblW w:w="0" w:type="auto"/>
        <w:tblLook w:val="04A0" w:firstRow="1" w:lastRow="0" w:firstColumn="1" w:lastColumn="0" w:noHBand="0" w:noVBand="1"/>
      </w:tblPr>
      <w:tblGrid>
        <w:gridCol w:w="2805"/>
        <w:gridCol w:w="2719"/>
        <w:gridCol w:w="2772"/>
      </w:tblGrid>
      <w:tr w:rsidR="004608B9" w:rsidRPr="00274188" w14:paraId="06642EF9" w14:textId="77777777" w:rsidTr="00AC7450">
        <w:trPr>
          <w:tblHeader/>
        </w:trPr>
        <w:tc>
          <w:tcPr>
            <w:tcW w:w="4320" w:type="dxa"/>
            <w:shd w:val="clear" w:color="auto" w:fill="D9EAF7"/>
          </w:tcPr>
          <w:p w14:paraId="0304D7DA"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b/>
                <w:sz w:val="24"/>
                <w:szCs w:val="24"/>
              </w:rPr>
              <w:t>Metric</w:t>
            </w:r>
          </w:p>
        </w:tc>
        <w:tc>
          <w:tcPr>
            <w:tcW w:w="4320" w:type="dxa"/>
            <w:shd w:val="clear" w:color="auto" w:fill="D9EAF7"/>
          </w:tcPr>
          <w:p w14:paraId="6BD97D1E"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b/>
                <w:sz w:val="24"/>
                <w:szCs w:val="24"/>
              </w:rPr>
              <w:t>Estimate</w:t>
            </w:r>
          </w:p>
        </w:tc>
        <w:tc>
          <w:tcPr>
            <w:tcW w:w="4320" w:type="dxa"/>
            <w:shd w:val="clear" w:color="auto" w:fill="D9EAF7"/>
          </w:tcPr>
          <w:p w14:paraId="11A1C736"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b/>
                <w:sz w:val="24"/>
                <w:szCs w:val="24"/>
              </w:rPr>
              <w:t>Bootstrap 95% CI</w:t>
            </w:r>
          </w:p>
        </w:tc>
      </w:tr>
      <w:tr w:rsidR="004608B9" w:rsidRPr="00274188" w14:paraId="44854ECC" w14:textId="77777777" w:rsidTr="00AC7450">
        <w:tc>
          <w:tcPr>
            <w:tcW w:w="4320" w:type="dxa"/>
          </w:tcPr>
          <w:p w14:paraId="4C6ABD74"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AUROC</w:t>
            </w:r>
          </w:p>
        </w:tc>
        <w:tc>
          <w:tcPr>
            <w:tcW w:w="4320" w:type="dxa"/>
          </w:tcPr>
          <w:p w14:paraId="35F2F16B"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0.899</w:t>
            </w:r>
          </w:p>
        </w:tc>
        <w:tc>
          <w:tcPr>
            <w:tcW w:w="4320" w:type="dxa"/>
          </w:tcPr>
          <w:p w14:paraId="44246D63"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0.829-0.957</w:t>
            </w:r>
          </w:p>
        </w:tc>
      </w:tr>
      <w:tr w:rsidR="004608B9" w:rsidRPr="00274188" w14:paraId="1472EE66" w14:textId="77777777" w:rsidTr="00AC7450">
        <w:tc>
          <w:tcPr>
            <w:tcW w:w="4320" w:type="dxa"/>
          </w:tcPr>
          <w:p w14:paraId="492CCE29"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AUPRC</w:t>
            </w:r>
          </w:p>
        </w:tc>
        <w:tc>
          <w:tcPr>
            <w:tcW w:w="4320" w:type="dxa"/>
          </w:tcPr>
          <w:p w14:paraId="56EDE3DE"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0.361</w:t>
            </w:r>
          </w:p>
        </w:tc>
        <w:tc>
          <w:tcPr>
            <w:tcW w:w="4320" w:type="dxa"/>
          </w:tcPr>
          <w:p w14:paraId="7F4BA7D7"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0.189-0.700</w:t>
            </w:r>
          </w:p>
        </w:tc>
      </w:tr>
      <w:tr w:rsidR="004608B9" w:rsidRPr="00274188" w14:paraId="5D3D7E02" w14:textId="77777777" w:rsidTr="00AC7450">
        <w:tc>
          <w:tcPr>
            <w:tcW w:w="4320" w:type="dxa"/>
          </w:tcPr>
          <w:p w14:paraId="18308C4F"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Brier score</w:t>
            </w:r>
          </w:p>
        </w:tc>
        <w:tc>
          <w:tcPr>
            <w:tcW w:w="4320" w:type="dxa"/>
          </w:tcPr>
          <w:p w14:paraId="19837098"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0.080</w:t>
            </w:r>
          </w:p>
        </w:tc>
        <w:tc>
          <w:tcPr>
            <w:tcW w:w="4320" w:type="dxa"/>
          </w:tcPr>
          <w:p w14:paraId="62832C0B"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0.043-0.121</w:t>
            </w:r>
          </w:p>
        </w:tc>
      </w:tr>
      <w:tr w:rsidR="004608B9" w:rsidRPr="00274188" w14:paraId="3251E81D" w14:textId="77777777" w:rsidTr="00AC7450">
        <w:tc>
          <w:tcPr>
            <w:tcW w:w="4320" w:type="dxa"/>
          </w:tcPr>
          <w:p w14:paraId="1B17EEAB"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lastRenderedPageBreak/>
              <w:t>Log-loss</w:t>
            </w:r>
          </w:p>
        </w:tc>
        <w:tc>
          <w:tcPr>
            <w:tcW w:w="4320" w:type="dxa"/>
          </w:tcPr>
          <w:p w14:paraId="002BC4BB"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0.247</w:t>
            </w:r>
          </w:p>
        </w:tc>
        <w:tc>
          <w:tcPr>
            <w:tcW w:w="4320" w:type="dxa"/>
          </w:tcPr>
          <w:p w14:paraId="2A26ECA9"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0.147-0.360</w:t>
            </w:r>
          </w:p>
        </w:tc>
      </w:tr>
      <w:tr w:rsidR="004608B9" w:rsidRPr="00274188" w14:paraId="255A6515" w14:textId="77777777" w:rsidTr="00AC7450">
        <w:tc>
          <w:tcPr>
            <w:tcW w:w="4320" w:type="dxa"/>
          </w:tcPr>
          <w:p w14:paraId="0B4264CC"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Calibration intercept</w:t>
            </w:r>
          </w:p>
        </w:tc>
        <w:tc>
          <w:tcPr>
            <w:tcW w:w="4320" w:type="dxa"/>
          </w:tcPr>
          <w:p w14:paraId="0D21ABCC"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-0.987</w:t>
            </w:r>
          </w:p>
        </w:tc>
        <w:tc>
          <w:tcPr>
            <w:tcW w:w="4320" w:type="dxa"/>
          </w:tcPr>
          <w:p w14:paraId="5FC861BC"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-2.156-0.237</w:t>
            </w:r>
          </w:p>
        </w:tc>
      </w:tr>
      <w:tr w:rsidR="004608B9" w:rsidRPr="00274188" w14:paraId="68854D6D" w14:textId="77777777" w:rsidTr="00AC7450">
        <w:tc>
          <w:tcPr>
            <w:tcW w:w="4320" w:type="dxa"/>
          </w:tcPr>
          <w:p w14:paraId="17E48CCE"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Calibration slope</w:t>
            </w:r>
          </w:p>
        </w:tc>
        <w:tc>
          <w:tcPr>
            <w:tcW w:w="4320" w:type="dxa"/>
          </w:tcPr>
          <w:p w14:paraId="35FA7AD3"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0.698</w:t>
            </w:r>
          </w:p>
        </w:tc>
        <w:tc>
          <w:tcPr>
            <w:tcW w:w="4320" w:type="dxa"/>
          </w:tcPr>
          <w:p w14:paraId="6546CF23" w14:textId="77777777" w:rsidR="004608B9" w:rsidRPr="00274188" w:rsidRDefault="004608B9" w:rsidP="00274188">
            <w:pPr>
              <w:widowControl/>
              <w:jc w:val="both"/>
              <w:rPr>
                <w:rFonts w:ascii="Times New Roman" w:eastAsia="Times New Roman" w:hAnsi="Times New Roman"/>
                <w:sz w:val="24"/>
                <w:szCs w:val="24"/>
              </w:rPr>
            </w:pPr>
            <w:r w:rsidRPr="00274188">
              <w:rPr>
                <w:rFonts w:ascii="Times New Roman" w:eastAsia="Times New Roman" w:hAnsi="Times New Roman"/>
                <w:sz w:val="24"/>
                <w:szCs w:val="24"/>
              </w:rPr>
              <w:t>0.424-1.207</w:t>
            </w:r>
          </w:p>
        </w:tc>
      </w:tr>
    </w:tbl>
    <w:p w14:paraId="5CF83506" w14:textId="77777777" w:rsidR="004608B9" w:rsidRPr="00274188" w:rsidRDefault="004608B9" w:rsidP="00274188">
      <w:pPr>
        <w:widowControl/>
        <w:spacing w:after="120" w:line="240" w:lineRule="auto"/>
        <w:jc w:val="both"/>
        <w:rPr>
          <w:rFonts w:ascii="Times New Roman" w:eastAsia="宋体" w:hAnsi="Times New Roman" w:cs="Times New Roman"/>
          <w:kern w:val="0"/>
          <w:sz w:val="24"/>
          <w14:ligatures w14:val="none"/>
        </w:rPr>
        <w:sectPr w:rsidR="004608B9" w:rsidRPr="00274188" w:rsidSect="00274188">
          <w:type w:val="continuous"/>
          <w:pgSz w:w="11906" w:h="16838" w:code="9"/>
          <w:pgMar w:top="1440" w:right="1800" w:bottom="1440" w:left="1800" w:header="720" w:footer="720" w:gutter="0"/>
          <w:cols w:space="720"/>
          <w:docGrid w:linePitch="360"/>
        </w:sectPr>
      </w:pPr>
      <w:r w:rsidRPr="00274188">
        <w:rPr>
          <w:rFonts w:ascii="Times New Roman" w:eastAsia="Times New Roman" w:hAnsi="Times New Roman" w:cs="Times New Roman"/>
          <w:b/>
          <w:kern w:val="0"/>
          <w:sz w:val="24"/>
          <w:lang w:eastAsia="en-US"/>
          <w14:ligatures w14:val="none"/>
        </w:rPr>
        <w:t>Note.</w:t>
      </w:r>
      <w:r w:rsidRPr="00274188">
        <w:rPr>
          <w:rFonts w:ascii="Times New Roman" w:eastAsia="Times New Roman" w:hAnsi="Times New Roman" w:cs="Times New Roman"/>
          <w:kern w:val="0"/>
          <w:sz w:val="24"/>
          <w:lang w:eastAsia="en-US"/>
          <w14:ligatures w14:val="none"/>
        </w:rPr>
        <w:t xml:space="preserve"> Group 2 was the locked internal temporal validation cohort (n=104; 9 events). The 12-predictor model and its preprocessing pipeline were frozen before Group 2 evaluation; no Group 2 tuning, feature selection, or recalibration was performed. Confidence intervals are percentile intervals from 2,000 patient-level bootstrap resamples of Group 2 and are wide because only nine events occurred. Calibration intercept and slope were estimated together by fitting a logistic recalibration model to the frozen predicted log odds. AUROC, area under the receiver operating characteristic curve; AUPRC, area under the precision-recall curve; CI, confidence interval.</w:t>
      </w:r>
    </w:p>
    <w:p w14:paraId="447CA4C5" w14:textId="77777777" w:rsidR="004608B9" w:rsidRPr="00274188" w:rsidRDefault="004608B9" w:rsidP="00274188">
      <w:pPr>
        <w:spacing w:after="120" w:line="360" w:lineRule="auto"/>
        <w:jc w:val="both"/>
        <w:rPr>
          <w:rFonts w:ascii="Times New Roman" w:hAnsi="Times New Roman" w:cs="Times New Roman"/>
          <w:b/>
          <w:bCs/>
          <w:kern w:val="0"/>
          <w:sz w:val="24"/>
          <w14:ligatures w14:val="none"/>
        </w:rPr>
      </w:pPr>
    </w:p>
    <w:p w14:paraId="7CC9E6E4" w14:textId="77777777" w:rsidR="004608B9" w:rsidRPr="00274188" w:rsidRDefault="004608B9" w:rsidP="00274188">
      <w:pPr>
        <w:spacing w:after="120" w:line="360" w:lineRule="auto"/>
        <w:jc w:val="both"/>
        <w:rPr>
          <w:rFonts w:ascii="Times New Roman" w:hAnsi="Times New Roman" w:cs="Times New Roman"/>
          <w:b/>
          <w:bCs/>
          <w:kern w:val="0"/>
          <w:sz w:val="24"/>
          <w14:ligatures w14:val="none"/>
        </w:rPr>
      </w:pPr>
    </w:p>
    <w:p w14:paraId="68ABA40C"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Table 1. </w:t>
      </w:r>
      <w:r w:rsidRPr="00274188">
        <w:rPr>
          <w:rFonts w:ascii="Times New Roman" w:eastAsia="Times New Roman" w:hAnsi="Times New Roman" w:cs="Times New Roman"/>
          <w:kern w:val="0"/>
          <w:sz w:val="24"/>
          <w14:ligatures w14:val="none"/>
        </w:rPr>
        <w:t>Cohort characteristics by temporal group.</w:t>
      </w:r>
    </w:p>
    <w:p w14:paraId="1BC15DDE"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i/>
          <w:iCs/>
          <w:kern w:val="0"/>
          <w:sz w:val="24"/>
          <w14:ligatures w14:val="none"/>
        </w:rPr>
        <w:t xml:space="preserve">Note. </w:t>
      </w:r>
      <w:r w:rsidRPr="00274188">
        <w:rPr>
          <w:rFonts w:ascii="Times New Roman" w:eastAsia="Times New Roman" w:hAnsi="Times New Roman" w:cs="Times New Roman"/>
          <w:kern w:val="0"/>
          <w:sz w:val="24"/>
          <w14:ligatures w14:val="none"/>
        </w:rPr>
        <w:t>Values are mean (SD), median [IQR], or n (%). All continuous variables were compared using the two-sided Mann-Whitney U test. Binary or multinomial categorical variables were compared using the Pearson chi-square test; Fisher exact test was used when any expected cell count was below 5. The branch-specific LSR P value is one omnibus 3 × 2 comparison across all three response categories. P values are descriptive and were not adjusted for multiple comparisons. KPS, Karnofsky Performance Status; LSR, lateral spread response.</w:t>
      </w:r>
    </w:p>
    <w:p w14:paraId="5459571D" w14:textId="4D7AB55D"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b/>
          <w:bCs/>
          <w:kern w:val="0"/>
          <w:sz w:val="24"/>
          <w14:ligatures w14:val="none"/>
        </w:rPr>
        <w:t xml:space="preserve">Table </w:t>
      </w:r>
      <w:r w:rsidR="00310971">
        <w:rPr>
          <w:rFonts w:ascii="Times New Roman" w:hAnsi="Times New Roman" w:cs="Times New Roman" w:hint="eastAsia"/>
          <w:b/>
          <w:bCs/>
          <w:kern w:val="0"/>
          <w:sz w:val="24"/>
          <w14:ligatures w14:val="none"/>
        </w:rPr>
        <w:t>2</w:t>
      </w:r>
      <w:r w:rsidRPr="00274188">
        <w:rPr>
          <w:rFonts w:ascii="Times New Roman" w:eastAsia="Times New Roman" w:hAnsi="Times New Roman" w:cs="Times New Roman"/>
          <w:b/>
          <w:bCs/>
          <w:kern w:val="0"/>
          <w:sz w:val="24"/>
          <w14:ligatures w14:val="none"/>
        </w:rPr>
        <w:t xml:space="preserve">. </w:t>
      </w:r>
      <w:r w:rsidRPr="00274188">
        <w:rPr>
          <w:rFonts w:ascii="Times New Roman" w:eastAsia="Times New Roman" w:hAnsi="Times New Roman" w:cs="Times New Roman"/>
          <w:kern w:val="0"/>
          <w:sz w:val="24"/>
          <w14:ligatures w14:val="none"/>
        </w:rPr>
        <w:t>Performance of the frozen Gradient Boosting model in Group 2.</w:t>
      </w:r>
    </w:p>
    <w:p w14:paraId="026FCAFB" w14:textId="77777777" w:rsidR="004608B9" w:rsidRPr="00274188" w:rsidRDefault="004608B9" w:rsidP="00274188">
      <w:pPr>
        <w:spacing w:after="120" w:line="360" w:lineRule="auto"/>
        <w:jc w:val="both"/>
        <w:rPr>
          <w:rFonts w:ascii="Times New Roman" w:hAnsi="Times New Roman" w:cs="Times New Roman"/>
          <w:kern w:val="0"/>
          <w:sz w:val="24"/>
          <w14:ligatures w14:val="none"/>
        </w:rPr>
      </w:pPr>
      <w:r w:rsidRPr="00274188">
        <w:rPr>
          <w:rFonts w:ascii="Times New Roman" w:eastAsia="Times New Roman" w:hAnsi="Times New Roman" w:cs="Times New Roman"/>
          <w:i/>
          <w:iCs/>
          <w:kern w:val="0"/>
          <w:sz w:val="24"/>
          <w14:ligatures w14:val="none"/>
        </w:rPr>
        <w:t xml:space="preserve">Note. </w:t>
      </w:r>
      <w:r w:rsidRPr="00274188">
        <w:rPr>
          <w:rFonts w:ascii="Times New Roman" w:eastAsia="Times New Roman" w:hAnsi="Times New Roman" w:cs="Times New Roman"/>
          <w:kern w:val="0"/>
          <w:sz w:val="24"/>
          <w14:ligatures w14:val="none"/>
        </w:rPr>
        <w:t>Group 2 was the locked internal temporal validation cohort (n = 104; 9 events). The 12-predictor model and its preprocessing pipeline were frozen before Group 2 evaluation; no Group 2 tuning, feature selection, or recalibration was performed. Confidence intervals are percentile intervals from 2,000 patient-level bootstrap resamples and are wide because only nine events occurred. AUROC, area under the receiver operating characteristic curve; AUPRC, area under the precision-recall curve; CI, confidence interval.</w:t>
      </w:r>
    </w:p>
    <w:p w14:paraId="153998CB" w14:textId="77777777" w:rsidR="00501321" w:rsidRDefault="00501321" w:rsidP="00274188">
      <w:pPr>
        <w:jc w:val="both"/>
        <w:rPr>
          <w:rFonts w:ascii="Times New Roman" w:hAnsi="Times New Roman" w:cs="Times New Roman"/>
          <w:sz w:val="24"/>
        </w:rPr>
      </w:pPr>
    </w:p>
    <w:p w14:paraId="61B60014" w14:textId="77777777" w:rsidR="003C1021" w:rsidRDefault="003C1021" w:rsidP="00274188">
      <w:pPr>
        <w:jc w:val="both"/>
        <w:rPr>
          <w:rFonts w:ascii="Times New Roman" w:hAnsi="Times New Roman" w:cs="Times New Roman"/>
          <w:sz w:val="24"/>
        </w:rPr>
      </w:pPr>
    </w:p>
    <w:p w14:paraId="651BD6DC" w14:textId="77777777" w:rsidR="003C1021" w:rsidRDefault="003C1021" w:rsidP="00274188">
      <w:pPr>
        <w:jc w:val="both"/>
        <w:rPr>
          <w:rFonts w:ascii="Times New Roman" w:hAnsi="Times New Roman" w:cs="Times New Roman"/>
          <w:sz w:val="24"/>
        </w:rPr>
      </w:pPr>
    </w:p>
    <w:p w14:paraId="765CE7CD" w14:textId="77777777" w:rsidR="00501321" w:rsidRDefault="00501321" w:rsidP="00274188">
      <w:pPr>
        <w:jc w:val="both"/>
        <w:rPr>
          <w:rFonts w:ascii="Times New Roman" w:hAnsi="Times New Roman" w:cs="Times New Roman"/>
          <w:sz w:val="24"/>
        </w:rPr>
      </w:pPr>
    </w:p>
    <w:p w14:paraId="53150B24" w14:textId="77777777" w:rsidR="00240565" w:rsidRPr="00240565" w:rsidRDefault="00501321" w:rsidP="00240565">
      <w:pPr>
        <w:pStyle w:val="EndNoteBibliography"/>
        <w:spacing w:after="0"/>
        <w:rPr>
          <w:rFonts w:hint="eastAsia"/>
        </w:rPr>
      </w:pPr>
      <w:r>
        <w:rPr>
          <w:rFonts w:ascii="Times New Roman" w:hAnsi="Times New Roman" w:cs="Times New Roman"/>
          <w:sz w:val="24"/>
        </w:rPr>
        <w:fldChar w:fldCharType="begin"/>
      </w:r>
      <w:r>
        <w:rPr>
          <w:rFonts w:ascii="Times New Roman" w:hAnsi="Times New Roman" w:cs="Times New Roman"/>
          <w:sz w:val="24"/>
        </w:rPr>
        <w:instrText xml:space="preserve"> ADDIN EN.REFLIST </w:instrText>
      </w:r>
      <w:r>
        <w:rPr>
          <w:rFonts w:ascii="Times New Roman" w:hAnsi="Times New Roman" w:cs="Times New Roman"/>
          <w:sz w:val="24"/>
        </w:rPr>
        <w:fldChar w:fldCharType="separate"/>
      </w:r>
      <w:r w:rsidR="00240565" w:rsidRPr="00240565">
        <w:t>1.</w:t>
      </w:r>
      <w:r w:rsidR="00240565" w:rsidRPr="00240565">
        <w:tab/>
        <w:t xml:space="preserve">Xiang G; Sui M; Jiang N; Luo R; Xia J; Wei X, et al. The progress in epidemiological, </w:t>
      </w:r>
      <w:r w:rsidR="00240565" w:rsidRPr="00240565">
        <w:lastRenderedPageBreak/>
        <w:t>diagnosis and treatment of primary hemifacial spasm. Heliyon. 2024;10(19):e38600.</w:t>
      </w:r>
    </w:p>
    <w:p w14:paraId="232C10F0" w14:textId="77777777" w:rsidR="00240565" w:rsidRPr="00240565" w:rsidRDefault="00240565" w:rsidP="00240565">
      <w:pPr>
        <w:pStyle w:val="EndNoteBibliography"/>
        <w:spacing w:after="0"/>
        <w:rPr>
          <w:rFonts w:hint="eastAsia"/>
        </w:rPr>
      </w:pPr>
      <w:r w:rsidRPr="00240565">
        <w:t>2.</w:t>
      </w:r>
      <w:r w:rsidRPr="00240565">
        <w:tab/>
        <w:t>Jesuthasan A; Natalwala A; Davagnanam I; Saifee T; Zrinzo L. Hemifacial spasm: an update on pathophysiology, investigations and management. J Neurol. 2025;272(8):502.</w:t>
      </w:r>
    </w:p>
    <w:p w14:paraId="5EBE4731" w14:textId="77777777" w:rsidR="00240565" w:rsidRPr="00240565" w:rsidRDefault="00240565" w:rsidP="00240565">
      <w:pPr>
        <w:pStyle w:val="EndNoteBibliography"/>
        <w:spacing w:after="0"/>
        <w:rPr>
          <w:rFonts w:hint="eastAsia"/>
        </w:rPr>
      </w:pPr>
      <w:r w:rsidRPr="00240565">
        <w:t>3.</w:t>
      </w:r>
      <w:r w:rsidRPr="00240565">
        <w:tab/>
        <w:t>Li J; Lyu L; Chen C; Yin S; Jiang S; Zhou P. The outcome of microvascular decompression for hemifacial spasm: a systematic review and meta-analysis. Neurosurg Rev. 2022;45(3):2201-10.</w:t>
      </w:r>
    </w:p>
    <w:p w14:paraId="4A0774ED" w14:textId="77777777" w:rsidR="00240565" w:rsidRPr="00240565" w:rsidRDefault="00240565" w:rsidP="00240565">
      <w:pPr>
        <w:pStyle w:val="EndNoteBibliography"/>
        <w:spacing w:after="0"/>
        <w:rPr>
          <w:rFonts w:hint="eastAsia"/>
        </w:rPr>
      </w:pPr>
      <w:r w:rsidRPr="00240565">
        <w:t>4.</w:t>
      </w:r>
      <w:r w:rsidRPr="00240565">
        <w:tab/>
        <w:t>Holste K; Sahyouni R; Teton Z; Chan AY; Englot DJ; Rolston JD. Spasm Freedom Following Microvascular Decompression for Hemifacial Spasm: Systematic Review and Meta-Analysis. World Neurosurg. 2020;139:e383-e90.</w:t>
      </w:r>
    </w:p>
    <w:p w14:paraId="222DCA67" w14:textId="77777777" w:rsidR="00240565" w:rsidRPr="00240565" w:rsidRDefault="00240565" w:rsidP="00240565">
      <w:pPr>
        <w:pStyle w:val="EndNoteBibliography"/>
        <w:rPr>
          <w:rFonts w:hint="eastAsia"/>
        </w:rPr>
      </w:pPr>
      <w:r w:rsidRPr="00240565">
        <w:t>5.</w:t>
      </w:r>
      <w:r w:rsidRPr="00240565">
        <w:tab/>
        <w:t>Mizobuchi Y; Nagahiro S; Kondo A; Arita K; Date I; Fujii Y, et al. Prospective, Multicenter Clinical Study of Microvascular Decompression for Hemifacial Spasm. Neurosurgery. 2021;88(4):846-54.</w:t>
      </w:r>
    </w:p>
    <w:p w14:paraId="437ED20E" w14:textId="77777777" w:rsidR="00693886" w:rsidRPr="00693886" w:rsidRDefault="00501321" w:rsidP="00693886">
      <w:pPr>
        <w:spacing w:after="120" w:line="320" w:lineRule="auto"/>
        <w:rPr>
          <w:rFonts w:ascii="Times New Roman" w:hAnsi="Times New Roman" w:cs="Times New Roman"/>
          <w:kern w:val="0"/>
          <w:sz w:val="20"/>
          <w:szCs w:val="20"/>
          <w14:ligatures w14:val="none"/>
        </w:rPr>
      </w:pPr>
      <w:r>
        <w:rPr>
          <w:rFonts w:ascii="Times New Roman" w:hAnsi="Times New Roman" w:cs="Times New Roman"/>
          <w:sz w:val="24"/>
        </w:rPr>
        <w:fldChar w:fldCharType="end"/>
      </w:r>
      <w:r w:rsidR="00693886" w:rsidRPr="00693886">
        <w:rPr>
          <w:rFonts w:ascii="Times New Roman" w:eastAsia="Times New Roman" w:hAnsi="Times New Roman" w:cs="Times New Roman"/>
          <w:kern w:val="0"/>
          <w:szCs w:val="22"/>
          <w14:ligatures w14:val="none"/>
        </w:rPr>
        <w:t>[6] Menna G, Battistelli M, Rapisarda A, et al. Factors related to hemifacial spasm recurrence in patients undergoing microvascular decompression—a systematic review and meta-analysis. Brain Sci. 2022;12(5):583. doi:10.3390/brainsci12050583.</w:t>
      </w:r>
    </w:p>
    <w:p w14:paraId="734D4683"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 xml:space="preserve">[7] Miao S, Chen Y, Hu X, Zhou R, Ma Y. An intraoperative multibranch abnormal muscle response monitoring method during microvascular decompression for hemifacial spasm. World </w:t>
      </w:r>
      <w:proofErr w:type="spellStart"/>
      <w:r w:rsidRPr="00693886">
        <w:rPr>
          <w:rFonts w:ascii="Times New Roman" w:eastAsia="Times New Roman" w:hAnsi="Times New Roman" w:cs="Times New Roman"/>
          <w:kern w:val="0"/>
          <w:szCs w:val="22"/>
          <w14:ligatures w14:val="none"/>
        </w:rPr>
        <w:t>Neurosurg</w:t>
      </w:r>
      <w:proofErr w:type="spellEnd"/>
      <w:r w:rsidRPr="00693886">
        <w:rPr>
          <w:rFonts w:ascii="Times New Roman" w:eastAsia="Times New Roman" w:hAnsi="Times New Roman" w:cs="Times New Roman"/>
          <w:kern w:val="0"/>
          <w:szCs w:val="22"/>
          <w14:ligatures w14:val="none"/>
        </w:rPr>
        <w:t xml:space="preserve">. </w:t>
      </w:r>
      <w:proofErr w:type="gramStart"/>
      <w:r w:rsidRPr="00693886">
        <w:rPr>
          <w:rFonts w:ascii="Times New Roman" w:eastAsia="Times New Roman" w:hAnsi="Times New Roman" w:cs="Times New Roman"/>
          <w:kern w:val="0"/>
          <w:szCs w:val="22"/>
          <w14:ligatures w14:val="none"/>
        </w:rPr>
        <w:t>2020;134:1</w:t>
      </w:r>
      <w:proofErr w:type="gramEnd"/>
      <w:r w:rsidRPr="00693886">
        <w:rPr>
          <w:rFonts w:ascii="Times New Roman" w:eastAsia="Times New Roman" w:hAnsi="Times New Roman" w:cs="Times New Roman"/>
          <w:kern w:val="0"/>
          <w:szCs w:val="22"/>
          <w14:ligatures w14:val="none"/>
        </w:rPr>
        <w:t xml:space="preserve">-5. </w:t>
      </w:r>
      <w:proofErr w:type="gramStart"/>
      <w:r w:rsidRPr="00693886">
        <w:rPr>
          <w:rFonts w:ascii="Times New Roman" w:eastAsia="Times New Roman" w:hAnsi="Times New Roman" w:cs="Times New Roman"/>
          <w:kern w:val="0"/>
          <w:szCs w:val="22"/>
          <w14:ligatures w14:val="none"/>
        </w:rPr>
        <w:t>doi:10.1016/j.wneu</w:t>
      </w:r>
      <w:proofErr w:type="gramEnd"/>
      <w:r w:rsidRPr="00693886">
        <w:rPr>
          <w:rFonts w:ascii="Times New Roman" w:eastAsia="Times New Roman" w:hAnsi="Times New Roman" w:cs="Times New Roman"/>
          <w:kern w:val="0"/>
          <w:szCs w:val="22"/>
          <w14:ligatures w14:val="none"/>
        </w:rPr>
        <w:t>.2019.10.073.</w:t>
      </w:r>
    </w:p>
    <w:p w14:paraId="76971136"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 xml:space="preserve">[8] Thirumala PD, </w:t>
      </w:r>
      <w:proofErr w:type="spellStart"/>
      <w:r w:rsidRPr="00693886">
        <w:rPr>
          <w:rFonts w:ascii="Times New Roman" w:eastAsia="Times New Roman" w:hAnsi="Times New Roman" w:cs="Times New Roman"/>
          <w:kern w:val="0"/>
          <w:szCs w:val="22"/>
          <w14:ligatures w14:val="none"/>
        </w:rPr>
        <w:t>Altibi</w:t>
      </w:r>
      <w:proofErr w:type="spellEnd"/>
      <w:r w:rsidRPr="00693886">
        <w:rPr>
          <w:rFonts w:ascii="Times New Roman" w:eastAsia="Times New Roman" w:hAnsi="Times New Roman" w:cs="Times New Roman"/>
          <w:kern w:val="0"/>
          <w:szCs w:val="22"/>
          <w14:ligatures w14:val="none"/>
        </w:rPr>
        <w:t xml:space="preserve"> AM, Chang R, et al. The utility of intraoperative lateral spread recording in microvascular decompression for hemifacial spasm: a systematic review and meta-analysis. Neurosurgery. 2020;87(4</w:t>
      </w:r>
      <w:proofErr w:type="gramStart"/>
      <w:r w:rsidRPr="00693886">
        <w:rPr>
          <w:rFonts w:ascii="Times New Roman" w:eastAsia="Times New Roman" w:hAnsi="Times New Roman" w:cs="Times New Roman"/>
          <w:kern w:val="0"/>
          <w:szCs w:val="22"/>
          <w14:ligatures w14:val="none"/>
        </w:rPr>
        <w:t>):E</w:t>
      </w:r>
      <w:proofErr w:type="gramEnd"/>
      <w:r w:rsidRPr="00693886">
        <w:rPr>
          <w:rFonts w:ascii="Times New Roman" w:eastAsia="Times New Roman" w:hAnsi="Times New Roman" w:cs="Times New Roman"/>
          <w:kern w:val="0"/>
          <w:szCs w:val="22"/>
          <w14:ligatures w14:val="none"/>
        </w:rPr>
        <w:t>473-E484. doi:10.1093/neuros/nyaa069.</w:t>
      </w:r>
    </w:p>
    <w:p w14:paraId="1C7C4E1D"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 xml:space="preserve">[9] Helal A, Graffeo CS, Meyer FB, Pollock BE, Link MJ. Predicting long-term outcomes after microvascular decompression for hemifacial spasm according to lateral spread response and immediate postoperative outcomes: a cohort study. J </w:t>
      </w:r>
      <w:proofErr w:type="spellStart"/>
      <w:r w:rsidRPr="00693886">
        <w:rPr>
          <w:rFonts w:ascii="Times New Roman" w:eastAsia="Times New Roman" w:hAnsi="Times New Roman" w:cs="Times New Roman"/>
          <w:kern w:val="0"/>
          <w:szCs w:val="22"/>
          <w14:ligatures w14:val="none"/>
        </w:rPr>
        <w:t>Neurosurg</w:t>
      </w:r>
      <w:proofErr w:type="spellEnd"/>
      <w:r w:rsidRPr="00693886">
        <w:rPr>
          <w:rFonts w:ascii="Times New Roman" w:eastAsia="Times New Roman" w:hAnsi="Times New Roman" w:cs="Times New Roman"/>
          <w:kern w:val="0"/>
          <w:szCs w:val="22"/>
          <w14:ligatures w14:val="none"/>
        </w:rPr>
        <w:t>. 2024;140(6):1664-1671. doi:10.3171/2023.</w:t>
      </w:r>
      <w:proofErr w:type="gramStart"/>
      <w:r w:rsidRPr="00693886">
        <w:rPr>
          <w:rFonts w:ascii="Times New Roman" w:eastAsia="Times New Roman" w:hAnsi="Times New Roman" w:cs="Times New Roman"/>
          <w:kern w:val="0"/>
          <w:szCs w:val="22"/>
          <w14:ligatures w14:val="none"/>
        </w:rPr>
        <w:t>11.JNS</w:t>
      </w:r>
      <w:proofErr w:type="gramEnd"/>
      <w:r w:rsidRPr="00693886">
        <w:rPr>
          <w:rFonts w:ascii="Times New Roman" w:eastAsia="Times New Roman" w:hAnsi="Times New Roman" w:cs="Times New Roman"/>
          <w:kern w:val="0"/>
          <w:szCs w:val="22"/>
          <w14:ligatures w14:val="none"/>
        </w:rPr>
        <w:t>231299.</w:t>
      </w:r>
    </w:p>
    <w:p w14:paraId="67CD6DFF"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 xml:space="preserve">[10] </w:t>
      </w:r>
      <w:proofErr w:type="spellStart"/>
      <w:r w:rsidRPr="00693886">
        <w:rPr>
          <w:rFonts w:ascii="Times New Roman" w:eastAsia="Times New Roman" w:hAnsi="Times New Roman" w:cs="Times New Roman"/>
          <w:kern w:val="0"/>
          <w:szCs w:val="22"/>
          <w14:ligatures w14:val="none"/>
        </w:rPr>
        <w:t>Sprenghers</w:t>
      </w:r>
      <w:proofErr w:type="spellEnd"/>
      <w:r w:rsidRPr="00693886">
        <w:rPr>
          <w:rFonts w:ascii="Times New Roman" w:eastAsia="Times New Roman" w:hAnsi="Times New Roman" w:cs="Times New Roman"/>
          <w:kern w:val="0"/>
          <w:szCs w:val="22"/>
          <w14:ligatures w14:val="none"/>
        </w:rPr>
        <w:t xml:space="preserve"> L, Lemmens R, van Loon J. Usefulness of intraoperative monitoring in microvascular decompression for hemifacial spasm: a systematic review and meta-analysis. Br J </w:t>
      </w:r>
      <w:proofErr w:type="spellStart"/>
      <w:r w:rsidRPr="00693886">
        <w:rPr>
          <w:rFonts w:ascii="Times New Roman" w:eastAsia="Times New Roman" w:hAnsi="Times New Roman" w:cs="Times New Roman"/>
          <w:kern w:val="0"/>
          <w:szCs w:val="22"/>
          <w14:ligatures w14:val="none"/>
        </w:rPr>
        <w:t>Neurosurg</w:t>
      </w:r>
      <w:proofErr w:type="spellEnd"/>
      <w:r w:rsidRPr="00693886">
        <w:rPr>
          <w:rFonts w:ascii="Times New Roman" w:eastAsia="Times New Roman" w:hAnsi="Times New Roman" w:cs="Times New Roman"/>
          <w:kern w:val="0"/>
          <w:szCs w:val="22"/>
          <w14:ligatures w14:val="none"/>
        </w:rPr>
        <w:t>. 2022;36(3):346-357. doi:10.1080/02688697.2022.2049701.</w:t>
      </w:r>
    </w:p>
    <w:p w14:paraId="4F01CA12"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[11] Amano Y, Asayama B, Noro S, et al. Significant correlation between delayed relief after microvascular decompression and morphology of the abnormal muscle response in patients with hemifacial spasm. Neurol Med Chir (Tokyo). 2022;62(11):513-520. doi:10.2176/jns-nmc.2022-0145.</w:t>
      </w:r>
    </w:p>
    <w:p w14:paraId="12B1E6BD"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[12] Sato Y, Shimizu K, Iizuka K, et al. Factors related to the delayed cure of hemifacial spasm after microvascular decompression: an analysis of 175 consecutive patients. J Neurol Surg B Skull Base. 2022;83(5):548-553. doi:10.1055/s-0041-1740970.</w:t>
      </w:r>
    </w:p>
    <w:p w14:paraId="68FA66DD"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[1</w:t>
      </w:r>
      <w:r w:rsidRPr="007B429C">
        <w:rPr>
          <w:rFonts w:ascii="Times New Roman" w:hAnsi="Times New Roman" w:cs="Times New Roman"/>
          <w:kern w:val="0"/>
          <w:sz w:val="20"/>
          <w:szCs w:val="20"/>
          <w14:ligatures w14:val="none"/>
        </w:rPr>
        <w:t>3</w:t>
      </w:r>
      <w:r w:rsidRPr="007B429C">
        <w:rPr>
          <w:rFonts w:ascii="Times New Roman" w:eastAsia="Times New Roman" w:hAnsi="Times New Roman" w:cs="Times New Roman"/>
          <w:kern w:val="0"/>
          <w:sz w:val="20"/>
          <w:szCs w:val="20"/>
          <w14:ligatures w14:val="none"/>
        </w:rPr>
        <w:t xml:space="preserve">] J. Yang, X. Yang, H. Liu, J. Liu, K. Li, J. Shi, Y. Liang, Y. Song, X. Fan, H. Qiao, The application value of intraoperative lateral spreading response monitoring during microvascular decompression in patients with primary hemifacial spasm, </w:t>
      </w:r>
      <w:proofErr w:type="spellStart"/>
      <w:r w:rsidRPr="007B429C">
        <w:rPr>
          <w:rFonts w:ascii="Times New Roman" w:eastAsia="Times New Roman" w:hAnsi="Times New Roman" w:cs="Times New Roman"/>
          <w:kern w:val="0"/>
          <w:sz w:val="20"/>
          <w:szCs w:val="20"/>
          <w14:ligatures w14:val="none"/>
        </w:rPr>
        <w:t>Eur</w:t>
      </w:r>
      <w:proofErr w:type="spellEnd"/>
      <w:r w:rsidRPr="007B429C">
        <w:rPr>
          <w:rFonts w:ascii="Times New Roman" w:eastAsia="Times New Roman" w:hAnsi="Times New Roman" w:cs="Times New Roman"/>
          <w:kern w:val="0"/>
          <w:sz w:val="20"/>
          <w:szCs w:val="20"/>
          <w14:ligatures w14:val="none"/>
        </w:rPr>
        <w:t xml:space="preserve"> J Med Res. 30 (2025) 1095. https://doi.org/10.1186/s40001-025-03293-w.</w:t>
      </w:r>
    </w:p>
    <w:p w14:paraId="2FD72330" w14:textId="41B85813" w:rsidR="00693886"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w:t>
      </w:r>
      <w:r w:rsidRPr="007B429C">
        <w:rPr>
          <w:rFonts w:ascii="Times New Roman" w:hAnsi="Times New Roman" w:cs="Times New Roman"/>
          <w:kern w:val="0"/>
          <w:sz w:val="20"/>
          <w:szCs w:val="20"/>
          <w14:ligatures w14:val="none"/>
        </w:rPr>
        <w:t>14</w:t>
      </w:r>
      <w:r w:rsidRPr="007B429C">
        <w:rPr>
          <w:rFonts w:ascii="Times New Roman" w:eastAsia="Times New Roman" w:hAnsi="Times New Roman" w:cs="Times New Roman"/>
          <w:kern w:val="0"/>
          <w:sz w:val="20"/>
          <w:szCs w:val="20"/>
          <w14:ligatures w14:val="none"/>
        </w:rPr>
        <w:t xml:space="preserve">] J. Yang, X. Yang, J. Liu, K. Li, J. Shi, Y. Liang, S. Liang, H. Liu, H. Qiao, X. Fan, </w:t>
      </w:r>
      <w:proofErr w:type="gramStart"/>
      <w:r w:rsidRPr="007B429C">
        <w:rPr>
          <w:rFonts w:ascii="Times New Roman" w:eastAsia="Times New Roman" w:hAnsi="Times New Roman" w:cs="Times New Roman"/>
          <w:kern w:val="0"/>
          <w:sz w:val="20"/>
          <w:szCs w:val="20"/>
          <w14:ligatures w14:val="none"/>
        </w:rPr>
        <w:t>The</w:t>
      </w:r>
      <w:proofErr w:type="gramEnd"/>
      <w:r w:rsidRPr="007B429C">
        <w:rPr>
          <w:rFonts w:ascii="Times New Roman" w:eastAsia="Times New Roman" w:hAnsi="Times New Roman" w:cs="Times New Roman"/>
          <w:kern w:val="0"/>
          <w:sz w:val="20"/>
          <w:szCs w:val="20"/>
          <w14:ligatures w14:val="none"/>
        </w:rPr>
        <w:t xml:space="preserve"> clinical utility of intraoperative blink reflex monitoring and its synergistic value with lateral spreading response </w:t>
      </w:r>
      <w:r w:rsidRPr="007B429C">
        <w:rPr>
          <w:rFonts w:ascii="Times New Roman" w:eastAsia="Times New Roman" w:hAnsi="Times New Roman" w:cs="Times New Roman"/>
          <w:kern w:val="0"/>
          <w:sz w:val="20"/>
          <w:szCs w:val="20"/>
          <w14:ligatures w14:val="none"/>
        </w:rPr>
        <w:lastRenderedPageBreak/>
        <w:t>monitoring in predicting postoperative outcomes in patients with hemifacial spasm following microvascular decompression, Ann Med. 58 (2026) 2700159. https://doi.org/10.1080/07853890.2026.2700159.</w:t>
      </w:r>
    </w:p>
    <w:p w14:paraId="6B6DB6CF"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 xml:space="preserve">[15] Chen K, Shen L, Yang J, et al. A nomogram based on clinical multivariate factors predicts delayed cure after microvascular decompression for hemifacial spasm. </w:t>
      </w:r>
      <w:proofErr w:type="spellStart"/>
      <w:r w:rsidRPr="00693886">
        <w:rPr>
          <w:rFonts w:ascii="Times New Roman" w:eastAsia="Times New Roman" w:hAnsi="Times New Roman" w:cs="Times New Roman"/>
          <w:kern w:val="0"/>
          <w:szCs w:val="22"/>
          <w14:ligatures w14:val="none"/>
        </w:rPr>
        <w:t>Neurosurg</w:t>
      </w:r>
      <w:proofErr w:type="spellEnd"/>
      <w:r w:rsidRPr="00693886">
        <w:rPr>
          <w:rFonts w:ascii="Times New Roman" w:eastAsia="Times New Roman" w:hAnsi="Times New Roman" w:cs="Times New Roman"/>
          <w:kern w:val="0"/>
          <w:szCs w:val="22"/>
          <w14:ligatures w14:val="none"/>
        </w:rPr>
        <w:t xml:space="preserve"> Rev. 2024;47(1):44. doi:10.1007/s10143-024-02284-5.</w:t>
      </w:r>
    </w:p>
    <w:p w14:paraId="6B0B2340"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 xml:space="preserve">[16] Al </w:t>
      </w:r>
      <w:proofErr w:type="spellStart"/>
      <w:r w:rsidRPr="00693886">
        <w:rPr>
          <w:rFonts w:ascii="Times New Roman" w:eastAsia="Times New Roman" w:hAnsi="Times New Roman" w:cs="Times New Roman"/>
          <w:kern w:val="0"/>
          <w:szCs w:val="22"/>
          <w14:ligatures w14:val="none"/>
        </w:rPr>
        <w:t>Menabbawy</w:t>
      </w:r>
      <w:proofErr w:type="spellEnd"/>
      <w:r w:rsidRPr="00693886">
        <w:rPr>
          <w:rFonts w:ascii="Times New Roman" w:eastAsia="Times New Roman" w:hAnsi="Times New Roman" w:cs="Times New Roman"/>
          <w:kern w:val="0"/>
          <w:szCs w:val="22"/>
          <w14:ligatures w14:val="none"/>
        </w:rPr>
        <w:t xml:space="preserve"> A, El </w:t>
      </w:r>
      <w:proofErr w:type="spellStart"/>
      <w:r w:rsidRPr="00693886">
        <w:rPr>
          <w:rFonts w:ascii="Times New Roman" w:eastAsia="Times New Roman" w:hAnsi="Times New Roman" w:cs="Times New Roman"/>
          <w:kern w:val="0"/>
          <w:szCs w:val="22"/>
          <w14:ligatures w14:val="none"/>
        </w:rPr>
        <w:t>Refaee</w:t>
      </w:r>
      <w:proofErr w:type="spellEnd"/>
      <w:r w:rsidRPr="00693886">
        <w:rPr>
          <w:rFonts w:ascii="Times New Roman" w:eastAsia="Times New Roman" w:hAnsi="Times New Roman" w:cs="Times New Roman"/>
          <w:kern w:val="0"/>
          <w:szCs w:val="22"/>
          <w14:ligatures w14:val="none"/>
        </w:rPr>
        <w:t xml:space="preserve"> E, Elwy R, et al. A multivariable prediction model for recovery patterns and time course of symptoms improvement in hemifacial spasm following microvascular decompression. Acta </w:t>
      </w:r>
      <w:proofErr w:type="spellStart"/>
      <w:r w:rsidRPr="00693886">
        <w:rPr>
          <w:rFonts w:ascii="Times New Roman" w:eastAsia="Times New Roman" w:hAnsi="Times New Roman" w:cs="Times New Roman"/>
          <w:kern w:val="0"/>
          <w:szCs w:val="22"/>
          <w14:ligatures w14:val="none"/>
        </w:rPr>
        <w:t>Neurochir</w:t>
      </w:r>
      <w:proofErr w:type="spellEnd"/>
      <w:r w:rsidRPr="00693886">
        <w:rPr>
          <w:rFonts w:ascii="Times New Roman" w:eastAsia="Times New Roman" w:hAnsi="Times New Roman" w:cs="Times New Roman"/>
          <w:kern w:val="0"/>
          <w:szCs w:val="22"/>
          <w14:ligatures w14:val="none"/>
        </w:rPr>
        <w:t xml:space="preserve"> (Wien). 2022;164(3):833-844. doi:10.1007/s00701-022-05133-w.</w:t>
      </w:r>
    </w:p>
    <w:p w14:paraId="2554386D"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[17] Collins GS, Moons KGM, Dhiman P, et al. TRIPOD+AI statement: updated guidance for reporting clinical prediction models that use regression or machine learning methods. BMJ. 2024;</w:t>
      </w:r>
      <w:proofErr w:type="gramStart"/>
      <w:r w:rsidRPr="00693886">
        <w:rPr>
          <w:rFonts w:ascii="Times New Roman" w:eastAsia="Times New Roman" w:hAnsi="Times New Roman" w:cs="Times New Roman"/>
          <w:kern w:val="0"/>
          <w:szCs w:val="22"/>
          <w14:ligatures w14:val="none"/>
        </w:rPr>
        <w:t>385:e</w:t>
      </w:r>
      <w:proofErr w:type="gramEnd"/>
      <w:r w:rsidRPr="00693886">
        <w:rPr>
          <w:rFonts w:ascii="Times New Roman" w:eastAsia="Times New Roman" w:hAnsi="Times New Roman" w:cs="Times New Roman"/>
          <w:kern w:val="0"/>
          <w:szCs w:val="22"/>
          <w14:ligatures w14:val="none"/>
        </w:rPr>
        <w:t>078378. doi:10.1136/bmj-2023-078378.</w:t>
      </w:r>
    </w:p>
    <w:p w14:paraId="2B056FE9" w14:textId="77777777" w:rsidR="00693886" w:rsidRPr="00693886" w:rsidRDefault="00693886" w:rsidP="00693886">
      <w:pPr>
        <w:spacing w:after="120" w:line="320" w:lineRule="auto"/>
        <w:rPr>
          <w:rFonts w:ascii="Times New Roman" w:hAnsi="Times New Roman" w:cs="Times New Roman"/>
          <w:kern w:val="0"/>
          <w:sz w:val="20"/>
          <w:szCs w:val="20"/>
          <w14:ligatures w14:val="none"/>
        </w:rPr>
      </w:pPr>
      <w:r w:rsidRPr="00693886">
        <w:rPr>
          <w:rFonts w:ascii="Times New Roman" w:eastAsia="Times New Roman" w:hAnsi="Times New Roman" w:cs="Times New Roman"/>
          <w:kern w:val="0"/>
          <w:szCs w:val="22"/>
          <w14:ligatures w14:val="none"/>
        </w:rPr>
        <w:t xml:space="preserve">[18] Van </w:t>
      </w:r>
      <w:proofErr w:type="spellStart"/>
      <w:r w:rsidRPr="00693886">
        <w:rPr>
          <w:rFonts w:ascii="Times New Roman" w:eastAsia="Times New Roman" w:hAnsi="Times New Roman" w:cs="Times New Roman"/>
          <w:kern w:val="0"/>
          <w:szCs w:val="22"/>
          <w14:ligatures w14:val="none"/>
        </w:rPr>
        <w:t>Calster</w:t>
      </w:r>
      <w:proofErr w:type="spellEnd"/>
      <w:r w:rsidRPr="00693886">
        <w:rPr>
          <w:rFonts w:ascii="Times New Roman" w:eastAsia="Times New Roman" w:hAnsi="Times New Roman" w:cs="Times New Roman"/>
          <w:kern w:val="0"/>
          <w:szCs w:val="22"/>
          <w14:ligatures w14:val="none"/>
        </w:rPr>
        <w:t xml:space="preserve"> B, </w:t>
      </w:r>
      <w:proofErr w:type="spellStart"/>
      <w:r w:rsidRPr="00693886">
        <w:rPr>
          <w:rFonts w:ascii="Times New Roman" w:eastAsia="Times New Roman" w:hAnsi="Times New Roman" w:cs="Times New Roman"/>
          <w:kern w:val="0"/>
          <w:szCs w:val="22"/>
          <w14:ligatures w14:val="none"/>
        </w:rPr>
        <w:t>Steyerberg</w:t>
      </w:r>
      <w:proofErr w:type="spellEnd"/>
      <w:r w:rsidRPr="00693886">
        <w:rPr>
          <w:rFonts w:ascii="Times New Roman" w:eastAsia="Times New Roman" w:hAnsi="Times New Roman" w:cs="Times New Roman"/>
          <w:kern w:val="0"/>
          <w:szCs w:val="22"/>
          <w14:ligatures w14:val="none"/>
        </w:rPr>
        <w:t xml:space="preserve"> EW, Wynants L, van Smeden M. There is no such thing as a validated prediction model. BMC Med. 2023;21(1):70. doi:10.1186/s12916-023-02779-w.</w:t>
      </w:r>
    </w:p>
    <w:p w14:paraId="453CD695"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[20] A. Al Menabbawy, M. Eisold, E. El </w:t>
      </w:r>
      <w:proofErr w:type="spellStart"/>
      <w:r w:rsidRPr="007B429C">
        <w:rPr>
          <w:rFonts w:ascii="Times New Roman" w:eastAsia="Times New Roman" w:hAnsi="Times New Roman" w:cs="Times New Roman"/>
          <w:kern w:val="0"/>
          <w:sz w:val="20"/>
          <w:szCs w:val="20"/>
          <w14:ligatures w14:val="none"/>
        </w:rPr>
        <w:t>Refaee</w:t>
      </w:r>
      <w:proofErr w:type="spellEnd"/>
      <w:r w:rsidRPr="007B429C">
        <w:rPr>
          <w:rFonts w:ascii="Times New Roman" w:eastAsia="Times New Roman" w:hAnsi="Times New Roman" w:cs="Times New Roman"/>
          <w:kern w:val="0"/>
          <w:sz w:val="20"/>
          <w:szCs w:val="20"/>
          <w14:ligatures w14:val="none"/>
        </w:rPr>
        <w:t xml:space="preserve">, I. Lange, I. Peters, M. Matthes, H.W.S. Schroeder, Timing matters: evaluating lateral spreads response disappearance as a prognostic marker in microvascular decompression for hemifacial spasm: a phenomenological study, Acta </w:t>
      </w:r>
      <w:proofErr w:type="spellStart"/>
      <w:r w:rsidRPr="007B429C">
        <w:rPr>
          <w:rFonts w:ascii="Times New Roman" w:eastAsia="Times New Roman" w:hAnsi="Times New Roman" w:cs="Times New Roman"/>
          <w:kern w:val="0"/>
          <w:sz w:val="20"/>
          <w:szCs w:val="20"/>
          <w14:ligatures w14:val="none"/>
        </w:rPr>
        <w:t>Neurochir</w:t>
      </w:r>
      <w:proofErr w:type="spellEnd"/>
      <w:r w:rsidRPr="007B429C">
        <w:rPr>
          <w:rFonts w:ascii="Times New Roman" w:eastAsia="Times New Roman" w:hAnsi="Times New Roman" w:cs="Times New Roman"/>
          <w:kern w:val="0"/>
          <w:sz w:val="20"/>
          <w:szCs w:val="20"/>
          <w14:ligatures w14:val="none"/>
        </w:rPr>
        <w:t xml:space="preserve"> (Wien). 167 (2025) 232. https://doi.org/10.1007/s00701-025-06642-0.</w:t>
      </w:r>
    </w:p>
    <w:p w14:paraId="4A00F1BD"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[21] K.R. Cho, S.K. Park, K. Park, Lateral Spread Response: Unveiling the Smoking Gun for Cured Hemifacial Spasm, Life (Basel). 13 (2023) 1825. https://doi.org/10.3390/life13091825.</w:t>
      </w:r>
    </w:p>
    <w:p w14:paraId="2146B0CF"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[22] D. Cheng, C. Liu, Y. Qiu, C. Ji, Monitoring of the lateral spread response combined with brainstem auditory evoked potentials in microvascular decompression for hemifacial spasm, Front Neurol. 16 (2025) 1516606. https://doi.org/10.3389/fneur.2025.1516606.</w:t>
      </w:r>
    </w:p>
    <w:p w14:paraId="2FF9C42D"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[23] A. Baranwal, M.A. Gadhvi, M. Agrawal, S. Srivastav, A. Dixit, Lateral Spread Response in Hemifacial Spasm: Physiological Mechanisms, Intraoperative Utility, and Prognostic Significance, </w:t>
      </w:r>
      <w:proofErr w:type="spellStart"/>
      <w:r w:rsidRPr="007B429C">
        <w:rPr>
          <w:rFonts w:ascii="Times New Roman" w:eastAsia="Times New Roman" w:hAnsi="Times New Roman" w:cs="Times New Roman"/>
          <w:kern w:val="0"/>
          <w:sz w:val="20"/>
          <w:szCs w:val="20"/>
          <w14:ligatures w14:val="none"/>
        </w:rPr>
        <w:t>Cureus</w:t>
      </w:r>
      <w:proofErr w:type="spellEnd"/>
      <w:r w:rsidRPr="007B429C">
        <w:rPr>
          <w:rFonts w:ascii="Times New Roman" w:eastAsia="Times New Roman" w:hAnsi="Times New Roman" w:cs="Times New Roman"/>
          <w:kern w:val="0"/>
          <w:sz w:val="20"/>
          <w:szCs w:val="20"/>
          <w14:ligatures w14:val="none"/>
        </w:rPr>
        <w:t>. 17 (2025) e82794. https://doi.org/10.7759/cureus.82794.</w:t>
      </w:r>
    </w:p>
    <w:p w14:paraId="1BE7B70F"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[24] Y. Amano, B. Asayama, S. Noro, T. Abe, M. Okuma, K. Honjo, Y. Seo, H. Nakamura, Correlation between Delayed Relief after Microvascular Decompression and Morphology of the Lateral Spread Response in Patients with Hemifacial Spasm—Temporal versus Mandibular Branch Stimulation, Neurol Med Chir (Tokyo). 65 (2025) 45–51. https://doi.org/10.2176/jns-nmc.2024-0062.</w:t>
      </w:r>
    </w:p>
    <w:p w14:paraId="23668395"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[25] L. Xu, W. Xu, J. Wang, et al., Persistent abnormal muscle response after microvascular decompression for hemifacial spasm, Sci Rep. 10 (2020) 18484. https://doi.org/10.1038/s41598-020-75742-x.</w:t>
      </w:r>
    </w:p>
    <w:p w14:paraId="2ED2A965"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[26] S. Chai, J. Wu, Y. Cai, J. Zhao, Z. Mei, Y. Zhou, Y. Wang, H. Xu, J. Zhou, N. Xiong, Early lateral spread response loss during microvascular decompression for hemifacial spasm: its preoperative predictive factors and impact on surgical outcomes, </w:t>
      </w:r>
      <w:proofErr w:type="spellStart"/>
      <w:r w:rsidRPr="007B429C">
        <w:rPr>
          <w:rFonts w:ascii="Times New Roman" w:eastAsia="Times New Roman" w:hAnsi="Times New Roman" w:cs="Times New Roman"/>
          <w:kern w:val="0"/>
          <w:sz w:val="20"/>
          <w:szCs w:val="20"/>
          <w14:ligatures w14:val="none"/>
        </w:rPr>
        <w:t>Neurosurg</w:t>
      </w:r>
      <w:proofErr w:type="spellEnd"/>
      <w:r w:rsidRPr="007B429C">
        <w:rPr>
          <w:rFonts w:ascii="Times New Roman" w:eastAsia="Times New Roman" w:hAnsi="Times New Roman" w:cs="Times New Roman"/>
          <w:kern w:val="0"/>
          <w:sz w:val="20"/>
          <w:szCs w:val="20"/>
          <w14:ligatures w14:val="none"/>
        </w:rPr>
        <w:t xml:space="preserve"> Rev. 46 (2023) 174. https://doi.org/10.1007/s10143-023-02083-4.</w:t>
      </w:r>
    </w:p>
    <w:p w14:paraId="62B95F5B"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[27] T. Inoue, Y. Goto, Y. Inoue, P. </w:t>
      </w:r>
      <w:proofErr w:type="spellStart"/>
      <w:r w:rsidRPr="007B429C">
        <w:rPr>
          <w:rFonts w:ascii="Times New Roman" w:eastAsia="Times New Roman" w:hAnsi="Times New Roman" w:cs="Times New Roman"/>
          <w:kern w:val="0"/>
          <w:sz w:val="20"/>
          <w:szCs w:val="20"/>
          <w14:ligatures w14:val="none"/>
        </w:rPr>
        <w:t>Adidharma</w:t>
      </w:r>
      <w:proofErr w:type="spellEnd"/>
      <w:r w:rsidRPr="007B429C">
        <w:rPr>
          <w:rFonts w:ascii="Times New Roman" w:eastAsia="Times New Roman" w:hAnsi="Times New Roman" w:cs="Times New Roman"/>
          <w:kern w:val="0"/>
          <w:sz w:val="20"/>
          <w:szCs w:val="20"/>
          <w14:ligatures w14:val="none"/>
        </w:rPr>
        <w:t xml:space="preserve">, M. Prasetya, T. Fukushima, Potential reasons for failure and recurrence in microvascular decompression for hemifacial spasm, Acta </w:t>
      </w:r>
      <w:proofErr w:type="spellStart"/>
      <w:r w:rsidRPr="007B429C">
        <w:rPr>
          <w:rFonts w:ascii="Times New Roman" w:eastAsia="Times New Roman" w:hAnsi="Times New Roman" w:cs="Times New Roman"/>
          <w:kern w:val="0"/>
          <w:sz w:val="20"/>
          <w:szCs w:val="20"/>
          <w14:ligatures w14:val="none"/>
        </w:rPr>
        <w:t>Neurochir</w:t>
      </w:r>
      <w:proofErr w:type="spellEnd"/>
      <w:r w:rsidRPr="007B429C">
        <w:rPr>
          <w:rFonts w:ascii="Times New Roman" w:eastAsia="Times New Roman" w:hAnsi="Times New Roman" w:cs="Times New Roman"/>
          <w:kern w:val="0"/>
          <w:sz w:val="20"/>
          <w:szCs w:val="20"/>
          <w14:ligatures w14:val="none"/>
        </w:rPr>
        <w:t xml:space="preserve"> (Wien). 165 (2023) 3845–3852. https://doi.org/10.1007/s00701-023-05861-7.</w:t>
      </w:r>
    </w:p>
    <w:p w14:paraId="7C8C13D3"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[28] H. Zhao, J. Zhu, Y. Tang, L. Shen, S. Li, Hemifacial Spasm: Comparison of Results between Patients Older and Younger than 70 Years Operated on with Microvascular Decompression, J Neurol Surg </w:t>
      </w:r>
      <w:proofErr w:type="gramStart"/>
      <w:r w:rsidRPr="007B429C">
        <w:rPr>
          <w:rFonts w:ascii="Times New Roman" w:eastAsia="Times New Roman" w:hAnsi="Times New Roman" w:cs="Times New Roman"/>
          <w:kern w:val="0"/>
          <w:sz w:val="20"/>
          <w:szCs w:val="20"/>
          <w14:ligatures w14:val="none"/>
        </w:rPr>
        <w:t>A</w:t>
      </w:r>
      <w:proofErr w:type="gramEnd"/>
      <w:r w:rsidRPr="007B429C">
        <w:rPr>
          <w:rFonts w:ascii="Times New Roman" w:eastAsia="Times New Roman" w:hAnsi="Times New Roman" w:cs="Times New Roman"/>
          <w:kern w:val="0"/>
          <w:sz w:val="20"/>
          <w:szCs w:val="20"/>
          <w14:ligatures w14:val="none"/>
        </w:rPr>
        <w:t xml:space="preserve"> Cent </w:t>
      </w:r>
      <w:proofErr w:type="spellStart"/>
      <w:r w:rsidRPr="007B429C">
        <w:rPr>
          <w:rFonts w:ascii="Times New Roman" w:eastAsia="Times New Roman" w:hAnsi="Times New Roman" w:cs="Times New Roman"/>
          <w:kern w:val="0"/>
          <w:sz w:val="20"/>
          <w:szCs w:val="20"/>
          <w14:ligatures w14:val="none"/>
        </w:rPr>
        <w:t>Eur</w:t>
      </w:r>
      <w:proofErr w:type="spellEnd"/>
      <w:r w:rsidRPr="007B429C">
        <w:rPr>
          <w:rFonts w:ascii="Times New Roman" w:eastAsia="Times New Roman" w:hAnsi="Times New Roman" w:cs="Times New Roman"/>
          <w:kern w:val="0"/>
          <w:sz w:val="20"/>
          <w:szCs w:val="20"/>
          <w14:ligatures w14:val="none"/>
        </w:rPr>
        <w:t xml:space="preserve"> </w:t>
      </w:r>
      <w:proofErr w:type="spellStart"/>
      <w:r w:rsidRPr="007B429C">
        <w:rPr>
          <w:rFonts w:ascii="Times New Roman" w:eastAsia="Times New Roman" w:hAnsi="Times New Roman" w:cs="Times New Roman"/>
          <w:kern w:val="0"/>
          <w:sz w:val="20"/>
          <w:szCs w:val="20"/>
          <w14:ligatures w14:val="none"/>
        </w:rPr>
        <w:t>Neurosurg</w:t>
      </w:r>
      <w:proofErr w:type="spellEnd"/>
      <w:r w:rsidRPr="007B429C">
        <w:rPr>
          <w:rFonts w:ascii="Times New Roman" w:eastAsia="Times New Roman" w:hAnsi="Times New Roman" w:cs="Times New Roman"/>
          <w:kern w:val="0"/>
          <w:sz w:val="20"/>
          <w:szCs w:val="20"/>
          <w14:ligatures w14:val="none"/>
        </w:rPr>
        <w:t>. 83 (2022) 118–121. https://doi.org/10.1055/s-0041-1725952.</w:t>
      </w:r>
    </w:p>
    <w:p w14:paraId="24E189D4"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[29] M. Tugend, C.M. Ulane, K. Patel, R.F. Sekula Jr., Decompression Surgery in Elderly Patients with </w:t>
      </w:r>
      <w:r w:rsidRPr="007B429C">
        <w:rPr>
          <w:rFonts w:ascii="Times New Roman" w:eastAsia="Times New Roman" w:hAnsi="Times New Roman" w:cs="Times New Roman"/>
          <w:kern w:val="0"/>
          <w:sz w:val="20"/>
          <w:szCs w:val="20"/>
          <w14:ligatures w14:val="none"/>
        </w:rPr>
        <w:lastRenderedPageBreak/>
        <w:t xml:space="preserve">Hemifacial Spasm Refractory to Botulinum Toxin, Mov </w:t>
      </w:r>
      <w:proofErr w:type="spellStart"/>
      <w:r w:rsidRPr="007B429C">
        <w:rPr>
          <w:rFonts w:ascii="Times New Roman" w:eastAsia="Times New Roman" w:hAnsi="Times New Roman" w:cs="Times New Roman"/>
          <w:kern w:val="0"/>
          <w:sz w:val="20"/>
          <w:szCs w:val="20"/>
          <w14:ligatures w14:val="none"/>
        </w:rPr>
        <w:t>Disord</w:t>
      </w:r>
      <w:proofErr w:type="spellEnd"/>
      <w:r w:rsidRPr="007B429C">
        <w:rPr>
          <w:rFonts w:ascii="Times New Roman" w:eastAsia="Times New Roman" w:hAnsi="Times New Roman" w:cs="Times New Roman"/>
          <w:kern w:val="0"/>
          <w:sz w:val="20"/>
          <w:szCs w:val="20"/>
          <w14:ligatures w14:val="none"/>
        </w:rPr>
        <w:t xml:space="preserve"> Clin </w:t>
      </w:r>
      <w:proofErr w:type="spellStart"/>
      <w:r w:rsidRPr="007B429C">
        <w:rPr>
          <w:rFonts w:ascii="Times New Roman" w:eastAsia="Times New Roman" w:hAnsi="Times New Roman" w:cs="Times New Roman"/>
          <w:kern w:val="0"/>
          <w:sz w:val="20"/>
          <w:szCs w:val="20"/>
          <w14:ligatures w14:val="none"/>
        </w:rPr>
        <w:t>Pract</w:t>
      </w:r>
      <w:proofErr w:type="spellEnd"/>
      <w:r w:rsidRPr="007B429C">
        <w:rPr>
          <w:rFonts w:ascii="Times New Roman" w:eastAsia="Times New Roman" w:hAnsi="Times New Roman" w:cs="Times New Roman"/>
          <w:kern w:val="0"/>
          <w:sz w:val="20"/>
          <w:szCs w:val="20"/>
          <w14:ligatures w14:val="none"/>
        </w:rPr>
        <w:t>. 11 (2024) 966–972. https://doi.org/10.1002/mdc3.14064.</w:t>
      </w:r>
    </w:p>
    <w:p w14:paraId="7B714D5F"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[30] B. Van Calster, D.J. McLernon, M. van Smeden, L. Wynants, E.W. Steyerberg, Calibration: the Achilles heel of predictive analytics, BMC Med. 17 (2019) 230. https://doi.org/10.1186/s12916-019-1466-7.</w:t>
      </w:r>
    </w:p>
    <w:p w14:paraId="44B24107"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[31] R.D. Riley, T.P.A. Debray, G.S. Collins, L. Archer, J. Ensor, M. van Smeden, K.I.E. Snell, Minimum sample size for external validation of a clinical prediction model with a binary outcome, Stat Med. 40 (2021) 4230–4251. https://doi.org/10.1002/sim.9025.</w:t>
      </w:r>
    </w:p>
    <w:p w14:paraId="05758BC7"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[32] A.J. Vickers, B. van </w:t>
      </w:r>
      <w:proofErr w:type="spellStart"/>
      <w:r w:rsidRPr="007B429C">
        <w:rPr>
          <w:rFonts w:ascii="Times New Roman" w:eastAsia="Times New Roman" w:hAnsi="Times New Roman" w:cs="Times New Roman"/>
          <w:kern w:val="0"/>
          <w:sz w:val="20"/>
          <w:szCs w:val="20"/>
          <w14:ligatures w14:val="none"/>
        </w:rPr>
        <w:t>Calster</w:t>
      </w:r>
      <w:proofErr w:type="spellEnd"/>
      <w:r w:rsidRPr="007B429C">
        <w:rPr>
          <w:rFonts w:ascii="Times New Roman" w:eastAsia="Times New Roman" w:hAnsi="Times New Roman" w:cs="Times New Roman"/>
          <w:kern w:val="0"/>
          <w:sz w:val="20"/>
          <w:szCs w:val="20"/>
          <w14:ligatures w14:val="none"/>
        </w:rPr>
        <w:t xml:space="preserve">, E.W. Steyerberg, A simple, step-by-step guide to interpreting decision curve analysis, </w:t>
      </w:r>
      <w:proofErr w:type="spellStart"/>
      <w:r w:rsidRPr="007B429C">
        <w:rPr>
          <w:rFonts w:ascii="Times New Roman" w:eastAsia="Times New Roman" w:hAnsi="Times New Roman" w:cs="Times New Roman"/>
          <w:kern w:val="0"/>
          <w:sz w:val="20"/>
          <w:szCs w:val="20"/>
          <w14:ligatures w14:val="none"/>
        </w:rPr>
        <w:t>Diagn</w:t>
      </w:r>
      <w:proofErr w:type="spellEnd"/>
      <w:r w:rsidRPr="007B429C">
        <w:rPr>
          <w:rFonts w:ascii="Times New Roman" w:eastAsia="Times New Roman" w:hAnsi="Times New Roman" w:cs="Times New Roman"/>
          <w:kern w:val="0"/>
          <w:sz w:val="20"/>
          <w:szCs w:val="20"/>
          <w14:ligatures w14:val="none"/>
        </w:rPr>
        <w:t xml:space="preserve"> </w:t>
      </w:r>
      <w:proofErr w:type="spellStart"/>
      <w:r w:rsidRPr="007B429C">
        <w:rPr>
          <w:rFonts w:ascii="Times New Roman" w:eastAsia="Times New Roman" w:hAnsi="Times New Roman" w:cs="Times New Roman"/>
          <w:kern w:val="0"/>
          <w:sz w:val="20"/>
          <w:szCs w:val="20"/>
          <w14:ligatures w14:val="none"/>
        </w:rPr>
        <w:t>Progn</w:t>
      </w:r>
      <w:proofErr w:type="spellEnd"/>
      <w:r w:rsidRPr="007B429C">
        <w:rPr>
          <w:rFonts w:ascii="Times New Roman" w:eastAsia="Times New Roman" w:hAnsi="Times New Roman" w:cs="Times New Roman"/>
          <w:kern w:val="0"/>
          <w:sz w:val="20"/>
          <w:szCs w:val="20"/>
          <w14:ligatures w14:val="none"/>
        </w:rPr>
        <w:t xml:space="preserve"> Res. 3 (2019) 18. https://doi.org/10.1186/s41512-019-0064-7.</w:t>
      </w:r>
    </w:p>
    <w:p w14:paraId="098009CB"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[33] A.J. Vickers, B. Van Calster, L. Wynants, E.W. Steyerberg, Decision curve analysis: confidence intervals and hypothesis testing for net benefit, </w:t>
      </w:r>
      <w:proofErr w:type="spellStart"/>
      <w:r w:rsidRPr="007B429C">
        <w:rPr>
          <w:rFonts w:ascii="Times New Roman" w:eastAsia="Times New Roman" w:hAnsi="Times New Roman" w:cs="Times New Roman"/>
          <w:kern w:val="0"/>
          <w:sz w:val="20"/>
          <w:szCs w:val="20"/>
          <w14:ligatures w14:val="none"/>
        </w:rPr>
        <w:t>Diagn</w:t>
      </w:r>
      <w:proofErr w:type="spellEnd"/>
      <w:r w:rsidRPr="007B429C">
        <w:rPr>
          <w:rFonts w:ascii="Times New Roman" w:eastAsia="Times New Roman" w:hAnsi="Times New Roman" w:cs="Times New Roman"/>
          <w:kern w:val="0"/>
          <w:sz w:val="20"/>
          <w:szCs w:val="20"/>
          <w14:ligatures w14:val="none"/>
        </w:rPr>
        <w:t xml:space="preserve"> </w:t>
      </w:r>
      <w:proofErr w:type="spellStart"/>
      <w:r w:rsidRPr="007B429C">
        <w:rPr>
          <w:rFonts w:ascii="Times New Roman" w:eastAsia="Times New Roman" w:hAnsi="Times New Roman" w:cs="Times New Roman"/>
          <w:kern w:val="0"/>
          <w:sz w:val="20"/>
          <w:szCs w:val="20"/>
          <w14:ligatures w14:val="none"/>
        </w:rPr>
        <w:t>Progn</w:t>
      </w:r>
      <w:proofErr w:type="spellEnd"/>
      <w:r w:rsidRPr="007B429C">
        <w:rPr>
          <w:rFonts w:ascii="Times New Roman" w:eastAsia="Times New Roman" w:hAnsi="Times New Roman" w:cs="Times New Roman"/>
          <w:kern w:val="0"/>
          <w:sz w:val="20"/>
          <w:szCs w:val="20"/>
          <w14:ligatures w14:val="none"/>
        </w:rPr>
        <w:t xml:space="preserve"> Res. 7 (2023) 11. https://doi.org/10.1186/s41512-023-00148-y.</w:t>
      </w:r>
    </w:p>
    <w:p w14:paraId="10046294"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[34] Y. Chen, J. Zhao, Y. Zheng, K. Liu, Z. Xu, F. Jia, Preliminary development of a nomogram for predicting recurrence after microvascular decompression in hemifacial spasm: integrating quantitative lateral spread response parameters and clinical features, J Clin Neurosci. 153 (2026) 112245. https://doi.org/10.1016/j.jocn.2026.112245.</w:t>
      </w:r>
    </w:p>
    <w:p w14:paraId="1346733A"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[35] Early Risk Stratification and Time-to-Cure Analysis in Patients with Residual Hemifacial Spasm After Microvascular Decompression, Brain Sci. 16 (2026) 978. https://doi.org/10.3390/brainsci16090978.</w:t>
      </w:r>
    </w:p>
    <w:p w14:paraId="10BF3909"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 xml:space="preserve">[36] G.S. Collins, J.B. Reitsma, D.G. Altman, K.G.M. Moons, Transparent Reporting of a multivariable prediction model for Individual Prognosis </w:t>
      </w:r>
      <w:proofErr w:type="gramStart"/>
      <w:r w:rsidRPr="007B429C">
        <w:rPr>
          <w:rFonts w:ascii="Times New Roman" w:eastAsia="Times New Roman" w:hAnsi="Times New Roman" w:cs="Times New Roman"/>
          <w:kern w:val="0"/>
          <w:sz w:val="20"/>
          <w:szCs w:val="20"/>
          <w14:ligatures w14:val="none"/>
        </w:rPr>
        <w:t>Or</w:t>
      </w:r>
      <w:proofErr w:type="gramEnd"/>
      <w:r w:rsidRPr="007B429C">
        <w:rPr>
          <w:rFonts w:ascii="Times New Roman" w:eastAsia="Times New Roman" w:hAnsi="Times New Roman" w:cs="Times New Roman"/>
          <w:kern w:val="0"/>
          <w:sz w:val="20"/>
          <w:szCs w:val="20"/>
          <w14:ligatures w14:val="none"/>
        </w:rPr>
        <w:t xml:space="preserve"> Diagnosis (TRIPOD): The TRIPOD Statement, Ann Intern Med. 162 (2015) 55–63. https://doi.org/10.7326/M14-0697.</w:t>
      </w:r>
    </w:p>
    <w:p w14:paraId="620A8E1D" w14:textId="77777777" w:rsidR="007B429C" w:rsidRPr="007B429C" w:rsidRDefault="007B429C" w:rsidP="007B429C">
      <w:pPr>
        <w:spacing w:after="60" w:line="276" w:lineRule="auto"/>
        <w:rPr>
          <w:rFonts w:ascii="Times New Roman" w:hAnsi="Times New Roman" w:cs="Times New Roman"/>
          <w:kern w:val="0"/>
          <w:sz w:val="20"/>
          <w:szCs w:val="20"/>
          <w14:ligatures w14:val="none"/>
        </w:rPr>
      </w:pPr>
      <w:r w:rsidRPr="007B429C">
        <w:rPr>
          <w:rFonts w:ascii="Times New Roman" w:eastAsia="Times New Roman" w:hAnsi="Times New Roman" w:cs="Times New Roman"/>
          <w:kern w:val="0"/>
          <w:sz w:val="20"/>
          <w:szCs w:val="20"/>
          <w14:ligatures w14:val="none"/>
        </w:rPr>
        <w:t>[38] C. Jeon, N.Y. Jung, M. Kim, K. Park, Intraoperative Monitoring of the Facial Nerve during Microvascular Decompression for Hemifacial Spasm, Life (Basel). 13 (2023) 1616. https://doi.org/10.3390/life13071616.</w:t>
      </w:r>
    </w:p>
    <w:p w14:paraId="73AE6C4D" w14:textId="0AA30DF9" w:rsidR="0065000F" w:rsidRPr="007B429C" w:rsidRDefault="0065000F" w:rsidP="00274188">
      <w:pPr>
        <w:jc w:val="both"/>
        <w:rPr>
          <w:rFonts w:ascii="Times New Roman" w:hAnsi="Times New Roman" w:cs="Times New Roman"/>
          <w:sz w:val="24"/>
        </w:rPr>
      </w:pPr>
    </w:p>
    <w:sectPr w:rsidR="0065000F" w:rsidRPr="007B429C" w:rsidSect="00274188">
      <w:type w:val="continuous"/>
      <w:pgSz w:w="11906" w:h="16838" w:code="9"/>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60940" w14:textId="77777777" w:rsidR="00F85AA2" w:rsidRDefault="00F85AA2" w:rsidP="004608B9">
      <w:pPr>
        <w:spacing w:after="0" w:line="240" w:lineRule="auto"/>
        <w:rPr>
          <w:rFonts w:hint="eastAsia"/>
        </w:rPr>
      </w:pPr>
      <w:r>
        <w:separator/>
      </w:r>
    </w:p>
  </w:endnote>
  <w:endnote w:type="continuationSeparator" w:id="0">
    <w:p w14:paraId="2CF3559D" w14:textId="77777777" w:rsidR="00F85AA2" w:rsidRDefault="00F85AA2" w:rsidP="004608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A40C" w14:textId="77777777" w:rsidR="00F85AA2" w:rsidRDefault="00F85AA2" w:rsidP="004608B9">
      <w:pPr>
        <w:spacing w:after="0" w:line="240" w:lineRule="auto"/>
        <w:rPr>
          <w:rFonts w:hint="eastAsia"/>
        </w:rPr>
      </w:pPr>
      <w:r>
        <w:separator/>
      </w:r>
    </w:p>
  </w:footnote>
  <w:footnote w:type="continuationSeparator" w:id="0">
    <w:p w14:paraId="47E7FC4D" w14:textId="77777777" w:rsidR="00F85AA2" w:rsidRDefault="00F85AA2" w:rsidP="004608B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cademic Psychiatry&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dzasptwawfwwe5p9j5t9pfpd2vswf0ttx2&quot;&gt;My EndNote Library-Converted&lt;record-ids&gt;&lt;item&gt;684&lt;/item&gt;&lt;item&gt;685&lt;/item&gt;&lt;item&gt;686&lt;/item&gt;&lt;item&gt;688&lt;/item&gt;&lt;item&gt;689&lt;/item&gt;&lt;/record-ids&gt;&lt;/item&gt;&lt;/Libraries&gt;"/>
  </w:docVars>
  <w:rsids>
    <w:rsidRoot w:val="007D41F7"/>
    <w:rsid w:val="00046709"/>
    <w:rsid w:val="000E5C2B"/>
    <w:rsid w:val="001336F4"/>
    <w:rsid w:val="001F0633"/>
    <w:rsid w:val="00240565"/>
    <w:rsid w:val="002423C3"/>
    <w:rsid w:val="002561ED"/>
    <w:rsid w:val="0026305D"/>
    <w:rsid w:val="0026660C"/>
    <w:rsid w:val="00274188"/>
    <w:rsid w:val="002779B9"/>
    <w:rsid w:val="00310971"/>
    <w:rsid w:val="0032540F"/>
    <w:rsid w:val="00345DB5"/>
    <w:rsid w:val="0039649D"/>
    <w:rsid w:val="003A6C2F"/>
    <w:rsid w:val="003C1021"/>
    <w:rsid w:val="00426E0A"/>
    <w:rsid w:val="004327F2"/>
    <w:rsid w:val="00444856"/>
    <w:rsid w:val="004608B9"/>
    <w:rsid w:val="004774B4"/>
    <w:rsid w:val="004E55B4"/>
    <w:rsid w:val="00501321"/>
    <w:rsid w:val="00545CF6"/>
    <w:rsid w:val="0055633A"/>
    <w:rsid w:val="005861DD"/>
    <w:rsid w:val="00614E3C"/>
    <w:rsid w:val="0065000F"/>
    <w:rsid w:val="00693886"/>
    <w:rsid w:val="006B4062"/>
    <w:rsid w:val="006E425F"/>
    <w:rsid w:val="006E491A"/>
    <w:rsid w:val="00711096"/>
    <w:rsid w:val="00712971"/>
    <w:rsid w:val="00724168"/>
    <w:rsid w:val="00773FD0"/>
    <w:rsid w:val="007865D2"/>
    <w:rsid w:val="007A47F9"/>
    <w:rsid w:val="007B429C"/>
    <w:rsid w:val="007D41F7"/>
    <w:rsid w:val="007E2A41"/>
    <w:rsid w:val="00817CD2"/>
    <w:rsid w:val="00826098"/>
    <w:rsid w:val="0082624A"/>
    <w:rsid w:val="008439D8"/>
    <w:rsid w:val="008542AB"/>
    <w:rsid w:val="00875192"/>
    <w:rsid w:val="008B3746"/>
    <w:rsid w:val="008F7977"/>
    <w:rsid w:val="0095013A"/>
    <w:rsid w:val="0099252D"/>
    <w:rsid w:val="0099568B"/>
    <w:rsid w:val="009B6256"/>
    <w:rsid w:val="009F3B0E"/>
    <w:rsid w:val="00A27EF1"/>
    <w:rsid w:val="00A36E3B"/>
    <w:rsid w:val="00A41C71"/>
    <w:rsid w:val="00A73415"/>
    <w:rsid w:val="00AF0AE0"/>
    <w:rsid w:val="00B016D5"/>
    <w:rsid w:val="00B103E0"/>
    <w:rsid w:val="00B15BD0"/>
    <w:rsid w:val="00B17E0A"/>
    <w:rsid w:val="00B56746"/>
    <w:rsid w:val="00C46942"/>
    <w:rsid w:val="00C85090"/>
    <w:rsid w:val="00C86302"/>
    <w:rsid w:val="00C90A62"/>
    <w:rsid w:val="00CC32FE"/>
    <w:rsid w:val="00CD5039"/>
    <w:rsid w:val="00CE580C"/>
    <w:rsid w:val="00D02B23"/>
    <w:rsid w:val="00D813C8"/>
    <w:rsid w:val="00E25C6B"/>
    <w:rsid w:val="00E67695"/>
    <w:rsid w:val="00E91313"/>
    <w:rsid w:val="00EC34A1"/>
    <w:rsid w:val="00ED1B1B"/>
    <w:rsid w:val="00EE6948"/>
    <w:rsid w:val="00F76F2F"/>
    <w:rsid w:val="00F85AA2"/>
    <w:rsid w:val="00F92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94F06"/>
  <w15:chartTrackingRefBased/>
  <w15:docId w15:val="{69F11E15-CC72-45C9-8F3D-BE5D969E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41F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41F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41F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41F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D41F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D41F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D41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41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41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41F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41F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41F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41F7"/>
    <w:rPr>
      <w:rFonts w:cstheme="majorBidi"/>
      <w:color w:val="2F5496" w:themeColor="accent1" w:themeShade="BF"/>
      <w:sz w:val="28"/>
      <w:szCs w:val="28"/>
    </w:rPr>
  </w:style>
  <w:style w:type="character" w:customStyle="1" w:styleId="50">
    <w:name w:val="标题 5 字符"/>
    <w:basedOn w:val="a0"/>
    <w:link w:val="5"/>
    <w:uiPriority w:val="9"/>
    <w:semiHidden/>
    <w:rsid w:val="007D41F7"/>
    <w:rPr>
      <w:rFonts w:cstheme="majorBidi"/>
      <w:color w:val="2F5496" w:themeColor="accent1" w:themeShade="BF"/>
      <w:sz w:val="24"/>
    </w:rPr>
  </w:style>
  <w:style w:type="character" w:customStyle="1" w:styleId="60">
    <w:name w:val="标题 6 字符"/>
    <w:basedOn w:val="a0"/>
    <w:link w:val="6"/>
    <w:uiPriority w:val="9"/>
    <w:semiHidden/>
    <w:rsid w:val="007D41F7"/>
    <w:rPr>
      <w:rFonts w:cstheme="majorBidi"/>
      <w:b/>
      <w:bCs/>
      <w:color w:val="2F5496" w:themeColor="accent1" w:themeShade="BF"/>
    </w:rPr>
  </w:style>
  <w:style w:type="character" w:customStyle="1" w:styleId="70">
    <w:name w:val="标题 7 字符"/>
    <w:basedOn w:val="a0"/>
    <w:link w:val="7"/>
    <w:uiPriority w:val="9"/>
    <w:semiHidden/>
    <w:rsid w:val="007D41F7"/>
    <w:rPr>
      <w:rFonts w:cstheme="majorBidi"/>
      <w:b/>
      <w:bCs/>
      <w:color w:val="595959" w:themeColor="text1" w:themeTint="A6"/>
    </w:rPr>
  </w:style>
  <w:style w:type="character" w:customStyle="1" w:styleId="80">
    <w:name w:val="标题 8 字符"/>
    <w:basedOn w:val="a0"/>
    <w:link w:val="8"/>
    <w:uiPriority w:val="9"/>
    <w:semiHidden/>
    <w:rsid w:val="007D41F7"/>
    <w:rPr>
      <w:rFonts w:cstheme="majorBidi"/>
      <w:color w:val="595959" w:themeColor="text1" w:themeTint="A6"/>
    </w:rPr>
  </w:style>
  <w:style w:type="character" w:customStyle="1" w:styleId="90">
    <w:name w:val="标题 9 字符"/>
    <w:basedOn w:val="a0"/>
    <w:link w:val="9"/>
    <w:uiPriority w:val="9"/>
    <w:semiHidden/>
    <w:rsid w:val="007D41F7"/>
    <w:rPr>
      <w:rFonts w:eastAsiaTheme="majorEastAsia" w:cstheme="majorBidi"/>
      <w:color w:val="595959" w:themeColor="text1" w:themeTint="A6"/>
    </w:rPr>
  </w:style>
  <w:style w:type="paragraph" w:styleId="a3">
    <w:name w:val="Title"/>
    <w:basedOn w:val="a"/>
    <w:next w:val="a"/>
    <w:link w:val="a4"/>
    <w:uiPriority w:val="10"/>
    <w:qFormat/>
    <w:rsid w:val="007D41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41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41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41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41F7"/>
    <w:pPr>
      <w:spacing w:before="160"/>
      <w:jc w:val="center"/>
    </w:pPr>
    <w:rPr>
      <w:i/>
      <w:iCs/>
      <w:color w:val="404040" w:themeColor="text1" w:themeTint="BF"/>
    </w:rPr>
  </w:style>
  <w:style w:type="character" w:customStyle="1" w:styleId="a8">
    <w:name w:val="引用 字符"/>
    <w:basedOn w:val="a0"/>
    <w:link w:val="a7"/>
    <w:uiPriority w:val="29"/>
    <w:rsid w:val="007D41F7"/>
    <w:rPr>
      <w:i/>
      <w:iCs/>
      <w:color w:val="404040" w:themeColor="text1" w:themeTint="BF"/>
    </w:rPr>
  </w:style>
  <w:style w:type="paragraph" w:styleId="a9">
    <w:name w:val="List Paragraph"/>
    <w:basedOn w:val="a"/>
    <w:uiPriority w:val="34"/>
    <w:qFormat/>
    <w:rsid w:val="007D41F7"/>
    <w:pPr>
      <w:ind w:left="720"/>
      <w:contextualSpacing/>
    </w:pPr>
  </w:style>
  <w:style w:type="character" w:styleId="aa">
    <w:name w:val="Intense Emphasis"/>
    <w:basedOn w:val="a0"/>
    <w:uiPriority w:val="21"/>
    <w:qFormat/>
    <w:rsid w:val="007D41F7"/>
    <w:rPr>
      <w:i/>
      <w:iCs/>
      <w:color w:val="2F5496" w:themeColor="accent1" w:themeShade="BF"/>
    </w:rPr>
  </w:style>
  <w:style w:type="paragraph" w:styleId="ab">
    <w:name w:val="Intense Quote"/>
    <w:basedOn w:val="a"/>
    <w:next w:val="a"/>
    <w:link w:val="ac"/>
    <w:uiPriority w:val="30"/>
    <w:qFormat/>
    <w:rsid w:val="007D4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41F7"/>
    <w:rPr>
      <w:i/>
      <w:iCs/>
      <w:color w:val="2F5496" w:themeColor="accent1" w:themeShade="BF"/>
    </w:rPr>
  </w:style>
  <w:style w:type="character" w:styleId="ad">
    <w:name w:val="Intense Reference"/>
    <w:basedOn w:val="a0"/>
    <w:uiPriority w:val="32"/>
    <w:qFormat/>
    <w:rsid w:val="007D41F7"/>
    <w:rPr>
      <w:b/>
      <w:bCs/>
      <w:smallCaps/>
      <w:color w:val="2F5496" w:themeColor="accent1" w:themeShade="BF"/>
      <w:spacing w:val="5"/>
    </w:rPr>
  </w:style>
  <w:style w:type="paragraph" w:styleId="ae">
    <w:name w:val="header"/>
    <w:basedOn w:val="a"/>
    <w:link w:val="af"/>
    <w:uiPriority w:val="99"/>
    <w:unhideWhenUsed/>
    <w:rsid w:val="004608B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608B9"/>
    <w:rPr>
      <w:sz w:val="18"/>
      <w:szCs w:val="18"/>
    </w:rPr>
  </w:style>
  <w:style w:type="paragraph" w:styleId="af0">
    <w:name w:val="footer"/>
    <w:basedOn w:val="a"/>
    <w:link w:val="af1"/>
    <w:uiPriority w:val="99"/>
    <w:unhideWhenUsed/>
    <w:rsid w:val="004608B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608B9"/>
    <w:rPr>
      <w:sz w:val="18"/>
      <w:szCs w:val="18"/>
    </w:rPr>
  </w:style>
  <w:style w:type="table" w:styleId="af2">
    <w:name w:val="Table Grid"/>
    <w:basedOn w:val="a1"/>
    <w:uiPriority w:val="59"/>
    <w:rsid w:val="004608B9"/>
    <w:pPr>
      <w:spacing w:after="0" w:line="240" w:lineRule="auto"/>
    </w:pPr>
    <w:rPr>
      <w:rFonts w:ascii="Cambria" w:hAnsi="Cambria" w:cs="Times New Roman"/>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501321"/>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501321"/>
    <w:rPr>
      <w:rFonts w:ascii="等线" w:eastAsia="等线" w:hAnsi="等线"/>
      <w:noProof/>
    </w:rPr>
  </w:style>
  <w:style w:type="paragraph" w:customStyle="1" w:styleId="EndNoteBibliography">
    <w:name w:val="EndNote Bibliography"/>
    <w:basedOn w:val="a"/>
    <w:link w:val="EndNoteBibliography0"/>
    <w:rsid w:val="00501321"/>
    <w:pPr>
      <w:spacing w:line="240" w:lineRule="auto"/>
      <w:jc w:val="both"/>
    </w:pPr>
    <w:rPr>
      <w:rFonts w:ascii="等线" w:eastAsia="等线" w:hAnsi="等线"/>
      <w:noProof/>
    </w:rPr>
  </w:style>
  <w:style w:type="character" w:customStyle="1" w:styleId="EndNoteBibliography0">
    <w:name w:val="EndNote Bibliography 字符"/>
    <w:basedOn w:val="a0"/>
    <w:link w:val="EndNoteBibliography"/>
    <w:rsid w:val="00501321"/>
    <w:rPr>
      <w:rFonts w:ascii="等线" w:eastAsia="等线" w:hAnsi="等线"/>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57FF8-396A-4632-AA66-DDCFB0DBB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18</Pages>
  <Words>5961</Words>
  <Characters>33983</Characters>
  <Application>Microsoft Office Word</Application>
  <DocSecurity>0</DocSecurity>
  <Lines>283</Lines>
  <Paragraphs>79</Paragraphs>
  <ScaleCrop>false</ScaleCrop>
  <Company/>
  <LinksUpToDate>false</LinksUpToDate>
  <CharactersWithSpaces>39865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 yan</dc:creator>
  <cp:keywords/>
  <dc:description/>
  <cp:lastModifiedBy>ju yan</cp:lastModifiedBy>
  <cp:revision>26</cp:revision>
  <dcterms:created xsi:type="dcterms:W3CDTF">2026-09-17T02:57:00Z</dcterms:created>
  <dcterms:modified xsi:type="dcterms:W3CDTF">2026-09-19T06:02:00Z</dcterms:modified>
</cp:coreProperties>
</file>