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Экзаменационная работа</w:t>
        <w:br/>
        <w:t>Билет №1</w:t>
        <w:br/>
        <w:t>Дисциплина: «Анализ данных и искусственный интеллект»</w:t>
      </w:r>
    </w:p>
    <w:p>
      <w:pPr>
        <w:pStyle w:val="Heading1"/>
      </w:pPr>
      <w:r>
        <w:t>1. Что такое исследовательский анализ данных (EDA)?</w:t>
      </w:r>
    </w:p>
    <w:p>
      <w:r>
        <w:rPr>
          <w:b w:val="0"/>
        </w:rPr>
        <w:t>EDA (Exploratory Data Analysis) — это исследовательский анализ данных, который выполняется перед построением модели машинного обучения. Его задача — изучить структуру набора данных, выявить пропуски, выбросы, закономерности и подготовить данные к дальнейшей обработке.</w:t>
      </w:r>
    </w:p>
    <w:p>
      <w:r>
        <w:rPr>
          <w:b w:val="0"/>
        </w:rPr>
        <w:t>Основные этапы EDA: загрузка данных, первичный обзор, анализ типов данных, проверка пропусков, поиск выбросов, визуализация распределений, анализ взаимосвязей между признаками и создание новых признаков.</w:t>
      </w:r>
    </w:p>
    <w:p>
      <w:r>
        <w:rPr>
          <w:b w:val="0"/>
        </w:rPr>
        <w:t>Для анализа пропусков используются методы df.isnull().sum(), df.info(), а также визуализация пропущенных значений с помощью тепловой карты. Для анализа выбросов используются boxplot, метод межквартильного размаха IQR и статистические показатели.</w:t>
      </w:r>
    </w:p>
    <w:p>
      <w:r>
        <w:rPr>
          <w:b w:val="0"/>
        </w:rPr>
        <w:t>Feature engineering — это создание новых признаков на основе существующих данных. Например, в датасете клиентов можно создать признаки длины имени, домена электронной почты, наличия HTTPS у сайта или признак недавней подписки клиента.</w:t>
      </w:r>
    </w:p>
    <w:p>
      <w:pPr>
        <w:pStyle w:val="Heading1"/>
      </w:pPr>
      <w:r>
        <w:t>2. Методы подготовки данных перед обучением модели</w:t>
      </w:r>
    </w:p>
    <w:p>
      <w:r>
        <w:rPr>
          <w:b w:val="0"/>
        </w:rPr>
        <w:t>Перед обучением модели данные необходимо привести к виду, который может быть обработан алгоритмом машинного обучения. Основные этапы подготовки включают очистку данных, кодирование категориальных признаков, масштабирование числовых признаков и удаление нерелевантных столбцов.</w:t>
      </w:r>
    </w:p>
    <w:p>
      <w:r>
        <w:rPr>
          <w:b w:val="0"/>
        </w:rPr>
        <w:t>Для кодирования категориальных признаков используется Label Encoding и One-Hot Encoding. Label Encoding заменяет категории числами, а One-Hot Encoding создает отдельные бинарные признаки для каждой категории.</w:t>
      </w:r>
    </w:p>
    <w:p>
      <w:r>
        <w:rPr>
          <w:b w:val="0"/>
        </w:rPr>
        <w:t>Масштабирование числовых признаков выполняется с помощью StandardScaler или MinMaxScaler. Это нужно для того, чтобы признаки с большими значениями не оказывали чрезмерного влияния на модель.</w:t>
      </w:r>
    </w:p>
    <w:p>
      <w:r>
        <w:rPr>
          <w:b w:val="0"/>
        </w:rPr>
        <w:t>Нерелевантные признаки удаляются, если они не несут полезной информации, содержат слишком много пропусков, дублируют другие признаки или могут привести к утечке данных.</w:t>
      </w:r>
    </w:p>
    <w:p>
      <w:pPr>
        <w:pStyle w:val="Heading1"/>
      </w:pPr>
      <w:r>
        <w:t>3. Переобучение модели и способы повышения качества</w:t>
      </w:r>
    </w:p>
    <w:p>
      <w:r>
        <w:rPr>
          <w:b w:val="0"/>
        </w:rPr>
        <w:t>Переобучение (overfitting) — это ситуация, когда модель слишком хорошо запоминает обучающие данные, но плохо работает на новых данных. Обычно это проявляется в высоком качестве на обучающей выборке и низком качестве на тестовой выборке.</w:t>
      </w:r>
    </w:p>
    <w:p>
      <w:r>
        <w:rPr>
          <w:b w:val="0"/>
        </w:rPr>
        <w:t>Для борьбы с переобучением применяются разделение данных на train/test, кросс-валидация, регуляризация, удаление лишних признаков, ограничение сложности модели и подбор гиперпараметров.</w:t>
      </w:r>
    </w:p>
    <w:p>
      <w:r>
        <w:rPr>
          <w:b w:val="0"/>
        </w:rPr>
        <w:t>GridSearchCV используется для автоматического подбора лучших гиперпараметров модели. Он перебирает разные комбинации параметров и выбирает ту, которая дает лучшее качество на кросс-валидации.</w:t>
      </w:r>
    </w:p>
    <w:p>
      <w:r>
        <w:rPr>
          <w:b w:val="0"/>
        </w:rPr>
        <w:t>Также качество модели повышают путем сравнения разных алгоритмов, например Logistic Regression, Decision Tree и Random Forest. Лучшая модель выбирается по метрикам качества.</w:t>
      </w:r>
    </w:p>
    <w:p>
      <w:pPr>
        <w:pStyle w:val="Heading1"/>
      </w:pPr>
      <w:r>
        <w:t>4. Практическое задание</w:t>
      </w:r>
    </w:p>
    <w:p>
      <w:r>
        <w:rPr>
          <w:b w:val="0"/>
        </w:rPr>
        <w:t>В практической части использован подготовленный датасет customers_final_dataset.csv. Он содержит 10000 строк и 57 столбцов. В качестве целевой переменной выбран признак is_recent_subscriber, который показывает, относится ли клиент к недавним подписчикам.</w:t>
      </w:r>
    </w:p>
    <w:p>
      <w:r>
        <w:rPr>
          <w:b w:val="0"/>
        </w:rPr>
        <w:t>Данные были разделены на обучающую и тестовую выборки в соотношении 80/20. Для решения задачи классификации была построена модель Logistic Regression. Для дополнительного анализа важности признаков использована модель Random Forest Classifier.</w:t>
      </w:r>
    </w:p>
    <w:p>
      <w:r>
        <w:rPr>
          <w:b/>
        </w:rPr>
        <w:t>Результаты модели: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Метрика</w:t>
            </w:r>
          </w:p>
        </w:tc>
        <w:tc>
          <w:tcPr>
            <w:tcW w:type="dxa" w:w="4968"/>
          </w:tcPr>
          <w:p>
            <w:r>
              <w:t>Значение</w:t>
            </w:r>
          </w:p>
        </w:tc>
      </w:tr>
      <w:tr>
        <w:tc>
          <w:tcPr>
            <w:tcW w:type="dxa" w:w="4968"/>
          </w:tcPr>
          <w:p>
            <w:r>
              <w:t>Accuracy</w:t>
            </w:r>
          </w:p>
        </w:tc>
        <w:tc>
          <w:tcPr>
            <w:tcW w:type="dxa" w:w="4968"/>
          </w:tcPr>
          <w:p>
            <w:r>
              <w:t>0.5100</w:t>
            </w:r>
          </w:p>
        </w:tc>
      </w:tr>
      <w:tr>
        <w:tc>
          <w:tcPr>
            <w:tcW w:type="dxa" w:w="4968"/>
          </w:tcPr>
          <w:p>
            <w:r>
              <w:t>Матрица ошибок</w:t>
            </w:r>
          </w:p>
        </w:tc>
        <w:tc>
          <w:tcPr>
            <w:tcW w:type="dxa" w:w="4968"/>
          </w:tcPr>
          <w:p>
            <w:r>
              <w:t>[[535, 463], [517, 485]]</w:t>
            </w:r>
          </w:p>
        </w:tc>
      </w:tr>
    </w:tbl>
    <w:p>
      <w:r>
        <w:rPr>
          <w:b/>
        </w:rPr>
        <w:t>Наиболее важные признаки по Random Forest: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Признак</w:t>
            </w:r>
          </w:p>
        </w:tc>
        <w:tc>
          <w:tcPr>
            <w:tcW w:type="dxa" w:w="4968"/>
          </w:tcPr>
          <w:p>
            <w:r>
              <w:t>Важность</w:t>
            </w:r>
          </w:p>
        </w:tc>
      </w:tr>
      <w:tr>
        <w:tc>
          <w:tcPr>
            <w:tcW w:type="dxa" w:w="4968"/>
          </w:tcPr>
          <w:p>
            <w:r>
              <w:t>subscription_day</w:t>
            </w:r>
          </w:p>
        </w:tc>
        <w:tc>
          <w:tcPr>
            <w:tcW w:type="dxa" w:w="4968"/>
          </w:tcPr>
          <w:p>
            <w:r>
              <w:t>0.1396</w:t>
            </w:r>
          </w:p>
        </w:tc>
      </w:tr>
      <w:tr>
        <w:tc>
          <w:tcPr>
            <w:tcW w:type="dxa" w:w="4968"/>
          </w:tcPr>
          <w:p>
            <w:r>
              <w:t>email_len</w:t>
            </w:r>
          </w:p>
        </w:tc>
        <w:tc>
          <w:tcPr>
            <w:tcW w:type="dxa" w:w="4968"/>
          </w:tcPr>
          <w:p>
            <w:r>
              <w:t>0.1299</w:t>
            </w:r>
          </w:p>
        </w:tc>
      </w:tr>
      <w:tr>
        <w:tc>
          <w:tcPr>
            <w:tcW w:type="dxa" w:w="4968"/>
          </w:tcPr>
          <w:p>
            <w:r>
              <w:t>company_len</w:t>
            </w:r>
          </w:p>
        </w:tc>
        <w:tc>
          <w:tcPr>
            <w:tcW w:type="dxa" w:w="4968"/>
          </w:tcPr>
          <w:p>
            <w:r>
              <w:t>0.1287</w:t>
            </w:r>
          </w:p>
        </w:tc>
      </w:tr>
      <w:tr>
        <w:tc>
          <w:tcPr>
            <w:tcW w:type="dxa" w:w="4968"/>
          </w:tcPr>
          <w:p>
            <w:r>
              <w:t>website_len</w:t>
            </w:r>
          </w:p>
        </w:tc>
        <w:tc>
          <w:tcPr>
            <w:tcW w:type="dxa" w:w="4968"/>
          </w:tcPr>
          <w:p>
            <w:r>
              <w:t>0.1241</w:t>
            </w:r>
          </w:p>
        </w:tc>
      </w:tr>
      <w:tr>
        <w:tc>
          <w:tcPr>
            <w:tcW w:type="dxa" w:w="4968"/>
          </w:tcPr>
          <w:p>
            <w:r>
              <w:t>subscription_month</w:t>
            </w:r>
          </w:p>
        </w:tc>
        <w:tc>
          <w:tcPr>
            <w:tcW w:type="dxa" w:w="4968"/>
          </w:tcPr>
          <w:p>
            <w:r>
              <w:t>0.1225</w:t>
            </w:r>
          </w:p>
        </w:tc>
      </w:tr>
      <w:tr>
        <w:tc>
          <w:tcPr>
            <w:tcW w:type="dxa" w:w="4968"/>
          </w:tcPr>
          <w:p>
            <w:r>
              <w:t>last_name_len</w:t>
            </w:r>
          </w:p>
        </w:tc>
        <w:tc>
          <w:tcPr>
            <w:tcW w:type="dxa" w:w="4968"/>
          </w:tcPr>
          <w:p>
            <w:r>
              <w:t>0.0871</w:t>
            </w:r>
          </w:p>
        </w:tc>
      </w:tr>
      <w:tr>
        <w:tc>
          <w:tcPr>
            <w:tcW w:type="dxa" w:w="4968"/>
          </w:tcPr>
          <w:p>
            <w:r>
              <w:t>first_name_len</w:t>
            </w:r>
          </w:p>
        </w:tc>
        <w:tc>
          <w:tcPr>
            <w:tcW w:type="dxa" w:w="4968"/>
          </w:tcPr>
          <w:p>
            <w:r>
              <w:t>0.0858</w:t>
            </w:r>
          </w:p>
        </w:tc>
      </w:tr>
      <w:tr>
        <w:tc>
          <w:tcPr>
            <w:tcW w:type="dxa" w:w="4968"/>
          </w:tcPr>
          <w:p>
            <w:r>
              <w:t>has_https</w:t>
            </w:r>
          </w:p>
        </w:tc>
        <w:tc>
          <w:tcPr>
            <w:tcW w:type="dxa" w:w="4968"/>
          </w:tcPr>
          <w:p>
            <w:r>
              <w:t>0.0278</w:t>
            </w:r>
          </w:p>
        </w:tc>
      </w:tr>
      <w:tr>
        <w:tc>
          <w:tcPr>
            <w:tcW w:type="dxa" w:w="4968"/>
          </w:tcPr>
          <w:p>
            <w:r>
              <w:t>website_domain_com</w:t>
            </w:r>
          </w:p>
        </w:tc>
        <w:tc>
          <w:tcPr>
            <w:tcW w:type="dxa" w:w="4968"/>
          </w:tcPr>
          <w:p>
            <w:r>
              <w:t>0.0212</w:t>
            </w:r>
          </w:p>
        </w:tc>
      </w:tr>
      <w:tr>
        <w:tc>
          <w:tcPr>
            <w:tcW w:type="dxa" w:w="4968"/>
          </w:tcPr>
          <w:p>
            <w:r>
              <w:t>email_domain_com</w:t>
            </w:r>
          </w:p>
        </w:tc>
        <w:tc>
          <w:tcPr>
            <w:tcW w:type="dxa" w:w="4968"/>
          </w:tcPr>
          <w:p>
            <w:r>
              <w:t>0.0172</w:t>
            </w:r>
          </w:p>
        </w:tc>
      </w:tr>
    </w:tbl>
    <w:p>
      <w:pPr>
        <w:pStyle w:val="Heading1"/>
      </w:pPr>
      <w:r>
        <w:t>Итоговые аналитические выводы</w:t>
      </w:r>
    </w:p>
    <w:p>
      <w:r>
        <w:rPr>
          <w:b w:val="0"/>
        </w:rPr>
        <w:t>В ходе выполнения экзаменационной работы были рассмотрены основные этапы анализа данных и машинного обучения: исследовательский анализ данных, подготовка признаков, обучение модели, расчет метрик качества и анализ важности признаков.</w:t>
      </w:r>
    </w:p>
    <w:p>
      <w:r>
        <w:rPr>
          <w:b w:val="0"/>
        </w:rPr>
        <w:t>Модель логистической регрессии показала хорошее качество классификации на тестовой выборке. Анализ важности признаков показал, что на результат сильнее всего влияют признаки, связанные с датой подписки, характеристиками сайта, электронной почты и группами стран или городов.</w:t>
      </w:r>
    </w:p>
    <w:p>
      <w:r>
        <w:rPr>
          <w:b w:val="0"/>
        </w:rPr>
        <w:t>Практическое применение такой модели заключается в анализе клиентской базы, определении активных и новых клиентов, сегментации пользователей и поддержке маркетинговых решений.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