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F5C09F">
      <w:pPr>
        <w:numPr>
          <w:ilvl w:val="0"/>
          <w:numId w:val="1"/>
        </w:numPr>
        <w:outlineLvl w:val="0"/>
        <w:rPr>
          <w:rFonts w:ascii="宋体" w:hAnsi="宋体" w:eastAsia="宋体" w:cs="宋体"/>
          <w:sz w:val="36"/>
          <w:szCs w:val="36"/>
        </w:rPr>
      </w:pPr>
      <w:r>
        <w:rPr>
          <w:rFonts w:ascii="宋体" w:hAnsi="宋体" w:eastAsia="宋体" w:cs="宋体"/>
          <w:sz w:val="36"/>
          <w:szCs w:val="36"/>
        </w:rPr>
        <w:t>赛题量化指标</w:t>
      </w:r>
      <w:bookmarkStart w:id="0" w:name="_GoBack"/>
      <w:bookmarkEnd w:id="0"/>
    </w:p>
    <w:p w14:paraId="6C5D9CF8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推理调用次数不超过 10^3 次； </w:t>
      </w:r>
    </w:p>
    <w:p w14:paraId="30FAB013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完整测试流程不超过5分钟； </w:t>
      </w:r>
    </w:p>
    <w:p w14:paraId="3F4C1A6E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原始训练数据依赖不超过10%； </w:t>
      </w:r>
    </w:p>
    <w:p w14:paraId="4910ED49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测试场景不少于3个； </w:t>
      </w:r>
    </w:p>
    <w:p w14:paraId="77D84BB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风险或漏洞类型不少于3类； </w:t>
      </w:r>
    </w:p>
    <w:p w14:paraId="10E3FA67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漏洞定位准确率不低于85%。</w:t>
      </w:r>
    </w:p>
    <w:p w14:paraId="4DE9CF1B">
      <w:pPr>
        <w:keepNext w:val="0"/>
        <w:keepLines w:val="0"/>
        <w:widowControl/>
        <w:suppressLineNumbers w:val="0"/>
      </w:pPr>
      <w:r>
        <w:rPr>
          <w:rFonts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迁移后性能保持率原则上不低于90%； </w:t>
      </w:r>
    </w:p>
    <w:p w14:paraId="1BA3CD96">
      <w:pPr>
        <w:keepNext w:val="0"/>
        <w:keepLines w:val="0"/>
        <w:widowControl/>
        <w:suppressLineNumbers w:val="0"/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 xml:space="preserve">迁移过程性能波动控制在±5%以内； </w:t>
      </w:r>
    </w:p>
    <w:p w14:paraId="4C514A53">
      <w:pPr>
        <w:keepNext w:val="0"/>
        <w:keepLines w:val="0"/>
        <w:widowControl/>
        <w:suppressLineNumbers w:val="0"/>
        <w:rPr>
          <w:rFonts w:ascii="宋体" w:hAnsi="宋体" w:eastAsia="宋体" w:cs="宋体"/>
          <w:sz w:val="24"/>
          <w:szCs w:val="24"/>
        </w:rPr>
      </w:pPr>
      <w:r>
        <w:rPr>
          <w:rFonts w:hint="default" w:ascii="Symbol" w:hAnsi="Symbol" w:eastAsia="Symbol" w:cs="Symbol"/>
          <w:sz w:val="24"/>
        </w:rPr>
        <w:t>·</w:t>
      </w:r>
      <w:r>
        <w:rPr>
          <w:rFonts w:hint="eastAsia" w:ascii="宋体" w:hAnsi="宋体" w:eastAsia="宋体" w:cs="宋体"/>
          <w:sz w:val="24"/>
        </w:rPr>
        <w:t xml:space="preserve">  </w:t>
      </w:r>
      <w:r>
        <w:t>正常输入下漏洞误判率不超过5%。</w:t>
      </w:r>
    </w:p>
    <w:p w14:paraId="14F7DA5C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p w14:paraId="3E0080C6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tbl>
      <w:tblPr>
        <w:tblStyle w:val="3"/>
        <w:tblW w:w="8801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74"/>
        <w:gridCol w:w="1700"/>
        <w:gridCol w:w="3378"/>
        <w:gridCol w:w="2649"/>
      </w:tblGrid>
      <w:tr w14:paraId="4F1D21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shd w:val="clear" w:color="auto" w:fill="D9EAF7"/>
            <w:vAlign w:val="center"/>
          </w:tcPr>
          <w:p w14:paraId="70B90A0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32"/>
              </w:rPr>
              <w:t>分类</w:t>
            </w:r>
          </w:p>
        </w:tc>
        <w:tc>
          <w:tcPr>
            <w:tcW w:w="1700" w:type="dxa"/>
            <w:shd w:val="clear" w:color="auto" w:fill="D9EAF7"/>
            <w:vAlign w:val="center"/>
          </w:tcPr>
          <w:p w14:paraId="2455920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32"/>
              </w:rPr>
              <w:t>具体指标</w:t>
            </w:r>
          </w:p>
        </w:tc>
        <w:tc>
          <w:tcPr>
            <w:tcW w:w="3378" w:type="dxa"/>
            <w:shd w:val="clear" w:color="auto" w:fill="D9EAF7"/>
            <w:vAlign w:val="center"/>
          </w:tcPr>
          <w:p w14:paraId="6B78322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32"/>
              </w:rPr>
              <w:t>赛题要求</w:t>
            </w:r>
          </w:p>
        </w:tc>
        <w:tc>
          <w:tcPr>
            <w:tcW w:w="2649" w:type="dxa"/>
            <w:shd w:val="clear" w:color="auto" w:fill="D9EAF7"/>
            <w:vAlign w:val="center"/>
          </w:tcPr>
          <w:p w14:paraId="304123C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/>
                <w:sz w:val="20"/>
                <w:szCs w:val="32"/>
              </w:rPr>
              <w:t>相关公式或含义</w:t>
            </w:r>
          </w:p>
        </w:tc>
      </w:tr>
      <w:tr w14:paraId="0B84A7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restart"/>
            <w:shd w:val="clear" w:color="auto" w:fill="F2F2F2"/>
            <w:vAlign w:val="center"/>
          </w:tcPr>
          <w:p w14:paraId="3CCB8B96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0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计算效率</w:t>
            </w:r>
          </w:p>
          <w:p w14:paraId="4239E2F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</w:p>
        </w:tc>
        <w:tc>
          <w:tcPr>
            <w:tcW w:w="1700" w:type="dxa"/>
            <w:vAlign w:val="center"/>
          </w:tcPr>
          <w:p w14:paraId="4F16A2B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模型推理调用次数</w:t>
            </w:r>
          </w:p>
        </w:tc>
        <w:tc>
          <w:tcPr>
            <w:tcW w:w="3378" w:type="dxa"/>
            <w:vAlign w:val="center"/>
          </w:tcPr>
          <w:p w14:paraId="3458563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单次完整测试流程中模型推理调用次数≤10³次。</w:t>
            </w:r>
            <w:r>
              <w:rPr>
                <w:rFonts w:hint="eastAsia" w:ascii="宋体" w:hAnsi="宋体" w:eastAsia="宋体" w:cs="宋体"/>
                <w:sz w:val="24"/>
                <w:szCs w:val="32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同时统计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36"/>
              </w:rPr>
              <w:t>前向调用批次数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和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36"/>
              </w:rPr>
              <w:t>累计样本推理数</w:t>
            </w:r>
            <w:r>
              <w:rPr>
                <w:rFonts w:hint="eastAsia" w:ascii="宋体" w:hAnsi="宋体" w:eastAsia="宋体" w:cs="宋体"/>
                <w:b/>
                <w:bCs/>
                <w:sz w:val="21"/>
                <w:szCs w:val="36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累计样本推理数≤950作为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lang w:val="en-US" w:eastAsia="zh-CN"/>
              </w:rPr>
              <w:t>同步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目标，预留余量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lang w:eastAsia="zh-CN"/>
              </w:rPr>
              <w:t>）</w:t>
            </w:r>
          </w:p>
        </w:tc>
        <w:tc>
          <w:tcPr>
            <w:tcW w:w="2649" w:type="dxa"/>
            <w:vAlign w:val="center"/>
          </w:tcPr>
          <w:p w14:paraId="5351B8F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模型推理指待测模型完成一次前向计算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lang w:val="en-US" w:eastAsia="zh-CN"/>
              </w:rPr>
              <w:t>还是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累计样本推理数。forward_call_count、sample_inference_count。</w:t>
            </w:r>
          </w:p>
        </w:tc>
      </w:tr>
      <w:tr w14:paraId="0BAAB6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tcBorders/>
            <w:shd w:val="clear" w:color="auto" w:fill="F2F2F2"/>
            <w:vAlign w:val="center"/>
          </w:tcPr>
          <w:p w14:paraId="6F8E331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</w:p>
        </w:tc>
        <w:tc>
          <w:tcPr>
            <w:tcW w:w="1700" w:type="dxa"/>
            <w:vAlign w:val="center"/>
          </w:tcPr>
          <w:p w14:paraId="79E01C7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完整测试流程耗时</w:t>
            </w:r>
          </w:p>
        </w:tc>
        <w:tc>
          <w:tcPr>
            <w:tcW w:w="3378" w:type="dxa"/>
            <w:vAlign w:val="center"/>
          </w:tcPr>
          <w:p w14:paraId="7495C47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单次完整测试流程执行时间≤5分钟，并支持并行计算优化。</w:t>
            </w:r>
            <w:r>
              <w:rPr>
                <w:rFonts w:hint="eastAsia" w:ascii="宋体" w:hAnsi="宋体" w:eastAsia="宋体" w:cs="宋体"/>
                <w:sz w:val="24"/>
                <w:szCs w:val="32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从读取配置开始，到结果统计及报告生成结束计时。</w:t>
            </w:r>
          </w:p>
        </w:tc>
        <w:tc>
          <w:tcPr>
            <w:tcW w:w="2649" w:type="dxa"/>
            <w:vAlign w:val="center"/>
          </w:tcPr>
          <w:p w14:paraId="4A90506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T_total = T_transfer + T_robustness + T_analysis + T_report</w:t>
            </w:r>
          </w:p>
        </w:tc>
      </w:tr>
      <w:tr w14:paraId="7893C3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tcBorders/>
            <w:shd w:val="clear" w:color="auto" w:fill="F2F2F2"/>
            <w:vAlign w:val="center"/>
          </w:tcPr>
          <w:p w14:paraId="79A43EC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</w:p>
        </w:tc>
        <w:tc>
          <w:tcPr>
            <w:tcW w:w="1700" w:type="dxa"/>
            <w:vAlign w:val="center"/>
          </w:tcPr>
          <w:p w14:paraId="67D6EC5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重复运行一致性</w:t>
            </w:r>
          </w:p>
        </w:tc>
        <w:tc>
          <w:tcPr>
            <w:tcW w:w="3378" w:type="dxa"/>
            <w:vAlign w:val="center"/>
          </w:tcPr>
          <w:p w14:paraId="363F888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相同条件下多次运行结果应具有一致性。</w:t>
            </w:r>
          </w:p>
        </w:tc>
        <w:tc>
          <w:tcPr>
            <w:tcW w:w="2649" w:type="dxa"/>
            <w:vAlign w:val="center"/>
          </w:tcPr>
          <w:p w14:paraId="263A469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均值、标准差和最大偏差</w:t>
            </w:r>
          </w:p>
        </w:tc>
      </w:tr>
      <w:tr w14:paraId="3DE247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restart"/>
            <w:shd w:val="clear" w:color="auto" w:fill="F2F2F2"/>
            <w:vAlign w:val="center"/>
          </w:tcPr>
          <w:p w14:paraId="2B8ADCA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数据依赖</w:t>
            </w:r>
          </w:p>
        </w:tc>
        <w:tc>
          <w:tcPr>
            <w:tcW w:w="1700" w:type="dxa"/>
            <w:vAlign w:val="center"/>
          </w:tcPr>
          <w:p w14:paraId="6767AE6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原始训练数据使用比例</w:t>
            </w:r>
          </w:p>
        </w:tc>
        <w:tc>
          <w:tcPr>
            <w:tcW w:w="3378" w:type="dxa"/>
            <w:vAlign w:val="center"/>
          </w:tcPr>
          <w:p w14:paraId="3B2479D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原则上不超过原始训练数据规模的10%，越低越好。</w:t>
            </w:r>
          </w:p>
        </w:tc>
        <w:tc>
          <w:tcPr>
            <w:tcW w:w="2649" w:type="dxa"/>
            <w:vAlign w:val="center"/>
          </w:tcPr>
          <w:p w14:paraId="1D949082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0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记录实际调用的训练样本数及其占完整训练集的比例。</w:t>
            </w:r>
          </w:p>
          <w:p w14:paraId="1BF86E8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R_data = N_used / N_full × 100%</w:t>
            </w:r>
          </w:p>
        </w:tc>
      </w:tr>
      <w:tr w14:paraId="164D98E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tcBorders/>
            <w:shd w:val="clear" w:color="auto" w:fill="F2F2F2"/>
            <w:vAlign w:val="center"/>
          </w:tcPr>
          <w:p w14:paraId="113A498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</w:p>
        </w:tc>
        <w:tc>
          <w:tcPr>
            <w:tcW w:w="1700" w:type="dxa"/>
            <w:vAlign w:val="center"/>
          </w:tcPr>
          <w:p w14:paraId="4AEC362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无标注目标环境测试</w:t>
            </w:r>
          </w:p>
        </w:tc>
        <w:tc>
          <w:tcPr>
            <w:tcW w:w="3378" w:type="dxa"/>
            <w:vAlign w:val="center"/>
          </w:tcPr>
          <w:p w14:paraId="14F032F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目标环境无标注条件下的测试策略。</w:t>
            </w:r>
          </w:p>
        </w:tc>
        <w:tc>
          <w:tcPr>
            <w:tcW w:w="2649" w:type="dxa"/>
            <w:vAlign w:val="center"/>
          </w:tcPr>
          <w:p w14:paraId="4440DEE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目标域测试阶段采用置信度、预测熵、输出一致性等代理指标；标签仅用于离线验证工具有效性。</w:t>
            </w:r>
          </w:p>
        </w:tc>
      </w:tr>
      <w:tr w14:paraId="1706B7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restart"/>
            <w:shd w:val="clear" w:color="auto" w:fill="F2F2F2"/>
            <w:vAlign w:val="center"/>
          </w:tcPr>
          <w:p w14:paraId="401980D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迁移能力</w:t>
            </w:r>
          </w:p>
        </w:tc>
        <w:tc>
          <w:tcPr>
            <w:tcW w:w="1700" w:type="dxa"/>
            <w:vAlign w:val="center"/>
          </w:tcPr>
          <w:p w14:paraId="02CF71B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迁移后有效性能保持率</w:t>
            </w:r>
          </w:p>
        </w:tc>
        <w:tc>
          <w:tcPr>
            <w:tcW w:w="3378" w:type="dxa"/>
            <w:vAlign w:val="center"/>
          </w:tcPr>
          <w:p w14:paraId="7150DAB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原则上≥90%。</w:t>
            </w:r>
            <w:r>
              <w:rPr>
                <w:rFonts w:hint="eastAsia" w:ascii="宋体" w:hAnsi="宋体" w:eastAsia="宋体" w:cs="宋体"/>
                <w:sz w:val="24"/>
                <w:szCs w:val="32"/>
                <w:highlight w:val="yellow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报告真实性能保持率和无标签迁移评分；真实标签只用于实验验证。</w:t>
            </w:r>
          </w:p>
        </w:tc>
        <w:tc>
          <w:tcPr>
            <w:tcW w:w="2649" w:type="dxa"/>
            <w:vAlign w:val="center"/>
          </w:tcPr>
          <w:p w14:paraId="4788821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R_transfer = P_after / P_before × 100%</w:t>
            </w:r>
          </w:p>
        </w:tc>
      </w:tr>
      <w:tr w14:paraId="5C869F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tcBorders/>
            <w:shd w:val="clear" w:color="auto" w:fill="F2F2F2"/>
            <w:vAlign w:val="center"/>
          </w:tcPr>
          <w:p w14:paraId="7C3AD2E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</w:p>
        </w:tc>
        <w:tc>
          <w:tcPr>
            <w:tcW w:w="1700" w:type="dxa"/>
            <w:vAlign w:val="center"/>
          </w:tcPr>
          <w:p w14:paraId="444ABE8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迁移稳定性</w:t>
            </w:r>
          </w:p>
        </w:tc>
        <w:tc>
          <w:tcPr>
            <w:tcW w:w="3378" w:type="dxa"/>
            <w:vAlign w:val="center"/>
          </w:tcPr>
          <w:p w14:paraId="60ACC16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多次迁移评估或迭代中的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性能波动控制在±5%以内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。</w:t>
            </w:r>
            <w:r>
              <w:rPr>
                <w:rFonts w:hint="eastAsia" w:ascii="宋体" w:hAnsi="宋体" w:eastAsia="宋体" w:cs="宋体"/>
                <w:sz w:val="24"/>
                <w:szCs w:val="32"/>
              </w:rPr>
              <w:br w:type="textWrapping"/>
            </w:r>
          </w:p>
        </w:tc>
        <w:tc>
          <w:tcPr>
            <w:tcW w:w="2649" w:type="dxa"/>
            <w:vAlign w:val="center"/>
          </w:tcPr>
          <w:p w14:paraId="78A952CA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0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对多批次或多次运行结果统计均值、标准差和最大相对偏差。</w:t>
            </w:r>
          </w:p>
          <w:p w14:paraId="3E598A1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ascii="宋体" w:hAnsi="宋体" w:eastAsia="宋体"/>
                <w:b w:val="0"/>
                <w:sz w:val="18"/>
                <w:szCs w:val="28"/>
              </w:rPr>
              <w:t xml:space="preserve"> max|P_i-P/P|×100%</w:t>
            </w:r>
          </w:p>
        </w:tc>
      </w:tr>
      <w:tr w14:paraId="5D8A9C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tcBorders/>
            <w:shd w:val="clear" w:color="auto" w:fill="F2F2F2"/>
            <w:vAlign w:val="center"/>
          </w:tcPr>
          <w:p w14:paraId="33EE09D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</w:p>
        </w:tc>
        <w:tc>
          <w:tcPr>
            <w:tcW w:w="1700" w:type="dxa"/>
            <w:vAlign w:val="center"/>
          </w:tcPr>
          <w:p w14:paraId="063B10D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最差迁移性能</w:t>
            </w:r>
          </w:p>
        </w:tc>
        <w:tc>
          <w:tcPr>
            <w:tcW w:w="3378" w:type="dxa"/>
            <w:vAlign w:val="center"/>
          </w:tcPr>
          <w:p w14:paraId="2F130DD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给出不利迁移条件下的性能下限，不应出现不可恢复的性能崩溃。</w:t>
            </w:r>
          </w:p>
        </w:tc>
        <w:tc>
          <w:tcPr>
            <w:tcW w:w="2649" w:type="dxa"/>
            <w:vAlign w:val="center"/>
          </w:tcPr>
          <w:p w14:paraId="1E848CD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构造正常迁移、噪声迁移、极端模糊迁移等场景，记录最差结果。P_worst-transfer= min(P_1,...,P_n)</w:t>
            </w:r>
          </w:p>
        </w:tc>
      </w:tr>
      <w:tr w14:paraId="31B074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tcBorders/>
            <w:shd w:val="clear" w:color="auto" w:fill="F2F2F2"/>
            <w:vAlign w:val="center"/>
          </w:tcPr>
          <w:p w14:paraId="60EF3FE3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</w:p>
        </w:tc>
        <w:tc>
          <w:tcPr>
            <w:tcW w:w="1700" w:type="dxa"/>
            <w:vAlign w:val="center"/>
          </w:tcPr>
          <w:p w14:paraId="1E0F202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迁移失败检测</w:t>
            </w:r>
          </w:p>
        </w:tc>
        <w:tc>
          <w:tcPr>
            <w:tcW w:w="3378" w:type="dxa"/>
            <w:vAlign w:val="center"/>
          </w:tcPr>
          <w:p w14:paraId="451CF22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能够识别并标记明显失效情形。</w:t>
            </w:r>
            <w:r>
              <w:rPr>
                <w:rFonts w:hint="eastAsia" w:ascii="宋体" w:hAnsi="宋体" w:eastAsia="宋体" w:cs="宋体"/>
                <w:sz w:val="24"/>
                <w:szCs w:val="32"/>
              </w:rPr>
              <w:br w:type="textWrapping"/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设置风险分级和失败阈值，输出失败原因、场景和关键指标。</w:t>
            </w:r>
          </w:p>
        </w:tc>
        <w:tc>
          <w:tcPr>
            <w:tcW w:w="2649" w:type="dxa"/>
            <w:vAlign w:val="center"/>
          </w:tcPr>
          <w:p w14:paraId="19F5EF7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性能保持率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lang w:eastAsia="zh-CN"/>
              </w:rPr>
              <w:t>（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lang w:val="en-US" w:eastAsia="zh-CN"/>
              </w:rPr>
              <w:t>下降30%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lang w:eastAsia="zh-CN"/>
              </w:rPr>
              <w:t>）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、置信度或熵超过自定义阈值即触发告警。</w:t>
            </w:r>
          </w:p>
        </w:tc>
      </w:tr>
      <w:tr w14:paraId="01EF9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restart"/>
            <w:shd w:val="clear" w:color="auto" w:fill="F2F2F2"/>
            <w:vAlign w:val="center"/>
          </w:tcPr>
          <w:p w14:paraId="276C944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攻击与异常扰动鲁棒性</w:t>
            </w:r>
          </w:p>
        </w:tc>
        <w:tc>
          <w:tcPr>
            <w:tcW w:w="1700" w:type="dxa"/>
            <w:vAlign w:val="center"/>
          </w:tcPr>
          <w:p w14:paraId="24EAAAF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正常输入性能</w:t>
            </w:r>
          </w:p>
        </w:tc>
        <w:tc>
          <w:tcPr>
            <w:tcW w:w="3378" w:type="dxa"/>
            <w:vAlign w:val="center"/>
          </w:tcPr>
          <w:p w14:paraId="151571C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给出正常输入条件下的性能，作为鲁棒性基准。</w:t>
            </w:r>
          </w:p>
        </w:tc>
        <w:tc>
          <w:tcPr>
            <w:tcW w:w="2649" w:type="dxa"/>
            <w:vAlign w:val="center"/>
          </w:tcPr>
          <w:p w14:paraId="4924755A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统一记录准确率或任务核心性能、平均置信度等P_clean</w:t>
            </w:r>
          </w:p>
        </w:tc>
      </w:tr>
      <w:tr w14:paraId="48285B6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tcBorders/>
            <w:shd w:val="clear" w:color="auto" w:fill="F2F2F2"/>
            <w:vAlign w:val="center"/>
          </w:tcPr>
          <w:p w14:paraId="5740383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</w:p>
        </w:tc>
        <w:tc>
          <w:tcPr>
            <w:tcW w:w="1700" w:type="dxa"/>
            <w:vAlign w:val="center"/>
          </w:tcPr>
          <w:p w14:paraId="403F2D0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攻击条件下有效性能</w:t>
            </w:r>
          </w:p>
        </w:tc>
        <w:tc>
          <w:tcPr>
            <w:tcW w:w="3378" w:type="dxa"/>
            <w:vAlign w:val="center"/>
          </w:tcPr>
          <w:p w14:paraId="3CE3E3F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给出攻击或扰动后仍保持正确输出的比例，且不低于设定阈值。</w:t>
            </w:r>
          </w:p>
        </w:tc>
        <w:tc>
          <w:tcPr>
            <w:tcW w:w="2649" w:type="dxa"/>
            <w:vAlign w:val="center"/>
          </w:tcPr>
          <w:p w14:paraId="7A19859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测试FGSM、PGD及异常扰动P_attack = N_correct_attack / N_attack</w:t>
            </w:r>
          </w:p>
        </w:tc>
      </w:tr>
      <w:tr w14:paraId="3662C5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tcBorders/>
            <w:shd w:val="clear" w:color="auto" w:fill="F2F2F2"/>
            <w:vAlign w:val="center"/>
          </w:tcPr>
          <w:p w14:paraId="3C654482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</w:p>
        </w:tc>
        <w:tc>
          <w:tcPr>
            <w:tcW w:w="1700" w:type="dxa"/>
            <w:vAlign w:val="center"/>
          </w:tcPr>
          <w:p w14:paraId="36E877A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最坏情况性能下限</w:t>
            </w:r>
          </w:p>
        </w:tc>
        <w:tc>
          <w:tcPr>
            <w:tcW w:w="3378" w:type="dxa"/>
            <w:vAlign w:val="center"/>
          </w:tcPr>
          <w:p w14:paraId="425ED8C5">
            <w:pPr>
              <w:spacing w:after="0" w:line="240" w:lineRule="auto"/>
              <w:rPr>
                <w:rFonts w:hint="eastAsia"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highlight w:val="yellow"/>
              </w:rPr>
              <w:t>给出强扰动或最不利条件下的性能下限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。</w:t>
            </w:r>
          </w:p>
        </w:tc>
        <w:tc>
          <w:tcPr>
            <w:tcW w:w="2649" w:type="dxa"/>
            <w:vAlign w:val="center"/>
          </w:tcPr>
          <w:p w14:paraId="51E180F0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P_worst =min P_attack(a,ε)</w:t>
            </w:r>
          </w:p>
          <w:p w14:paraId="332522D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20"/>
                <w:lang w:val="en-US" w:eastAsia="zh-CN"/>
              </w:rPr>
              <w:t>a是</w:t>
            </w:r>
            <w:r>
              <w:rPr>
                <w:rFonts w:ascii="宋体" w:hAnsi="宋体" w:eastAsia="宋体" w:cs="宋体"/>
                <w:sz w:val="20"/>
                <w:szCs w:val="20"/>
              </w:rPr>
              <w:t>攻击类型</w:t>
            </w:r>
            <w:r>
              <w:rPr>
                <w:rFonts w:hint="eastAsia" w:ascii="宋体" w:hAnsi="宋体" w:eastAsia="宋体" w:cs="宋体"/>
                <w:sz w:val="20"/>
                <w:szCs w:val="20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sz w:val="20"/>
                <w:szCs w:val="20"/>
              </w:rPr>
              <w:t>ε</w:t>
            </w:r>
            <w:r>
              <w:rPr>
                <w:rFonts w:ascii="宋体" w:hAnsi="宋体" w:eastAsia="宋体" w:cs="宋体"/>
                <w:sz w:val="20"/>
                <w:szCs w:val="20"/>
              </w:rPr>
              <w:t>是扰动强度</w:t>
            </w:r>
          </w:p>
        </w:tc>
      </w:tr>
      <w:tr w14:paraId="0B984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tcBorders/>
            <w:shd w:val="clear" w:color="auto" w:fill="F2F2F2"/>
            <w:vAlign w:val="center"/>
          </w:tcPr>
          <w:p w14:paraId="7DC647C5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</w:p>
        </w:tc>
        <w:tc>
          <w:tcPr>
            <w:tcW w:w="1700" w:type="dxa"/>
            <w:vAlign w:val="center"/>
          </w:tcPr>
          <w:p w14:paraId="5C67F648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性能退化幅度</w:t>
            </w:r>
          </w:p>
        </w:tc>
        <w:tc>
          <w:tcPr>
            <w:tcW w:w="3378" w:type="dxa"/>
            <w:vAlign w:val="center"/>
          </w:tcPr>
          <w:p w14:paraId="7DF69D6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攻击前后性能下降比例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应可量化。</w:t>
            </w:r>
          </w:p>
        </w:tc>
        <w:tc>
          <w:tcPr>
            <w:tcW w:w="2649" w:type="dxa"/>
            <w:vAlign w:val="center"/>
          </w:tcPr>
          <w:p w14:paraId="7B8F36D4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绝对下降：P_clean-P_attack；相对下降：(P_c-P_a)/P_c×100%</w:t>
            </w:r>
          </w:p>
        </w:tc>
      </w:tr>
      <w:tr w14:paraId="6D780D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tcBorders/>
            <w:shd w:val="clear" w:color="auto" w:fill="F2F2F2"/>
            <w:vAlign w:val="center"/>
          </w:tcPr>
          <w:p w14:paraId="4D39C36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</w:p>
        </w:tc>
        <w:tc>
          <w:tcPr>
            <w:tcW w:w="1700" w:type="dxa"/>
            <w:vAlign w:val="center"/>
          </w:tcPr>
          <w:p w14:paraId="23CA277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扰动强度覆盖</w:t>
            </w:r>
          </w:p>
        </w:tc>
        <w:tc>
          <w:tcPr>
            <w:tcW w:w="3378" w:type="dxa"/>
            <w:vAlign w:val="center"/>
          </w:tcPr>
          <w:p w14:paraId="3FD24A8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  <w:lang w:val="en-US" w:eastAsia="zh-CN"/>
              </w:rPr>
              <w:t>反映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不同强度扰动下的鲁棒性差异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。</w:t>
            </w:r>
          </w:p>
        </w:tc>
        <w:tc>
          <w:tcPr>
            <w:tcW w:w="2649" w:type="dxa"/>
            <w:vAlign w:val="center"/>
          </w:tcPr>
          <w:p w14:paraId="55AC19F6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  <w:lang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比较不同攻击类型和不同ε下的性能变化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输出性能—强度曲线。</w:t>
            </w:r>
          </w:p>
        </w:tc>
      </w:tr>
      <w:tr w14:paraId="302177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shd w:val="clear" w:color="auto" w:fill="F2F2F2"/>
            <w:vAlign w:val="center"/>
          </w:tcPr>
          <w:p w14:paraId="2721E2A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场景适配</w:t>
            </w:r>
          </w:p>
        </w:tc>
        <w:tc>
          <w:tcPr>
            <w:tcW w:w="1700" w:type="dxa"/>
            <w:vAlign w:val="center"/>
          </w:tcPr>
          <w:p w14:paraId="42EDB4F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迁移与攻击叠加</w:t>
            </w:r>
          </w:p>
        </w:tc>
        <w:tc>
          <w:tcPr>
            <w:tcW w:w="3378" w:type="dxa"/>
            <w:vAlign w:val="center"/>
          </w:tcPr>
          <w:p w14:paraId="518C606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考虑迁移与攻击叠加条件下的测试需求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。</w:t>
            </w:r>
          </w:p>
        </w:tc>
        <w:tc>
          <w:tcPr>
            <w:tcW w:w="2649" w:type="dxa"/>
            <w:vAlign w:val="center"/>
          </w:tcPr>
          <w:p w14:paraId="14290BA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目标域迁移 → 攻击生成 → 性能与风险分析</w:t>
            </w:r>
          </w:p>
        </w:tc>
      </w:tr>
      <w:tr w14:paraId="193388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restart"/>
            <w:shd w:val="clear" w:color="auto" w:fill="F2F2F2"/>
            <w:vAlign w:val="center"/>
          </w:tcPr>
          <w:p w14:paraId="4A849DC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漏洞覆盖与定位</w:t>
            </w:r>
          </w:p>
        </w:tc>
        <w:tc>
          <w:tcPr>
            <w:tcW w:w="1700" w:type="dxa"/>
            <w:vAlign w:val="center"/>
          </w:tcPr>
          <w:p w14:paraId="08D93F6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风险或漏洞类型数量</w:t>
            </w:r>
          </w:p>
        </w:tc>
        <w:tc>
          <w:tcPr>
            <w:tcW w:w="3378" w:type="dxa"/>
            <w:vAlign w:val="center"/>
          </w:tcPr>
          <w:p w14:paraId="05469B1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不少于3类。</w:t>
            </w:r>
          </w:p>
        </w:tc>
        <w:tc>
          <w:tcPr>
            <w:tcW w:w="2649" w:type="dxa"/>
            <w:vAlign w:val="center"/>
          </w:tcPr>
          <w:p w14:paraId="325E7C9F">
            <w:pPr>
              <w:spacing w:after="0" w:line="240" w:lineRule="auto"/>
              <w:rPr>
                <w:rFonts w:hint="default" w:ascii="宋体" w:hAnsi="宋体" w:eastAsia="宋体" w:cs="宋体"/>
                <w:b w:val="0"/>
                <w:sz w:val="20"/>
                <w:szCs w:val="32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系统需能够区分不同风险类型</w:t>
            </w:r>
          </w:p>
          <w:p w14:paraId="493BFEF9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0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负迁移、对抗脆弱性、特征漂移</w:t>
            </w:r>
          </w:p>
        </w:tc>
      </w:tr>
      <w:tr w14:paraId="52F37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tcBorders/>
            <w:shd w:val="clear" w:color="auto" w:fill="F2F2F2"/>
            <w:vAlign w:val="center"/>
          </w:tcPr>
          <w:p w14:paraId="6E116F2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</w:p>
        </w:tc>
        <w:tc>
          <w:tcPr>
            <w:tcW w:w="1700" w:type="dxa"/>
            <w:vAlign w:val="center"/>
          </w:tcPr>
          <w:p w14:paraId="00F5C6FC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漏洞定位准确率</w:t>
            </w:r>
          </w:p>
        </w:tc>
        <w:tc>
          <w:tcPr>
            <w:tcW w:w="3378" w:type="dxa"/>
            <w:vAlign w:val="center"/>
          </w:tcPr>
          <w:p w14:paraId="7F2D9F7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≥85%。</w:t>
            </w:r>
          </w:p>
        </w:tc>
        <w:tc>
          <w:tcPr>
            <w:tcW w:w="2649" w:type="dxa"/>
            <w:vAlign w:val="center"/>
          </w:tcPr>
          <w:p w14:paraId="3C067771">
            <w:pPr>
              <w:spacing w:after="0" w:line="240" w:lineRule="auto"/>
              <w:rPr>
                <w:rFonts w:hint="eastAsia" w:ascii="宋体" w:hAnsi="宋体" w:eastAsia="宋体" w:cs="宋体"/>
                <w:b w:val="0"/>
                <w:sz w:val="20"/>
                <w:szCs w:val="20"/>
              </w:rPr>
            </w:pPr>
            <w:r>
              <w:rPr>
                <w:rFonts w:ascii="宋体" w:hAnsi="宋体" w:eastAsia="宋体" w:cs="宋体"/>
                <w:sz w:val="20"/>
                <w:szCs w:val="20"/>
              </w:rPr>
              <w:t>把已知注入的风险正确定位为对应漏洞类别或对应关键区域</w:t>
            </w:r>
          </w:p>
          <w:p w14:paraId="482103A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A_loc = N_correctly_located / N_known × 100%</w:t>
            </w:r>
          </w:p>
        </w:tc>
      </w:tr>
      <w:tr w14:paraId="709D7E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tcBorders/>
            <w:shd w:val="clear" w:color="auto" w:fill="F2F2F2"/>
            <w:vAlign w:val="center"/>
          </w:tcPr>
          <w:p w14:paraId="04072C6B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</w:p>
        </w:tc>
        <w:tc>
          <w:tcPr>
            <w:tcW w:w="1700" w:type="dxa"/>
            <w:vAlign w:val="center"/>
          </w:tcPr>
          <w:p w14:paraId="2AEA34E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触发路径与解释</w:t>
            </w:r>
          </w:p>
        </w:tc>
        <w:tc>
          <w:tcPr>
            <w:tcW w:w="3378" w:type="dxa"/>
            <w:vAlign w:val="center"/>
          </w:tcPr>
          <w:p w14:paraId="7AD1C53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输出漏洞触发路径或关键行为变化分析，并提供结构化或可视化解释。</w:t>
            </w:r>
          </w:p>
        </w:tc>
        <w:tc>
          <w:tcPr>
            <w:tcW w:w="2649" w:type="dxa"/>
            <w:vAlign w:val="center"/>
          </w:tcPr>
          <w:p w14:paraId="0E0E07A7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记录输入变化、模型输出变化、触发阈值、风险类别及热力图/曲线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lang w:eastAsia="zh-CN"/>
              </w:rPr>
              <w:t>，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形成“输入条件→模型行为→指标异常→风险结论”的链路。</w:t>
            </w:r>
          </w:p>
        </w:tc>
      </w:tr>
      <w:tr w14:paraId="58D21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vMerge w:val="continue"/>
            <w:tcBorders/>
            <w:shd w:val="clear" w:color="auto" w:fill="F2F2F2"/>
            <w:vAlign w:val="center"/>
          </w:tcPr>
          <w:p w14:paraId="219DB780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</w:p>
        </w:tc>
        <w:tc>
          <w:tcPr>
            <w:tcW w:w="1700" w:type="dxa"/>
            <w:vAlign w:val="center"/>
          </w:tcPr>
          <w:p w14:paraId="3961BA6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正常输入误判率</w:t>
            </w:r>
          </w:p>
        </w:tc>
        <w:tc>
          <w:tcPr>
            <w:tcW w:w="3378" w:type="dxa"/>
            <w:vAlign w:val="center"/>
          </w:tcPr>
          <w:p w14:paraId="1D78C3A9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正常输入被错误标记为风险的比例≤5%。</w:t>
            </w:r>
          </w:p>
        </w:tc>
        <w:tc>
          <w:tcPr>
            <w:tcW w:w="2649" w:type="dxa"/>
            <w:vAlign w:val="center"/>
          </w:tcPr>
          <w:p w14:paraId="347B533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设置独立正常场景，统计误报。FPR_risk = N_normal_flagged / N_normal × 100%</w:t>
            </w:r>
          </w:p>
        </w:tc>
      </w:tr>
      <w:tr w14:paraId="13FA9E9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074" w:type="dxa"/>
            <w:shd w:val="clear" w:color="auto" w:fill="F2F2F2"/>
            <w:vAlign w:val="center"/>
          </w:tcPr>
          <w:p w14:paraId="5A7D484E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典型测试场景</w:t>
            </w:r>
          </w:p>
        </w:tc>
        <w:tc>
          <w:tcPr>
            <w:tcW w:w="1700" w:type="dxa"/>
            <w:vAlign w:val="center"/>
          </w:tcPr>
          <w:p w14:paraId="2EE3227D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场景数量与覆盖</w:t>
            </w:r>
          </w:p>
        </w:tc>
        <w:tc>
          <w:tcPr>
            <w:tcW w:w="3378" w:type="dxa"/>
            <w:vAlign w:val="center"/>
          </w:tcPr>
          <w:p w14:paraId="7BA65F0F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  <w:highlight w:val="yellow"/>
              </w:rPr>
              <w:t>不少于3个代表性场景</w:t>
            </w: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，覆盖迁移异常、攻击/扰动失效、长期运行或条件变化可靠性问题。</w:t>
            </w:r>
          </w:p>
        </w:tc>
        <w:tc>
          <w:tcPr>
            <w:tcW w:w="2649" w:type="dxa"/>
            <w:vAlign w:val="center"/>
          </w:tcPr>
          <w:p w14:paraId="45DFE841">
            <w:pPr>
              <w:spacing w:after="0" w:line="240" w:lineRule="auto"/>
              <w:rPr>
                <w:rFonts w:hint="eastAsia" w:ascii="宋体" w:hAnsi="宋体" w:eastAsia="宋体" w:cs="宋体"/>
                <w:sz w:val="24"/>
                <w:szCs w:val="32"/>
              </w:rPr>
            </w:pPr>
            <w:r>
              <w:rPr>
                <w:rFonts w:hint="eastAsia" w:ascii="宋体" w:hAnsi="宋体" w:eastAsia="宋体" w:cs="宋体"/>
                <w:b w:val="0"/>
                <w:sz w:val="20"/>
                <w:szCs w:val="32"/>
              </w:rPr>
              <w:t>每个场景至少包含：基准、触发、结果、定位、结论。</w:t>
            </w:r>
          </w:p>
        </w:tc>
      </w:tr>
    </w:tbl>
    <w:p w14:paraId="5B865506">
      <w:pPr>
        <w:rPr>
          <w:rFonts w:hint="eastAsia" w:ascii="宋体" w:hAnsi="宋体" w:eastAsia="宋体" w:cs="宋体"/>
        </w:rPr>
      </w:pPr>
    </w:p>
    <w:p w14:paraId="10C21943">
      <w:pPr>
        <w:numPr>
          <w:numId w:val="0"/>
        </w:numPr>
        <w:rPr>
          <w:rFonts w:hint="eastAsia" w:ascii="宋体" w:hAnsi="宋体" w:eastAsia="宋体" w:cs="宋体"/>
          <w:sz w:val="24"/>
          <w:szCs w:val="24"/>
          <w:lang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  <w:embedRegular r:id="rId1" w:fontKey="{BD2C6A15-AED1-47B1-829F-08E6CBB82859}"/>
  </w:font>
  <w:font w:name="Cambria Math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FAFC88F"/>
    <w:multiLevelType w:val="singleLevel"/>
    <w:tmpl w:val="5FAFC88F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4734C3"/>
    <w:rsid w:val="4E47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5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2026-08-05T10:25:00Z</dcterms:created>
  <dc:creator>叶໌້ᮨ子ོ꧔ꦿ</dc:creator>
  <cp:lastModifiedBy>叶໌້ᮨ子ོ꧔ꦿ</cp:lastModifiedBy>
  <dcterms:modified xsi:type="dcterms:W3CDTF">2026-08-06T03:57:24Z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CCEA1D881B1B496D8614FCB0B1938DB1_11</vt:lpwstr>
  </property>
  <property fmtid="{D5CDD505-2E9C-101B-9397-08002B2CF9AE}" pid="4" name="KSOTemplateDocerSaveRecord">
    <vt:lpwstr>eyJoZGlkIjoiOGE3ODI3N2M2NTI4M2VlNjg4ZWQyYzdiODljZjY4ZTIiLCJ1c2VySWQiOiIxMTM5OTg2ODMxIn0=</vt:lpwstr>
  </property>
</Properties>
</file>