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PreformattedText"/>
        <w:bidi w:val="0"/>
        <w:spacing w:before="0" w:after="0"/>
        <w:jc w:val="left"/>
        <w:rPr/>
      </w:pPr>
      <w:r>
        <w:rPr/>
        <w:t>Review of RoadOcc</w:t>
      </w:r>
    </w:p>
    <w:p>
      <w:pPr>
        <w:pStyle w:val="PreformattedText"/>
        <w:bidi w:val="0"/>
        <w:spacing w:before="0" w:after="0"/>
        <w:jc w:val="left"/>
        <w:rPr/>
      </w:pPr>
      <w:r>
        <w:rPr/>
      </w:r>
    </w:p>
    <w:p>
      <w:pPr>
        <w:pStyle w:val="PreformattedText"/>
        <w:bidi w:val="0"/>
        <w:spacing w:before="0" w:after="0"/>
        <w:jc w:val="left"/>
        <w:rPr/>
      </w:pPr>
      <w:r>
        <w:rPr/>
        <w:t>Title. RoadOcc: Learning When to Persist, Transport, or Refresh Memory for Roadside Occupancy Prediction</w:t>
      </w:r>
    </w:p>
    <w:p>
      <w:pPr>
        <w:pStyle w:val="PreformattedText"/>
        <w:bidi w:val="0"/>
        <w:spacing w:before="0" w:after="0"/>
        <w:jc w:val="left"/>
        <w:rPr/>
      </w:pPr>
      <w:r>
        <w:rPr/>
      </w:r>
    </w:p>
    <w:p>
      <w:pPr>
        <w:pStyle w:val="PreformattedText"/>
        <w:bidi w:val="0"/>
        <w:spacing w:before="0" w:after="0"/>
        <w:jc w:val="left"/>
        <w:rPr/>
      </w:pPr>
      <w:r>
        <w:rPr/>
        <w:t>1. Summary</w:t>
      </w:r>
    </w:p>
    <w:p>
      <w:pPr>
        <w:pStyle w:val="PreformattedText"/>
        <w:bidi w:val="0"/>
        <w:spacing w:before="0" w:after="0"/>
        <w:jc w:val="left"/>
        <w:rPr/>
      </w:pPr>
      <w:r>
        <w:rPr/>
      </w:r>
    </w:p>
    <w:p>
      <w:pPr>
        <w:pStyle w:val="PreformattedText"/>
        <w:bidi w:val="0"/>
        <w:spacing w:before="0" w:after="0"/>
        <w:jc w:val="left"/>
        <w:rPr/>
      </w:pPr>
      <w:r>
        <w:rPr/>
        <w:t>This paper studies camera-only semantic occupancy from fixed roadside cameras. It argues that temporal fusion must determine not only where history should be read, but also whether the retrieved source remains semantically admissible. RoadOcc follows this decision chain with Dynamic-aware Cross-attention, multi-scale Voxel Velocity Estimation, and Velocity-guided Dynamic Sparse Fusion. For each selected voxel, the final module routes fixed-coordinate history, transported history, or current evidence through Persist, Transport, and Refresh. On InfraOcc, RoadOcc reports 65.29 overall mIoU, 32.37 dynamic mIoU, 89.98 static mIoU, Direct MAVE of 1.669 m/s, and DSR of 61.11.</w:t>
      </w:r>
    </w:p>
    <w:p>
      <w:pPr>
        <w:pStyle w:val="PreformattedText"/>
        <w:bidi w:val="0"/>
        <w:spacing w:before="0" w:after="0"/>
        <w:jc w:val="left"/>
        <w:rPr/>
      </w:pPr>
      <w:r>
        <w:rPr/>
      </w:r>
    </w:p>
    <w:p>
      <w:pPr>
        <w:pStyle w:val="PreformattedText"/>
        <w:bidi w:val="0"/>
        <w:spacing w:before="0" w:after="0"/>
        <w:jc w:val="left"/>
        <w:rPr/>
      </w:pPr>
      <w:r>
        <w:rPr/>
        <w:t>2. Strengths</w:t>
      </w:r>
    </w:p>
    <w:p>
      <w:pPr>
        <w:pStyle w:val="PreformattedText"/>
        <w:bidi w:val="0"/>
        <w:spacing w:before="0" w:after="0"/>
        <w:jc w:val="left"/>
        <w:rPr/>
      </w:pPr>
      <w:r>
        <w:rPr/>
      </w:r>
    </w:p>
    <w:p>
      <w:pPr>
        <w:pStyle w:val="PreformattedText"/>
        <w:bidi w:val="0"/>
        <w:spacing w:before="0" w:after="0"/>
        <w:jc w:val="left"/>
        <w:rPr/>
      </w:pPr>
      <w:r>
        <w:rPr/>
        <w:t>1. The paper identifies a concrete fixed-roadside failure mode. Static structure remains aligned in a persistent world frame, while moving objects invalidate same-coordinate historical reads. Separating address construction from source admission is intuitive, useful, and more testable than treating temporal fusion as one opaque weighting operation.</w:t>
      </w:r>
    </w:p>
    <w:p>
      <w:pPr>
        <w:pStyle w:val="PreformattedText"/>
        <w:bidi w:val="0"/>
        <w:spacing w:before="0" w:after="0"/>
        <w:jc w:val="left"/>
        <w:rPr/>
      </w:pPr>
      <w:r>
        <w:rPr/>
      </w:r>
    </w:p>
    <w:p>
      <w:pPr>
        <w:pStyle w:val="PreformattedText"/>
        <w:bidi w:val="0"/>
        <w:spacing w:before="0" w:after="0"/>
        <w:jc w:val="left"/>
        <w:rPr/>
      </w:pPr>
      <w:r>
        <w:rPr/>
        <w:t>2. The numerical evidence is strong and aligned with the claim. Relative to STCOcc, RoadOcc improves overall mIoU from 60.85 to 65.29, dynamic mIoU from 27.66 to 32.37, and static mIoU from 85.74 to 89.98. Direct MAVE decreases from 1.946 to 1.669, while DSR rises from 57.12 to 61.11. Reporting occupancy, motion error, and support recovery together reduces the risk that the gain comes from suppressing difficult dynamic predictions.</w:t>
      </w:r>
    </w:p>
    <w:p>
      <w:pPr>
        <w:pStyle w:val="PreformattedText"/>
        <w:bidi w:val="0"/>
        <w:spacing w:before="0" w:after="0"/>
        <w:jc w:val="left"/>
        <w:rPr/>
      </w:pPr>
      <w:r>
        <w:rPr/>
      </w:r>
    </w:p>
    <w:p>
      <w:pPr>
        <w:pStyle w:val="PreformattedText"/>
        <w:bidi w:val="0"/>
        <w:spacing w:before="0" w:after="0"/>
        <w:jc w:val="left"/>
        <w:rPr/>
      </w:pPr>
      <w:r>
        <w:rPr/>
        <w:t>3. The ablations largely isolate the proposed decision chain. Table 4 adds DCA, VVE, and P/T/R in sequence. Table 5 fixes model capacity and sparse-token budget while separating fixed-coordinate reading, VVE address correction, and source selection. Table 6 further distinguishes adaptive gating, explicit route states, and route-conditioned fusion over three seeds. Transfer to CRT-Fusion and STCOcc supports portability beyond one temporal backbone.</w:t>
      </w:r>
    </w:p>
    <w:p>
      <w:pPr>
        <w:pStyle w:val="PreformattedText"/>
        <w:bidi w:val="0"/>
        <w:spacing w:before="0" w:after="0"/>
        <w:jc w:val="left"/>
        <w:rPr/>
      </w:pPr>
      <w:r>
        <w:rPr/>
      </w:r>
    </w:p>
    <w:p>
      <w:pPr>
        <w:pStyle w:val="PreformattedText"/>
        <w:bidi w:val="0"/>
        <w:spacing w:before="0" w:after="0"/>
        <w:jc w:val="left"/>
        <w:rPr/>
      </w:pPr>
      <w:r>
        <w:rPr/>
        <w:t>4. The evaluation contract is unusually careful. Direct MAVE covers all ground-truth dynamic voxels, TP-MAVE is explicitly paired with DSR, and next-frame dynamic IoU tests whether the estimated motion preserves occupancy consistency. The supplement also separates GT-conditioned route diagnostics from end-to-end metrics.</w:t>
      </w:r>
    </w:p>
    <w:p>
      <w:pPr>
        <w:pStyle w:val="PreformattedText"/>
        <w:bidi w:val="0"/>
        <w:spacing w:before="0" w:after="0"/>
        <w:jc w:val="left"/>
        <w:rPr/>
      </w:pPr>
      <w:r>
        <w:rPr/>
      </w:r>
    </w:p>
    <w:p>
      <w:pPr>
        <w:pStyle w:val="PreformattedText"/>
        <w:bidi w:val="0"/>
        <w:spacing w:before="0" w:after="0"/>
        <w:jc w:val="left"/>
        <w:rPr/>
      </w:pPr>
      <w:r>
        <w:rPr/>
        <w:t>5. The paper is visually and logically coherent. The framework, method text, main-result analysis, and supplement now follow the same progression: where temporal evidence is needed, where history is read, and which source enters fusion. Implementation details concerning memory slots, queue reset, token budgets, target construction, and physical matching range are appropriately placed in the supplement.</w:t>
      </w:r>
    </w:p>
    <w:p>
      <w:pPr>
        <w:pStyle w:val="PreformattedText"/>
        <w:bidi w:val="0"/>
        <w:spacing w:before="0" w:after="0"/>
        <w:jc w:val="left"/>
        <w:rPr/>
      </w:pPr>
      <w:r>
        <w:rPr/>
      </w:r>
    </w:p>
    <w:p>
      <w:pPr>
        <w:pStyle w:val="PreformattedText"/>
        <w:bidi w:val="0"/>
        <w:spacing w:before="0" w:after="0"/>
        <w:jc w:val="left"/>
        <w:rPr/>
      </w:pPr>
      <w:r>
        <w:rPr/>
        <w:t>3. Weaknesses</w:t>
      </w:r>
    </w:p>
    <w:p>
      <w:pPr>
        <w:pStyle w:val="PreformattedText"/>
        <w:bidi w:val="0"/>
        <w:spacing w:before="0" w:after="0"/>
        <w:jc w:val="left"/>
        <w:rPr/>
      </w:pPr>
      <w:r>
        <w:rPr/>
      </w:r>
    </w:p>
    <w:p>
      <w:pPr>
        <w:pStyle w:val="PreformattedText"/>
        <w:bidi w:val="0"/>
        <w:spacing w:before="0" w:after="0"/>
        <w:jc w:val="left"/>
        <w:rPr/>
      </w:pPr>
      <w:r>
        <w:rPr/>
        <w:t>1. External validity is limited by the benchmark setting. All headline evidence is obtained under one InfraOcc protocol built from two fixed infrastructure units. The supplement explains the absence of another directly compatible dense roadside benchmark, and backbone transfer is useful, but neither establishes robustness to new sites, camera layouts, calibration perturbations, or environmental conditions.</w:t>
      </w:r>
    </w:p>
    <w:p>
      <w:pPr>
        <w:pStyle w:val="PreformattedText"/>
        <w:bidi w:val="0"/>
        <w:spacing w:before="0" w:after="0"/>
        <w:jc w:val="left"/>
        <w:rPr/>
      </w:pPr>
      <w:r>
        <w:rPr/>
      </w:r>
    </w:p>
    <w:p>
      <w:pPr>
        <w:pStyle w:val="PreformattedText"/>
        <w:bidi w:val="0"/>
        <w:spacing w:before="0" w:after="0"/>
        <w:jc w:val="left"/>
        <w:rPr/>
      </w:pPr>
      <w:r>
        <w:rPr/>
        <w:t>2. P/T/R represents semantic source admissibility rather than instance correspondence. Same-class, height-consistent support within a local radius can be ambiguous in crowded scenes containing nearby objects of the same class. The manuscript states this scope accurately, so this is a limitation of supervision fidelity rather than a contradiction in the method.</w:t>
      </w:r>
    </w:p>
    <w:p>
      <w:pPr>
        <w:pStyle w:val="PreformattedText"/>
        <w:bidi w:val="0"/>
        <w:spacing w:before="0" w:after="0"/>
        <w:jc w:val="left"/>
        <w:rPr/>
      </w:pPr>
      <w:r>
        <w:rPr/>
      </w:r>
    </w:p>
    <w:p>
      <w:pPr>
        <w:pStyle w:val="PreformattedText"/>
        <w:bidi w:val="0"/>
        <w:spacing w:before="0" w:after="0"/>
        <w:jc w:val="left"/>
        <w:rPr/>
      </w:pPr>
      <w:r>
        <w:rPr/>
        <w:t>3. The route visualizations are conditioned on ground-truth dynamic support. This is appropriate for isolating address and route decisions, but it does not characterize false-positive, missed, or unsupported predicted voxels. The end-to-end Dyn., Nxt., Direct MAVE, and DSR results mitigate this concern without fully replacing an all-prediction failure analysis.</w:t>
      </w:r>
    </w:p>
    <w:p>
      <w:pPr>
        <w:pStyle w:val="PreformattedText"/>
        <w:bidi w:val="0"/>
        <w:spacing w:before="0" w:after="0"/>
        <w:jc w:val="left"/>
        <w:rPr/>
      </w:pPr>
      <w:r>
        <w:rPr/>
      </w:r>
    </w:p>
    <w:p>
      <w:pPr>
        <w:pStyle w:val="PreformattedText"/>
        <w:bidi w:val="0"/>
        <w:spacing w:before="0" w:after="0"/>
        <w:jc w:val="left"/>
        <w:rPr/>
      </w:pPr>
      <w:r>
        <w:rPr/>
        <w:t>4. Statistical reporting is strongest only for the final routing control. Table 6 reports three-seed means and standard deviations, whereas the headline comparison, transfer study, and earlier component transitions are point estimates. The margins are substantial, but repeated headline runs or per-sequence confidence intervals would further strengthen the empirical claim.</w:t>
      </w:r>
    </w:p>
    <w:p>
      <w:pPr>
        <w:pStyle w:val="PreformattedText"/>
        <w:bidi w:val="0"/>
        <w:spacing w:before="0" w:after="0"/>
        <w:jc w:val="left"/>
        <w:rPr/>
      </w:pPr>
      <w:r>
        <w:rPr/>
      </w:r>
    </w:p>
    <w:p>
      <w:pPr>
        <w:pStyle w:val="PreformattedText"/>
        <w:bidi w:val="0"/>
        <w:spacing w:before="0" w:after="0"/>
        <w:jc w:val="left"/>
        <w:rPr/>
      </w:pPr>
      <w:r>
        <w:rPr/>
        <w:t>4. Questions</w:t>
      </w:r>
    </w:p>
    <w:p>
      <w:pPr>
        <w:pStyle w:val="PreformattedText"/>
        <w:bidi w:val="0"/>
        <w:spacing w:before="0" w:after="0"/>
        <w:jc w:val="left"/>
        <w:rPr/>
      </w:pPr>
      <w:r>
        <w:rPr/>
      </w:r>
    </w:p>
    <w:p>
      <w:pPr>
        <w:pStyle w:val="PreformattedText"/>
        <w:bidi w:val="0"/>
        <w:spacing w:before="0" w:after="0"/>
        <w:jc w:val="left"/>
        <w:rPr/>
      </w:pPr>
      <w:r>
        <w:rPr/>
        <w:t>1. How often does the same-class support rule admit multiple plausible historical objects, and how does routing behave in crowded same-class scenes?</w:t>
      </w:r>
    </w:p>
    <w:p>
      <w:pPr>
        <w:pStyle w:val="PreformattedText"/>
        <w:bidi w:val="0"/>
        <w:spacing w:before="0" w:after="0"/>
        <w:jc w:val="left"/>
        <w:rPr/>
      </w:pPr>
      <w:r>
        <w:rPr/>
      </w:r>
    </w:p>
    <w:p>
      <w:pPr>
        <w:pStyle w:val="PreformattedText"/>
        <w:bidi w:val="0"/>
        <w:spacing w:before="0" w:after="0"/>
        <w:jc w:val="left"/>
        <w:rPr/>
      </w:pPr>
      <w:r>
        <w:rPr/>
        <w:t>2. How robust is the routing chain to new camera configurations, temporal gaps, and calibration perturbations beyond the current benchmark protocol?</w:t>
      </w:r>
    </w:p>
    <w:p>
      <w:pPr>
        <w:pStyle w:val="PreformattedText"/>
        <w:bidi w:val="0"/>
        <w:spacing w:before="0" w:after="0"/>
        <w:jc w:val="left"/>
        <w:rPr/>
      </w:pPr>
      <w:r>
        <w:rPr/>
      </w:r>
    </w:p>
    <w:p>
      <w:pPr>
        <w:pStyle w:val="PreformattedText"/>
        <w:bidi w:val="0"/>
        <w:spacing w:before="0" w:after="0"/>
        <w:jc w:val="left"/>
        <w:rPr/>
      </w:pPr>
      <w:r>
        <w:rPr/>
        <w:t>3. For the CRT-Fusion transfer, does the TP-MAVE change primarily reflect broader dynamic support coverage, as suggested by the simultaneous DSR increase?</w:t>
      </w:r>
    </w:p>
    <w:p>
      <w:pPr>
        <w:pStyle w:val="PreformattedText"/>
        <w:bidi w:val="0"/>
        <w:spacing w:before="0" w:after="0"/>
        <w:jc w:val="left"/>
        <w:rPr/>
      </w:pPr>
      <w:r>
        <w:rPr/>
      </w:r>
    </w:p>
    <w:p>
      <w:pPr>
        <w:pStyle w:val="PreformattedText"/>
        <w:bidi w:val="0"/>
        <w:spacing w:before="0" w:after="0"/>
        <w:jc w:val="left"/>
        <w:rPr/>
      </w:pPr>
      <w:r>
        <w:rPr/>
        <w:t>5. ICLR scores</w:t>
      </w:r>
    </w:p>
    <w:p>
      <w:pPr>
        <w:pStyle w:val="PreformattedText"/>
        <w:bidi w:val="0"/>
        <w:spacing w:before="0" w:after="0"/>
        <w:jc w:val="left"/>
        <w:rPr/>
      </w:pPr>
      <w:r>
        <w:rPr/>
      </w:r>
    </w:p>
    <w:p>
      <w:pPr>
        <w:pStyle w:val="PreformattedText"/>
        <w:bidi w:val="0"/>
        <w:spacing w:before="0" w:after="0"/>
        <w:jc w:val="left"/>
        <w:rPr/>
      </w:pPr>
      <w:r>
        <w:rPr/>
        <w:t>Soundness. 3 out of 4. The formulation is coherent and the controlled evidence strongly supports the address-and-routing chain. Single-benchmark scope and limited uncertainty reporting prevent the highest score.</w:t>
      </w:r>
    </w:p>
    <w:p>
      <w:pPr>
        <w:pStyle w:val="PreformattedText"/>
        <w:bidi w:val="0"/>
        <w:spacing w:before="0" w:after="0"/>
        <w:jc w:val="left"/>
        <w:rPr/>
      </w:pPr>
      <w:r>
        <w:rPr/>
      </w:r>
    </w:p>
    <w:p>
      <w:pPr>
        <w:pStyle w:val="PreformattedText"/>
        <w:bidi w:val="0"/>
        <w:spacing w:before="0" w:after="0"/>
        <w:jc w:val="left"/>
        <w:rPr/>
      </w:pPr>
      <w:r>
        <w:rPr/>
        <w:t>Presentation. 4 out of 4. The paper is clear, compact, visually coherent, and explicit about what each diagnostic measures.</w:t>
      </w:r>
    </w:p>
    <w:p>
      <w:pPr>
        <w:pStyle w:val="PreformattedText"/>
        <w:bidi w:val="0"/>
        <w:spacing w:before="0" w:after="0"/>
        <w:jc w:val="left"/>
        <w:rPr/>
      </w:pPr>
      <w:r>
        <w:rPr/>
      </w:r>
    </w:p>
    <w:p>
      <w:pPr>
        <w:pStyle w:val="PreformattedText"/>
        <w:bidi w:val="0"/>
        <w:spacing w:before="0" w:after="0"/>
        <w:jc w:val="left"/>
        <w:rPr/>
      </w:pPr>
      <w:r>
        <w:rPr/>
        <w:t>Contribution. 3 out of 4. Explicit semantic source-admissibility routing after address construction is a meaningful contribution, while the surrounding motion estimation and sparse temporal fusion build on established ingredients.</w:t>
      </w:r>
    </w:p>
    <w:p>
      <w:pPr>
        <w:pStyle w:val="PreformattedText"/>
        <w:bidi w:val="0"/>
        <w:spacing w:before="0" w:after="0"/>
        <w:jc w:val="left"/>
        <w:rPr/>
      </w:pPr>
      <w:r>
        <w:rPr/>
      </w:r>
    </w:p>
    <w:p>
      <w:pPr>
        <w:pStyle w:val="PreformattedText"/>
        <w:bidi w:val="0"/>
        <w:spacing w:before="0" w:after="0"/>
        <w:jc w:val="left"/>
        <w:rPr/>
      </w:pPr>
      <w:r>
        <w:rPr/>
        <w:t>Overall recommendation. 8 out of 10, accept. The paper offers a clear problem formulation, substantial and balanced occupancy gains, consistent motion and support improvements, credible causal controls, and transfer across two temporal backbones. The remaining concerns constrain generality and the strongest interpretation of route provenance, but do not undermine the principal within-protocol conclusion.</w:t>
      </w:r>
    </w:p>
    <w:p>
      <w:pPr>
        <w:pStyle w:val="PreformattedText"/>
        <w:bidi w:val="0"/>
        <w:spacing w:before="0" w:after="0"/>
        <w:jc w:val="left"/>
        <w:rPr/>
      </w:pPr>
      <w:r>
        <w:rPr/>
      </w:r>
    </w:p>
    <w:p>
      <w:pPr>
        <w:pStyle w:val="PreformattedText"/>
        <w:bidi w:val="0"/>
        <w:spacing w:before="0" w:after="0"/>
        <w:jc w:val="left"/>
        <w:rPr/>
      </w:pPr>
      <w:r>
        <w:rPr/>
        <w:t>Confidence. 4 out of 5. The assessment is based on the complete main paper and supplement, including equations, target construction, controlled ablations, and the closest temporal occupancy literature.</w:t>
      </w:r>
    </w:p>
    <w:p>
      <w:pPr>
        <w:pStyle w:val="PreformattedText"/>
        <w:bidi w:val="0"/>
        <w:spacing w:before="0" w:after="0"/>
        <w:jc w:val="left"/>
        <w:rPr/>
      </w:pPr>
      <w:r>
        <w:rPr/>
      </w:r>
    </w:p>
    <w:p>
      <w:pPr>
        <w:pStyle w:val="PreformattedText"/>
        <w:bidi w:val="0"/>
        <w:spacing w:before="0" w:after="0"/>
        <w:jc w:val="left"/>
        <w:rPr/>
      </w:pPr>
      <w:r>
        <w:rPr/>
        <w:t>Detailed diagnostic scores</w:t>
      </w:r>
    </w:p>
    <w:p>
      <w:pPr>
        <w:pStyle w:val="PreformattedText"/>
        <w:bidi w:val="0"/>
        <w:spacing w:before="0" w:after="0"/>
        <w:jc w:val="left"/>
        <w:rPr/>
      </w:pPr>
      <w:r>
        <w:rPr/>
      </w:r>
    </w:p>
    <w:p>
      <w:pPr>
        <w:pStyle w:val="PreformattedText"/>
        <w:bidi w:val="0"/>
        <w:spacing w:before="0" w:after="0"/>
        <w:jc w:val="left"/>
        <w:rPr/>
      </w:pPr>
      <w:r>
        <w:rPr/>
        <w:t>Problem importance and motivation. 8.5 out of 10.</w:t>
      </w:r>
    </w:p>
    <w:p>
      <w:pPr>
        <w:pStyle w:val="PreformattedText"/>
        <w:bidi w:val="0"/>
        <w:spacing w:before="0" w:after="0"/>
        <w:jc w:val="left"/>
        <w:rPr/>
      </w:pPr>
      <w:r>
        <w:rPr/>
      </w:r>
    </w:p>
    <w:p>
      <w:pPr>
        <w:pStyle w:val="PreformattedText"/>
        <w:bidi w:val="0"/>
        <w:spacing w:before="0" w:after="0"/>
        <w:jc w:val="left"/>
        <w:rPr/>
      </w:pPr>
      <w:r>
        <w:rPr/>
        <w:t>Originality. 8.0 out of 10.</w:t>
      </w:r>
    </w:p>
    <w:p>
      <w:pPr>
        <w:pStyle w:val="PreformattedText"/>
        <w:bidi w:val="0"/>
        <w:spacing w:before="0" w:after="0"/>
        <w:jc w:val="left"/>
        <w:rPr/>
      </w:pPr>
      <w:r>
        <w:rPr/>
      </w:r>
    </w:p>
    <w:p>
      <w:pPr>
        <w:pStyle w:val="PreformattedText"/>
        <w:bidi w:val="0"/>
        <w:spacing w:before="0" w:after="0"/>
        <w:jc w:val="left"/>
        <w:rPr/>
      </w:pPr>
      <w:r>
        <w:rPr/>
        <w:t>Technical correctness. 8.0 out of 10.</w:t>
      </w:r>
    </w:p>
    <w:p>
      <w:pPr>
        <w:pStyle w:val="PreformattedText"/>
        <w:bidi w:val="0"/>
        <w:spacing w:before="0" w:after="0"/>
        <w:jc w:val="left"/>
        <w:rPr/>
      </w:pPr>
      <w:r>
        <w:rPr/>
      </w:r>
    </w:p>
    <w:p>
      <w:pPr>
        <w:pStyle w:val="PreformattedText"/>
        <w:bidi w:val="0"/>
        <w:spacing w:before="0" w:after="0"/>
        <w:jc w:val="left"/>
        <w:rPr/>
      </w:pPr>
      <w:r>
        <w:rPr/>
        <w:t>Experimental design. 8.0 out of 10.</w:t>
      </w:r>
    </w:p>
    <w:p>
      <w:pPr>
        <w:pStyle w:val="PreformattedText"/>
        <w:bidi w:val="0"/>
        <w:spacing w:before="0" w:after="0"/>
        <w:jc w:val="left"/>
        <w:rPr/>
      </w:pPr>
      <w:r>
        <w:rPr/>
      </w:r>
    </w:p>
    <w:p>
      <w:pPr>
        <w:pStyle w:val="PreformattedText"/>
        <w:bidi w:val="0"/>
        <w:spacing w:before="0" w:after="0"/>
        <w:jc w:val="left"/>
        <w:rPr/>
      </w:pPr>
      <w:r>
        <w:rPr/>
        <w:t>Benchmark breadth and external validity. 6.5 out of 10.</w:t>
      </w:r>
    </w:p>
    <w:p>
      <w:pPr>
        <w:pStyle w:val="PreformattedText"/>
        <w:bidi w:val="0"/>
        <w:spacing w:before="0" w:after="0"/>
        <w:jc w:val="left"/>
        <w:rPr/>
      </w:pPr>
      <w:r>
        <w:rPr/>
      </w:r>
    </w:p>
    <w:p>
      <w:pPr>
        <w:pStyle w:val="PreformattedText"/>
        <w:bidi w:val="0"/>
        <w:spacing w:before="0" w:after="0"/>
        <w:jc w:val="left"/>
        <w:rPr/>
      </w:pPr>
      <w:r>
        <w:rPr/>
        <w:t>Statistical rigor. 7.0 out of 10.</w:t>
      </w:r>
    </w:p>
    <w:p>
      <w:pPr>
        <w:pStyle w:val="PreformattedText"/>
        <w:bidi w:val="0"/>
        <w:spacing w:before="0" w:after="0"/>
        <w:jc w:val="left"/>
        <w:rPr/>
      </w:pPr>
      <w:r>
        <w:rPr/>
      </w:r>
    </w:p>
    <w:p>
      <w:pPr>
        <w:pStyle w:val="PreformattedText"/>
        <w:bidi w:val="0"/>
        <w:spacing w:before="0" w:after="0"/>
        <w:jc w:val="left"/>
        <w:rPr/>
      </w:pPr>
      <w:r>
        <w:rPr/>
        <w:t>Clarity and organization. 9.0 out of 10.</w:t>
      </w:r>
    </w:p>
    <w:p>
      <w:pPr>
        <w:pStyle w:val="PreformattedText"/>
        <w:bidi w:val="0"/>
        <w:spacing w:before="0" w:after="0"/>
        <w:jc w:val="left"/>
        <w:rPr/>
      </w:pPr>
      <w:r>
        <w:rPr/>
      </w:r>
    </w:p>
    <w:p>
      <w:pPr>
        <w:pStyle w:val="PreformattedText"/>
        <w:bidi w:val="0"/>
        <w:spacing w:before="0" w:after="0"/>
        <w:jc w:val="left"/>
        <w:rPr/>
      </w:pPr>
      <w:r>
        <w:rPr/>
        <w:t>Reproducibility. 8.5 out of 10.</w:t>
      </w:r>
    </w:p>
    <w:p>
      <w:pPr>
        <w:pStyle w:val="PreformattedText"/>
        <w:bidi w:val="0"/>
        <w:spacing w:before="0" w:after="0"/>
        <w:jc w:val="left"/>
        <w:rPr/>
      </w:pPr>
      <w:r>
        <w:rPr/>
      </w:r>
    </w:p>
    <w:p>
      <w:pPr>
        <w:pStyle w:val="PreformattedText"/>
        <w:bidi w:val="0"/>
        <w:spacing w:before="0" w:after="0"/>
        <w:jc w:val="left"/>
        <w:rPr/>
      </w:pPr>
      <w:r>
        <w:rPr/>
        <w:t>Efficiency and deployment evidence. 7.5 out of 10.</w:t>
      </w:r>
    </w:p>
    <w:p>
      <w:pPr>
        <w:pStyle w:val="PreformattedText"/>
        <w:bidi w:val="0"/>
        <w:spacing w:before="0" w:after="0"/>
        <w:jc w:val="left"/>
        <w:rPr/>
      </w:pPr>
      <w:r>
        <w:rPr/>
      </w:r>
    </w:p>
    <w:p>
      <w:pPr>
        <w:pStyle w:val="PreformattedText"/>
        <w:bidi w:val="0"/>
        <w:spacing w:before="0" w:after="0"/>
        <w:jc w:val="left"/>
        <w:rPr/>
      </w:pPr>
      <w:r>
        <w:rPr/>
        <w:t>Potential significance. 8.0 out of 10.</w:t>
      </w:r>
    </w:p>
    <w:p>
      <w:pPr>
        <w:pStyle w:val="PreformattedText"/>
        <w:bidi w:val="0"/>
        <w:spacing w:before="0" w:after="0"/>
        <w:jc w:val="left"/>
        <w:rPr/>
      </w:pPr>
      <w:r>
        <w:rPr/>
      </w:r>
    </w:p>
    <w:p>
      <w:pPr>
        <w:pStyle w:val="PreformattedText"/>
        <w:bidi w:val="0"/>
        <w:spacing w:before="0" w:after="0"/>
        <w:jc w:val="left"/>
        <w:rPr/>
      </w:pPr>
      <w:r>
        <w:rPr/>
        <w:t>Estimated current acceptance probability. Approximately 70 to 80 percent. An 8 is defensible because the central claim is directly tested and the margins are large, although reviewers who prioritize cross-site generalization may assign 6.</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