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FB2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动产货权贸易金融撮合平台</w:t>
      </w:r>
    </w:p>
    <w:p w14:paraId="05A29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一、项目定位 &amp; 前置合规底线（最核心前提）</w:t>
      </w:r>
    </w:p>
    <w:p w14:paraId="5BFD15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平台定位</w:t>
      </w:r>
    </w:p>
    <w:p w14:paraId="3D30C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中立 B2B 现货货权转让撮合平台，服务实物商品贸易背景下的货权交易</w:t>
      </w:r>
    </w:p>
    <w:p w14:paraId="308837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资产端：持有合规货权的货主（品牌、代理商、贸易商、渠道），核心诉求：</w:t>
      </w:r>
      <w:r>
        <w:rPr>
          <w:rStyle w:val="7"/>
          <w:color w:val="000000"/>
          <w:sz w:val="24"/>
          <w:szCs w:val="24"/>
          <w:bdr w:val="none" w:color="auto" w:sz="0" w:space="0"/>
        </w:rPr>
        <w:t>快速把在库现货货权变现、盘活库存、缩短账期</w:t>
      </w:r>
    </w:p>
    <w:p w14:paraId="65D868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 xml:space="preserve">资金端：两类购买方 </w:t>
      </w:r>
    </w:p>
    <w:p w14:paraId="1804D31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产业买方：线下渠道、经销商、电商卖家，以补货、实物分销为目的受让货权</w:t>
      </w:r>
    </w:p>
    <w:p w14:paraId="411E4CE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资金型买方：持牌供应链公司、产业资金、金融机构，以受让货权持有 / 再转让为目的（你说的贸易金融属性）</w:t>
      </w:r>
    </w:p>
    <w:p w14:paraId="5C08D5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平台角色：</w:t>
      </w:r>
      <w:r>
        <w:rPr>
          <w:rStyle w:val="7"/>
          <w:color w:val="000000"/>
          <w:sz w:val="24"/>
          <w:szCs w:val="24"/>
          <w:bdr w:val="none" w:color="auto" w:sz="0" w:space="0"/>
        </w:rPr>
        <w:t>撮合交易意向、管理货权核验 / 仓单、对接第三方资金监管、存证合同、联动监管仓做过户 &amp; 交收、配套质检 / 保险 / 物流增值服务</w:t>
      </w:r>
    </w:p>
    <w:p w14:paraId="5B2BEC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❌ 绝对禁止：自营买卖、资金池、自身放贷 / 担保、集中竞价 / 匿名连续撮合、标准化份额拆分、面向个人开放、平台定价做市。</w:t>
      </w:r>
      <w:r>
        <w:rPr>
          <w:rStyle w:val="7"/>
          <w:color w:val="000000"/>
          <w:sz w:val="24"/>
          <w:szCs w:val="24"/>
          <w:bdr w:val="none" w:color="auto" w:sz="0" w:space="0"/>
        </w:rPr>
        <w:t>严格走协议转让、逐笔一对一匹配、真实仓内现货、货权先确权再挂牌</w:t>
      </w:r>
      <w:r>
        <w:rPr>
          <w:color w:val="000000"/>
          <w:sz w:val="24"/>
          <w:szCs w:val="24"/>
          <w:bdr w:val="none" w:color="auto" w:sz="0" w:space="0"/>
        </w:rPr>
        <w:t>，规避 38/37 号文交易场所红线。</w:t>
      </w:r>
    </w:p>
    <w:p w14:paraId="4F6CB0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✅ 合规架构：平台 = 信息 &amp; 流程服务商；资金清分由合作商业银行做</w:t>
      </w:r>
      <w:r>
        <w:rPr>
          <w:rStyle w:val="7"/>
          <w:color w:val="000000"/>
          <w:sz w:val="24"/>
          <w:szCs w:val="24"/>
          <w:bdr w:val="none" w:color="auto" w:sz="0" w:space="0"/>
        </w:rPr>
        <w:t>交易资金专户监管 / 分账</w:t>
      </w:r>
      <w:r>
        <w:rPr>
          <w:color w:val="000000"/>
          <w:sz w:val="24"/>
          <w:szCs w:val="24"/>
          <w:bdr w:val="none" w:color="auto" w:sz="0" w:space="0"/>
        </w:rPr>
        <w:t>；货权凭证由签约第三方监管仓出具；融资放款、垫资服务由持牌金融 / 供应链主体作为资金端入场；平台只收撮合 / 存证 / 仓服导流佣金。</w:t>
      </w:r>
    </w:p>
    <w:p w14:paraId="76D571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资质基础：营业执照（供应链管理 / 信息服务）、ICP+EDI、仓储服务协议、资金监管分账协议、电子签、数据存证；如需进一步做金融资产服务再另行规划。</w:t>
      </w:r>
    </w:p>
    <w:p w14:paraId="2B72D4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为什么优先从全新 3C、家电切入（优劣势）</w:t>
      </w:r>
    </w:p>
    <w:p w14:paraId="1EC19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✅ 适合货权交易的优点：</w:t>
      </w:r>
    </w:p>
    <w:p w14:paraId="45392D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有全球唯一序列号 SN、品牌型号标准、SKU 颗粒度清晰，可一物一码确权验真，比普货易确权</w:t>
      </w:r>
    </w:p>
    <w:p w14:paraId="6FB5A9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流通盘大、二手 / 分销 / 尾货处置渠道成熟，有公开市场价（京东 / 苏宁 / 渠道批价），易盯市估值</w:t>
      </w:r>
    </w:p>
    <w:p w14:paraId="4E773D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单价高、单批交易金额适中、B2B 批发活跃，经销商普遍存在库存占压资金痛点</w:t>
      </w:r>
    </w:p>
    <w:p w14:paraId="52A0BF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标准化仓储存放、非危、适合区域监管仓集中控货</w:t>
      </w:r>
    </w:p>
    <w:p w14:paraId="2B843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⚠️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品类固有风险（必须前置约束）：</w:t>
      </w:r>
    </w:p>
    <w:p w14:paraId="0D25A2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贬值快、迭代周期短、跌价风险高</w:t>
      </w:r>
      <w:r>
        <w:rPr>
          <w:color w:val="000000"/>
          <w:sz w:val="24"/>
          <w:szCs w:val="24"/>
          <w:bdr w:val="none" w:color="auto" w:sz="0" w:space="0"/>
        </w:rPr>
        <w:t>（手机周期 3-12 个月，新品上市老款快速降价），绝对不能做长周期质押</w:t>
      </w:r>
    </w:p>
    <w:p w14:paraId="4E2F56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真伪、串货、保修、发票税务、拆封 / 二手 / 翻新区分难度大</w:t>
      </w:r>
    </w:p>
    <w:p w14:paraId="2B03C3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批次碎片化、SKU 极多、MOQ 差异大，不适合无门槛全开放</w:t>
      </w:r>
    </w:p>
    <w:p w14:paraId="4E3828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售后、质保、3C 认证合规要求强</w:t>
      </w:r>
    </w:p>
    <w:p w14:paraId="309B3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👉 所以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MVP 阶段只做：原厂未拆封国行全新正品、入指定第三方监管仓、带完整票证、短持有期货权转让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，不做二手、在途、个人货、门店自存货、返修机。</w:t>
      </w:r>
    </w:p>
    <w:p w14:paraId="34A427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二、业务模式 &amp; 核心交易闭环</w:t>
      </w:r>
    </w:p>
    <w:p w14:paraId="7FE43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两类交易场景（先跑纯货权转让，再叠加金融撮合）</w:t>
      </w:r>
    </w:p>
    <w:p w14:paraId="57505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5"/>
        <w:gridCol w:w="673"/>
        <w:gridCol w:w="841"/>
        <w:gridCol w:w="2894"/>
        <w:gridCol w:w="1525"/>
        <w:gridCol w:w="1058"/>
      </w:tblGrid>
      <w:tr w14:paraId="41334B3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10E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777ED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卖方</w:t>
            </w:r>
          </w:p>
        </w:tc>
        <w:tc>
          <w:tcPr>
            <w:tcW w:w="0" w:type="auto"/>
            <w:shd w:val="clear"/>
            <w:vAlign w:val="center"/>
          </w:tcPr>
          <w:p w14:paraId="1E8CA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买方</w:t>
            </w:r>
          </w:p>
        </w:tc>
        <w:tc>
          <w:tcPr>
            <w:tcW w:w="0" w:type="auto"/>
            <w:shd w:val="clear"/>
            <w:vAlign w:val="center"/>
          </w:tcPr>
          <w:p w14:paraId="3310C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业务本质</w:t>
            </w:r>
          </w:p>
        </w:tc>
        <w:tc>
          <w:tcPr>
            <w:tcW w:w="0" w:type="auto"/>
            <w:shd w:val="clear"/>
            <w:vAlign w:val="center"/>
          </w:tcPr>
          <w:p w14:paraId="00343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0" w:type="auto"/>
            <w:shd w:val="clear"/>
            <w:vAlign w:val="center"/>
          </w:tcPr>
          <w:p w14:paraId="4028F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101DBA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E1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现货货权转让（基础）</w:t>
            </w:r>
          </w:p>
        </w:tc>
        <w:tc>
          <w:tcPr>
            <w:tcW w:w="0" w:type="auto"/>
            <w:shd w:val="clear"/>
            <w:vAlign w:val="center"/>
          </w:tcPr>
          <w:p w14:paraId="48CA4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货权方清库存</w:t>
            </w:r>
          </w:p>
        </w:tc>
        <w:tc>
          <w:tcPr>
            <w:tcW w:w="0" w:type="auto"/>
            <w:shd w:val="clear"/>
            <w:vAlign w:val="center"/>
          </w:tcPr>
          <w:p w14:paraId="06F69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渠道 / 经销商补货</w:t>
            </w:r>
          </w:p>
        </w:tc>
        <w:tc>
          <w:tcPr>
            <w:tcW w:w="0" w:type="auto"/>
            <w:shd w:val="clear"/>
            <w:vAlign w:val="center"/>
          </w:tcPr>
          <w:p w14:paraId="7D490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 B2B 仓单货权买卖，付款即过户、可随时提货</w:t>
            </w:r>
          </w:p>
        </w:tc>
        <w:tc>
          <w:tcPr>
            <w:tcW w:w="0" w:type="auto"/>
            <w:shd w:val="clear"/>
            <w:vAlign w:val="center"/>
          </w:tcPr>
          <w:p w14:paraId="7F705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T+0~T+3</w:t>
            </w:r>
          </w:p>
        </w:tc>
        <w:tc>
          <w:tcPr>
            <w:tcW w:w="0" w:type="auto"/>
            <w:shd w:val="clear"/>
            <w:vAlign w:val="center"/>
          </w:tcPr>
          <w:p w14:paraId="50E331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Phase1 MVP 先跑</w:t>
            </w:r>
          </w:p>
        </w:tc>
      </w:tr>
      <w:tr w14:paraId="40B3D4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62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货权受让 + 再分销（贸易金融）</w:t>
            </w:r>
          </w:p>
        </w:tc>
        <w:tc>
          <w:tcPr>
            <w:tcW w:w="0" w:type="auto"/>
            <w:shd w:val="clear"/>
            <w:vAlign w:val="center"/>
          </w:tcPr>
          <w:p w14:paraId="0725E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货权方快速变现</w:t>
            </w:r>
          </w:p>
        </w:tc>
        <w:tc>
          <w:tcPr>
            <w:tcW w:w="0" w:type="auto"/>
            <w:shd w:val="clear"/>
            <w:vAlign w:val="center"/>
          </w:tcPr>
          <w:p w14:paraId="6EEA6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产业资金 / 持牌机构</w:t>
            </w:r>
          </w:p>
        </w:tc>
        <w:tc>
          <w:tcPr>
            <w:tcW w:w="0" w:type="auto"/>
            <w:shd w:val="clear"/>
            <w:vAlign w:val="center"/>
          </w:tcPr>
          <w:p w14:paraId="7BD7A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资金方受让仓单货权，约定期限内分销 / 二次挂牌卖给产业客户，或原货主约定回购</w:t>
            </w:r>
          </w:p>
        </w:tc>
        <w:tc>
          <w:tcPr>
            <w:tcW w:w="0" w:type="auto"/>
            <w:shd w:val="clear"/>
            <w:vAlign w:val="center"/>
          </w:tcPr>
          <w:p w14:paraId="0E968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7~45 天，最长不超 60 天</w:t>
            </w:r>
          </w:p>
        </w:tc>
        <w:tc>
          <w:tcPr>
            <w:tcW w:w="0" w:type="auto"/>
            <w:shd w:val="clear"/>
            <w:vAlign w:val="center"/>
          </w:tcPr>
          <w:p w14:paraId="0AFAA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Phase2 开放</w:t>
            </w:r>
          </w:p>
        </w:tc>
      </w:tr>
    </w:tbl>
    <w:p w14:paraId="09B56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核心原则：</w:t>
      </w:r>
      <w:r>
        <w:rPr>
          <w:rStyle w:val="7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货物理货、质检、入平台白名单监管仓、确权生成可转让电子存货凭证（电子仓单） → 才允许挂牌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。不在监管仓、未核验货权的货物，不开放撮合。</w:t>
      </w:r>
    </w:p>
    <w:p w14:paraId="22EBA7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完整标准交易流程</w:t>
      </w:r>
    </w:p>
    <w:p w14:paraId="4B71A4B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资产入库确权环节（前置风控）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CC2A32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货主提交 KYC、采购凭证、发票、权属承诺、无抵押 / 无查封声明</w:t>
      </w:r>
    </w:p>
    <w:p w14:paraId="596CC2D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送 / 入合作监管仓，仓方联合第三方质检：验 SN、验封、验批次、验外观、拍照、录入一物一码台账</w:t>
      </w:r>
    </w:p>
    <w:p w14:paraId="7FBB805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仓方出具电子存货凭证（平台存证、仓方系统同步），锁定为平台可交易货权，</w:t>
      </w:r>
      <w:r>
        <w:rPr>
          <w:rStyle w:val="7"/>
          <w:color w:val="000000"/>
          <w:sz w:val="24"/>
          <w:szCs w:val="24"/>
          <w:bdr w:val="none" w:color="auto" w:sz="0" w:space="0"/>
        </w:rPr>
        <w:t>物理货不移动、先完成仓内确权</w:t>
      </w:r>
    </w:p>
    <w:p w14:paraId="33043C0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平台做价格初评、设置货值折扣 / 交易指导价区间、上架挂牌（自定义报价、定向邀约、公开询价，非自动撮合）</w:t>
      </w:r>
    </w:p>
    <w:p w14:paraId="4B11AF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撮合匹配 &amp; 签约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72ECC4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买卖双方资质准入后，询价 / 报价 / 定向匹配、确认批次、价格、交期、提货规则、持有期限、溢损处置</w:t>
      </w:r>
    </w:p>
    <w:p w14:paraId="238490B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线上签署三方 / 双方电子购销合同、明确货权转移节点、仓费、保险、违约责任、提货人</w:t>
      </w:r>
    </w:p>
    <w:p w14:paraId="31950D87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买方将货款打入银行监管专户（不进平台账户），按交易节点解冻分账</w:t>
      </w:r>
    </w:p>
    <w:p w14:paraId="00E6C0C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付款 - 货权过户 - 存证闭环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112D62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全款到监管专户后，仓系统 + 平台同步变更货权所有人，完成电子仓单过户，链上 / 存证留痕</w:t>
      </w:r>
    </w:p>
    <w:p w14:paraId="736A31E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资金按约定条件解冻划转给原货主，平台佣金同步分账</w:t>
      </w:r>
    </w:p>
    <w:p w14:paraId="2DB184D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新货主可：持有货权、二次挂牌转让、指令仓库出库配送、分批提货</w:t>
      </w:r>
    </w:p>
    <w:p w14:paraId="76F4E6E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出库 / 二次交易 / 逾期处置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7B12A98A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提货：新货主发起出库指令，仓方核验身份放货，系统注销对应在库可交易额度</w:t>
      </w:r>
    </w:p>
    <w:p w14:paraId="4308100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二次转让：同一监管仓内，重复挂牌流程（优先产业买方承接）</w:t>
      </w:r>
    </w:p>
    <w:p w14:paraId="455908D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到期未分销 / 违约：走预先授权的合规快速处置渠道（分销合作商、尾货平台、品牌回收），</w:t>
      </w:r>
      <w:r>
        <w:rPr>
          <w:rStyle w:val="7"/>
          <w:color w:val="000000"/>
          <w:sz w:val="24"/>
          <w:szCs w:val="24"/>
          <w:bdr w:val="none" w:color="auto" w:sz="0" w:space="0"/>
        </w:rPr>
        <w:t>前置约定处置授权、购买财产险</w:t>
      </w:r>
    </w:p>
    <w:p w14:paraId="263726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参与方分工</w:t>
      </w:r>
    </w:p>
    <w:p w14:paraId="605275E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平台：用户准入、挂牌审核、撮合对接、订单存证、货权台账、价格风控、履约协同、数据看板</w:t>
      </w:r>
    </w:p>
    <w:p w14:paraId="74113B4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第三方监管仓（顺丰 / 京东物流 / 区域 3C 专业仓）：实物验收、SN 核验、物理隔离、出入库管控、出具存货凭证、定期盘点</w:t>
      </w:r>
    </w:p>
    <w:p w14:paraId="3D0F69F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合作银行：交易资金专户存管、冻结 / 分账、受托支付、资金流隔离</w:t>
      </w:r>
    </w:p>
    <w:p w14:paraId="76065F3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第三方：质检机构、财产一切险 + 货运险、律所 / 电子存证、发票服务、尾货处置合作方</w:t>
      </w:r>
    </w:p>
    <w:p w14:paraId="1C2F2BE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资金端：产业买家、供应链公司、持牌金融机构（平台不做资金）</w:t>
      </w:r>
    </w:p>
    <w:p w14:paraId="7210CA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三、品类准入 &amp; 风控体系（这个项目成败核心）</w:t>
      </w:r>
    </w:p>
    <w:p w14:paraId="2C50E2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3C 家电分层准入策略（MVP 白名单）</w:t>
      </w:r>
    </w:p>
    <w:p w14:paraId="6B6CC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✅ Phase1 优先准入：</w:t>
      </w:r>
    </w:p>
    <w:p w14:paraId="208C727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品牌白名单：头部手机 / 笔记本 / 大家电主流国行、未拆封、在保、可验 SN</w:t>
      </w:r>
    </w:p>
    <w:p w14:paraId="525671F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状态：全新原封、整箱、有正规进项发票、可溯源</w:t>
      </w:r>
    </w:p>
    <w:p w14:paraId="5D1027C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账龄：入库 3 个月以内、距离退市≥3 个月、有活跃公开二级流通价</w:t>
      </w:r>
    </w:p>
    <w:p w14:paraId="1128889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单批：按整 SKU 批量、最小交易单位为整批，禁止拆零散</w:t>
      </w:r>
    </w:p>
    <w:p w14:paraId="798A2C1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排除：二手、翻新、开箱、水货、串货、电池类高危、停产退市机型、无票货物、在途货、门店货</w:t>
      </w:r>
    </w:p>
    <w:p w14:paraId="32A73D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四层风控架构</w:t>
      </w:r>
    </w:p>
    <w:p w14:paraId="292D176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货权风控（第一优先级）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54500838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KYC + 权属文件核验 + 仓方实物双验、一物一码 SN 登记、禁止一货多挂</w:t>
      </w:r>
    </w:p>
    <w:p w14:paraId="7072164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只认可平台签约监管仓出具的凭证，不接受自有仓、普通仓自证货权</w:t>
      </w:r>
    </w:p>
    <w:p w14:paraId="7C69EB2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对接全国动产融资统一登记公示系统，大额转让 / 质押场景做登记</w:t>
      </w:r>
    </w:p>
    <w:p w14:paraId="287CEA9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价格 &amp; 贬值风控（3C 最大风险）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16DC955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建立日度价格行情库（渠道批发价、电商价、历史成交价）</w:t>
      </w:r>
    </w:p>
    <w:p w14:paraId="7DD615B8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设置挂牌价上限（不高于市场价 95%）、资金受让折扣（货值 80%-90%）</w:t>
      </w:r>
    </w:p>
    <w:p w14:paraId="209AF637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按品类设置最大持有期：手机≤30 天，家电≤45 天，超期预警限制二次挂牌</w:t>
      </w:r>
    </w:p>
    <w:p w14:paraId="75E7C2F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价格下跌阈值：设置市价 - 5% 预警、-10% 限制新增挂牌、要求补仓 / 降价处置</w:t>
      </w:r>
    </w:p>
    <w:p w14:paraId="38649A1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交易 &amp; 主体风控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63C5DD5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买卖双方分级准入、合格投资者 / 产业适当性（资金端优先产业 + 机构，初期不开放自然人）</w:t>
      </w:r>
    </w:p>
    <w:p w14:paraId="3F1F5DE6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保证金 / 监管资金机制、禁止场外配资、合同标准化、违约处置条款前置公证</w:t>
      </w:r>
    </w:p>
    <w:p w14:paraId="7A77895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交易限额、单仓集中度、单 SKU 持仓上限、交易留痕审计</w:t>
      </w:r>
    </w:p>
    <w:p w14:paraId="1EB52B3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7"/>
          <w:color w:val="000000"/>
          <w:sz w:val="24"/>
          <w:szCs w:val="24"/>
          <w:bdr w:val="none" w:color="auto" w:sz="0" w:space="0"/>
        </w:rPr>
        <w:t>履约兜底风控</w:t>
      </w:r>
      <w:r>
        <w:rPr>
          <w:color w:val="000000"/>
          <w:sz w:val="24"/>
          <w:szCs w:val="24"/>
          <w:bdr w:val="none" w:color="auto" w:sz="0" w:space="0"/>
        </w:rPr>
        <w:t xml:space="preserve"> </w:t>
      </w:r>
    </w:p>
    <w:p w14:paraId="2E1D6F2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强制仓内财产险、物流险</w:t>
      </w:r>
    </w:p>
    <w:p w14:paraId="4A52631A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提前签约 2-3 家尾货分销处置合作方，形成违约处置预案</w:t>
      </w:r>
    </w:p>
    <w:p w14:paraId="27CC56A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平台设立小额履约风险准备金，只用于处理流程纠纷，不兑付货值损失</w:t>
      </w:r>
    </w:p>
    <w:p w14:paraId="414C40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四、平台功能架构（区分 MVP 和完整版）</w:t>
      </w:r>
    </w:p>
    <w:p w14:paraId="70F303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MVP 最小可行产品（3-4 个月，优先跑闭环）</w:t>
      </w:r>
    </w:p>
    <w:p w14:paraId="1FB82FE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用户端：买卖方 KYC 资质、资产提交、挂牌管理、询价报价、订单管理、仓单查看</w:t>
      </w:r>
    </w:p>
    <w:p w14:paraId="3D31B7FD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核心交易：定向撮合、电子合同、监管资金对接、货权过户存证、提货单申请</w:t>
      </w:r>
    </w:p>
    <w:p w14:paraId="5898E28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仓协同：入库预约、SN 台账、仓单同步、出库指令、盘点对账</w:t>
      </w:r>
    </w:p>
    <w:p w14:paraId="18A1E2F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风控后台：白名单管理、价格行情录入、交易审核、预警、基础报表</w:t>
      </w:r>
    </w:p>
    <w:p w14:paraId="2C12855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不做：自动撮合、行情 K 线、二级市场高频交易、区块链大投入、多仓全网打通</w:t>
      </w:r>
    </w:p>
    <w:p w14:paraId="4A4BEA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二期扩展功能</w:t>
      </w:r>
    </w:p>
    <w:p w14:paraId="3A44577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行情看板、估值引擎、自动盯市预警</w:t>
      </w:r>
    </w:p>
    <w:p w14:paraId="5FBF182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仓单二次转让、定向资金邀约、机构资金专属专区</w:t>
      </w:r>
    </w:p>
    <w:p w14:paraId="0181B69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API 对接资金方风控系统、WMS 仓系统、ERP</w:t>
      </w:r>
    </w:p>
    <w:p w14:paraId="6C0C2AB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质检 / 保险 / 物流 / 开票增值服务市场</w:t>
      </w:r>
    </w:p>
    <w:p w14:paraId="6ED4D575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品类扩展到小家电、数码配件、再到其他高流通动产</w:t>
      </w:r>
    </w:p>
    <w:p w14:paraId="2CF49F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A542A"/>
    <w:multiLevelType w:val="multilevel"/>
    <w:tmpl w:val="9FFA5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AE7B32"/>
    <w:multiLevelType w:val="multilevel"/>
    <w:tmpl w:val="A9AE7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BF76A02"/>
    <w:multiLevelType w:val="multilevel"/>
    <w:tmpl w:val="BBF76A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FEF5E0B"/>
    <w:multiLevelType w:val="multilevel"/>
    <w:tmpl w:val="BFEF5E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2FFBF4E"/>
    <w:multiLevelType w:val="multilevel"/>
    <w:tmpl w:val="D2FFBF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3F753E2"/>
    <w:multiLevelType w:val="multilevel"/>
    <w:tmpl w:val="D3F75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F3DB72"/>
    <w:multiLevelType w:val="multilevel"/>
    <w:tmpl w:val="EDF3DB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DF4392"/>
    <w:multiLevelType w:val="multilevel"/>
    <w:tmpl w:val="EEDF4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F73CFD"/>
    <w:multiLevelType w:val="multilevel"/>
    <w:tmpl w:val="7FF73C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3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DE734"/>
    <w:rsid w:val="777DE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2026-08-21T14:34:00Z</dcterms:created>
  <dc:creator>富裕</dc:creator>
  <cp:lastModifiedBy>富裕</cp:lastModifiedBy>
  <dcterms:modified xsi:type="dcterms:W3CDTF">2026-08-21T14:35:35Z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95EB8D93F2C8EA975AF1876AB65DD9F3_41</vt:lpwstr>
  </property>
</Properties>
</file>