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1230</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文档控制</w:t>
      </w:r>
      <w:bookmarkEnd w:id="0"/>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方案概览与架构</w:t>
      </w:r>
      <w:bookmarkEnd w:id="1"/>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2.1 </w:t>
      </w:r>
      <w:r>
        <w:rPr>
          <w:rFonts w:eastAsia="等线" w:ascii="Arial" w:cs="Arial" w:hAnsi="Arial"/>
          <w:b w:val="true"/>
          <w:sz w:val="32"/>
        </w:rPr>
        <w:t>解决方案概览</w:t>
      </w:r>
      <w:bookmarkEnd w:id="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平台架构与文档说明</w:t>
            </w:r>
          </w:p>
          <w:p>
            <w:pPr>
              <w:spacing w:before="120" w:after="120" w:line="288" w:lineRule="auto"/>
              <w:ind w:left="0"/>
              <w:jc w:val="left"/>
            </w:pPr>
            <w:r>
              <w:rPr>
                <w:rFonts w:eastAsia="等线" w:ascii="Arial" w:cs="Arial" w:hAnsi="Arial"/>
                <w:sz w:val="22"/>
              </w:rPr>
              <w:t>供应链金融平台包含三个端：</w:t>
            </w:r>
          </w:p>
          <w:p>
            <w:pPr>
              <w:numPr>
                <w:numId w:val="1"/>
              </w:numPr>
              <w:spacing w:before="120" w:after="120" w:line="288" w:lineRule="auto"/>
              <w:ind w:left="0"/>
              <w:jc w:val="left"/>
            </w:pPr>
            <w:r>
              <w:rPr>
                <w:rFonts w:eastAsia="等线" w:ascii="Arial" w:cs="Arial" w:hAnsi="Arial"/>
                <w:b w:val="true"/>
                <w:sz w:val="22"/>
              </w:rPr>
              <w:t>运营端</w:t>
            </w:r>
            <w:r>
              <w:rPr>
                <w:rFonts w:eastAsia="等线" w:ascii="Arial" w:cs="Arial" w:hAnsi="Arial"/>
                <w:sz w:val="22"/>
              </w:rPr>
              <w:t>：平台的业务管理和决策中枢，承载核心的客户管理、融资审批、货权管控、风险监控等功能，是平台核心竞争力所在。运营端面向平台内部运营人员，如客户经理、风控专员、货权监控员、财务人员等，支持业务流程的全生命周期管理与风险防控。</w:t>
            </w:r>
          </w:p>
          <w:p>
            <w:pPr>
              <w:numPr>
                <w:numId w:val="2"/>
              </w:numPr>
              <w:spacing w:before="120" w:after="120" w:line="288" w:lineRule="auto"/>
              <w:ind w:left="0"/>
              <w:jc w:val="left"/>
            </w:pPr>
            <w:r>
              <w:rPr>
                <w:rFonts w:eastAsia="等线" w:ascii="Arial" w:cs="Arial" w:hAnsi="Arial"/>
                <w:b w:val="true"/>
                <w:sz w:val="22"/>
              </w:rPr>
              <w:t>企业端</w:t>
            </w:r>
            <w:r>
              <w:rPr>
                <w:rFonts w:eastAsia="等线" w:ascii="Arial" w:cs="Arial" w:hAnsi="Arial"/>
                <w:sz w:val="22"/>
              </w:rPr>
              <w:t>：为核心企业与融资企业提供自助服务，支持双角色登录与功能分区。</w:t>
            </w:r>
          </w:p>
          <w:p>
            <w:pPr>
              <w:numPr>
                <w:numId w:val="3"/>
              </w:numPr>
              <w:spacing w:before="120" w:after="120" w:line="288" w:lineRule="auto"/>
              <w:ind w:left="453"/>
              <w:jc w:val="left"/>
            </w:pPr>
            <w:r>
              <w:rPr>
                <w:rFonts w:eastAsia="等线" w:ascii="Arial" w:cs="Arial" w:hAnsi="Arial"/>
                <w:sz w:val="22"/>
              </w:rPr>
              <w:t>核心企业用户：作为链主企业，参与经销商推荐、订单确认、风险协同、协同催收、货物回购、分润查询等环节，发挥信用背书与供应链协同作用。</w:t>
            </w:r>
          </w:p>
          <w:p>
            <w:pPr>
              <w:numPr>
                <w:numId w:val="4"/>
              </w:numPr>
              <w:spacing w:before="120" w:after="120" w:line="288" w:lineRule="auto"/>
              <w:ind w:left="453"/>
              <w:jc w:val="left"/>
            </w:pPr>
            <w:r>
              <w:rPr>
                <w:rFonts w:eastAsia="等线" w:ascii="Arial" w:cs="Arial" w:hAnsi="Arial"/>
                <w:sz w:val="22"/>
              </w:rPr>
              <w:t>融资企业用户：作为资金需求方，提供准入申请、融资申请、资料上传、仓单查看、还款管理等标准化功能，支持企业基于真实贸易背景发起融资并完成贷后操作。</w:t>
            </w:r>
          </w:p>
          <w:p>
            <w:pPr>
              <w:numPr>
                <w:numId w:val="5"/>
              </w:numPr>
              <w:spacing w:before="120" w:after="120" w:line="288" w:lineRule="auto"/>
              <w:ind w:left="0"/>
              <w:jc w:val="left"/>
            </w:pPr>
            <w:r>
              <w:rPr>
                <w:rFonts w:eastAsia="等线" w:ascii="Arial" w:cs="Arial" w:hAnsi="Arial"/>
                <w:b w:val="true"/>
                <w:sz w:val="22"/>
              </w:rPr>
              <w:t>银行端</w:t>
            </w:r>
            <w:r>
              <w:rPr>
                <w:rFonts w:eastAsia="等线" w:ascii="Arial" w:cs="Arial" w:hAnsi="Arial"/>
                <w:sz w:val="22"/>
              </w:rPr>
              <w:t>：为银行提供协同平台，包括业务审批、放款管理、出库授权、还款确认、业务监控、资金对账等功能，支持银行高效管理融资业务与资金流转，保障业务合规与资金安全。</w:t>
            </w:r>
          </w:p>
          <w:p>
            <w:pPr>
              <w:spacing w:before="120" w:after="120" w:line="288" w:lineRule="auto"/>
              <w:ind w:left="0"/>
              <w:jc w:val="left"/>
            </w:pPr>
            <w:r>
              <w:rPr>
                <w:rFonts w:eastAsia="等线" w:ascii="Arial" w:cs="Arial" w:hAnsi="Arial"/>
                <w:b w:val="true"/>
                <w:sz w:val="22"/>
              </w:rPr>
              <w:t>本文档重点围绕运营管理平台展开详细阐述</w:t>
            </w:r>
            <w:r>
              <w:rPr>
                <w:rFonts w:eastAsia="等线" w:ascii="Arial" w:cs="Arial" w:hAnsi="Arial"/>
                <w:sz w:val="22"/>
              </w:rPr>
              <w:t>（包含痛点分析、产品方案、页面原型、运营策略等），企业端和银行端作精简介绍。</w:t>
            </w:r>
          </w:p>
        </w:tc>
      </w:tr>
    </w:tbl>
    <w:p>
      <w:pPr>
        <w:pStyle w:val="3"/>
        <w:spacing w:before="300" w:after="120" w:line="288" w:lineRule="auto"/>
        <w:ind w:left="0"/>
        <w:jc w:val="left"/>
        <w:outlineLvl w:val="2"/>
      </w:pPr>
      <w:bookmarkStart w:name="heading_3" w:id="3"/>
      <w:r>
        <w:rPr>
          <w:rFonts w:eastAsia="等线" w:ascii="Arial" w:cs="Arial" w:hAnsi="Arial"/>
          <w:color w:val="3370ff"/>
          <w:sz w:val="30"/>
        </w:rPr>
        <w:t xml:space="preserve">2.1.1 </w:t>
      </w:r>
      <w:r>
        <w:rPr>
          <w:rFonts w:eastAsia="等线" w:ascii="Arial" w:cs="Arial" w:hAnsi="Arial"/>
          <w:b w:val="true"/>
          <w:sz w:val="30"/>
        </w:rPr>
        <w:t>客户管理</w:t>
      </w:r>
      <w:bookmarkEnd w:id="3"/>
    </w:p>
    <w:p>
      <w:pPr>
        <w:spacing w:before="120" w:after="120" w:line="288" w:lineRule="auto"/>
        <w:ind w:left="0"/>
        <w:jc w:val="left"/>
      </w:pPr>
      <w:r>
        <w:rPr>
          <w:rFonts w:eastAsia="等线" w:ascii="Arial" w:cs="Arial" w:hAnsi="Arial"/>
          <w:sz w:val="22"/>
        </w:rPr>
        <w:t>供应链金融平台的客户管理模块是平台运营的基础支撑，主要用于管理渠道经销商、银行机构、仓储合作方和核心企业等多方主体信息。通过建立统一的客户档案、标准化的准入流程和动态的资质管理机制，确保平台参与方的合规性和业务安全性，为融资业务开展、风险控制和业务决策提供可靠的数据基础。</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决策层：</w:t>
            </w:r>
          </w:p>
          <w:p>
            <w:pPr>
              <w:numPr>
                <w:numId w:val="6"/>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缺乏对核心企业推荐质量的量化评估（推荐客户不良率、首贷率、协同催收成功率等），无法识别优质合作伙伴并差异化管理。例如核心企业A推荐客户不良率1.5%，核心企业B高达6.8%，但平台采用相同合作政策，导致低质量客户占比过高，拉升整体不良率。</w:t>
            </w:r>
          </w:p>
          <w:p>
            <w:pPr>
              <w:numPr>
                <w:numId w:val="7"/>
              </w:numPr>
              <w:spacing w:before="120" w:after="120" w:line="288" w:lineRule="auto"/>
              <w:ind w:left="0"/>
              <w:jc w:val="left"/>
            </w:pPr>
            <w:r>
              <w:rPr>
                <w:rFonts w:eastAsia="等线" w:ascii="Arial" w:cs="Arial" w:hAnsi="Arial"/>
                <w:b w:val="true"/>
                <w:color w:val="d83931"/>
                <w:sz w:val="22"/>
              </w:rPr>
              <w:t>【期望】</w:t>
            </w:r>
            <w:r>
              <w:rPr>
                <w:rFonts w:eastAsia="等线" w:ascii="Arial" w:cs="Arial" w:hAnsi="Arial"/>
                <w:sz w:val="22"/>
              </w:rPr>
              <w:t>实时掌握各核心企业推荐质量指标，支持核心企业分级评估（S/A/B/C），差异化制定合作政策（S级快速审批+更高质押率，C级加强审核或暂停合作），推动优质核心企业推荐客户占比从40%提升至60%。</w:t>
            </w:r>
          </w:p>
          <w:p>
            <w:pPr>
              <w:numPr>
                <w:numId w:val="8"/>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建立统一的客户准入标准和多维度评估模型，通过客户分级管理和黑白名单机制，实现客户结构的动态优化和风险集中度控制。系统与核心企业建立数据对接通道，获取经销商的供货记录、信用评级、经营异常等信息，结合平台自身风控模型形成全面的客户画像。</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管理层：</w:t>
            </w:r>
          </w:p>
          <w:p>
            <w:pPr>
              <w:numPr>
                <w:numId w:val="9"/>
              </w:numPr>
              <w:spacing w:before="120" w:after="120" w:line="288" w:lineRule="auto"/>
              <w:ind w:left="0"/>
              <w:jc w:val="left"/>
            </w:pPr>
            <w:r>
              <w:rPr>
                <w:rFonts w:eastAsia="等线" w:ascii="Arial" w:cs="Arial" w:hAnsi="Arial"/>
                <w:b w:val="true"/>
                <w:sz w:val="22"/>
              </w:rPr>
              <w:t>客户准入与分层</w:t>
            </w:r>
          </w:p>
          <w:p>
            <w:pPr>
              <w:numPr>
                <w:numId w:val="10"/>
              </w:numPr>
              <w:spacing w:before="120" w:after="120" w:line="288" w:lineRule="auto"/>
              <w:ind w:left="453"/>
              <w:jc w:val="left"/>
            </w:pPr>
            <w:r>
              <w:rPr>
                <w:rFonts w:eastAsia="等线" w:ascii="Arial" w:cs="Arial" w:hAnsi="Arial"/>
                <w:b w:val="true"/>
                <w:color w:val="d83931"/>
                <w:sz w:val="22"/>
              </w:rPr>
              <w:t>【痛点1】</w:t>
            </w:r>
            <w:r>
              <w:rPr>
                <w:rFonts w:eastAsia="等线" w:ascii="Arial" w:cs="Arial" w:hAnsi="Arial"/>
                <w:sz w:val="22"/>
              </w:rPr>
              <w:t>为了</w:t>
            </w:r>
            <w:r>
              <w:rPr>
                <w:rFonts w:eastAsia="等线" w:ascii="Arial" w:cs="Arial" w:hAnsi="Arial"/>
                <w:b w:val="true"/>
                <w:sz w:val="22"/>
              </w:rPr>
              <w:t>提高优质客户占比至60%、降低不良率至2%以下</w:t>
            </w:r>
            <w:r>
              <w:rPr>
                <w:rFonts w:eastAsia="等线" w:ascii="Arial" w:cs="Arial" w:hAnsi="Arial"/>
                <w:sz w:val="22"/>
              </w:rPr>
              <w:t>（业务KPI），需要建立标准化的客户准入和分层管理体系，优先引入有核心企业信用背书的优质经销商。但由于：</w:t>
            </w:r>
          </w:p>
          <w:p>
            <w:pPr>
              <w:numPr>
                <w:numId w:val="11"/>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：准入流程缺乏核心企业实时推荐确认环节，无法核验经销商与核心企业的真实合作关系</w:t>
            </w:r>
          </w:p>
          <w:p>
            <w:pPr>
              <w:numPr>
                <w:numId w:val="12"/>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：经销商经营异常（销售下滑、串货违规等）缺乏与核心企业的信息共享机制，平台无法及时获知</w:t>
            </w:r>
          </w:p>
          <w:p>
            <w:pPr>
              <w:numPr>
                <w:numId w:val="13"/>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：客户信息分散在多个系统或Excel，准入审核流程冗长（平均5天）</w:t>
            </w:r>
          </w:p>
          <w:p>
            <w:pPr>
              <w:spacing w:before="120" w:after="120" w:line="288" w:lineRule="auto"/>
              <w:ind w:left="453"/>
              <w:jc w:val="left"/>
            </w:pPr>
            <w:r>
              <w:rPr>
                <w:rFonts w:eastAsia="等线" w:ascii="Arial" w:cs="Arial" w:hAnsi="Arial"/>
                <w:sz w:val="22"/>
              </w:rPr>
              <w:t>导致虚假合作关系难识别、客户风险变化发现滞后。例如某经销商伪造与核心企业合作关系，准入后逾期损失80万；某B级客户销售额从月均200万降至50万，平台3个月后才发现，期间新增融资150万最终逾期。</w:t>
            </w:r>
          </w:p>
          <w:p>
            <w:pPr>
              <w:numPr>
                <w:numId w:val="14"/>
              </w:numPr>
              <w:spacing w:before="120" w:after="120" w:line="288" w:lineRule="auto"/>
              <w:ind w:left="453"/>
              <w:jc w:val="left"/>
            </w:pPr>
            <w:r>
              <w:rPr>
                <w:rFonts w:eastAsia="等线" w:ascii="Arial" w:cs="Arial" w:hAnsi="Arial"/>
                <w:b w:val="true"/>
                <w:color w:val="d83931"/>
                <w:sz w:val="22"/>
              </w:rPr>
              <w:t>【期望1】</w:t>
            </w:r>
          </w:p>
          <w:p>
            <w:pPr>
              <w:numPr>
                <w:numId w:val="15"/>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：建立《核心企业推荐确认制度》，经销商准入须由核心企业推荐，核心企业在线确认并同步经销商信用数据；建立《核心企业信息共享机制》，经销商出现异常时核心企业主动推送预警</w:t>
            </w:r>
          </w:p>
          <w:p>
            <w:pPr>
              <w:numPr>
                <w:numId w:val="16"/>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：准入流程嵌入推荐确认环节（提交推荐→系统发起确认→核心企业响应→信用数据同步），建立集中统一的客户信息管理平台</w:t>
            </w:r>
          </w:p>
          <w:p>
            <w:pPr>
              <w:spacing w:before="120" w:after="120" w:line="288" w:lineRule="auto"/>
              <w:ind w:left="453"/>
              <w:jc w:val="left"/>
            </w:pPr>
            <w:r>
              <w:rPr>
                <w:rFonts w:eastAsia="等线" w:ascii="Arial" w:cs="Arial" w:hAnsi="Arial"/>
                <w:sz w:val="22"/>
              </w:rPr>
              <w:t>通过以上措施，准入审核时效从5天缩短至2天，优质客户占比提升至60%。</w:t>
            </w:r>
          </w:p>
          <w:p>
            <w:pPr>
              <w:numPr>
                <w:numId w:val="17"/>
              </w:numPr>
              <w:spacing w:before="120" w:after="120" w:line="288" w:lineRule="auto"/>
              <w:ind w:left="0"/>
              <w:jc w:val="left"/>
            </w:pPr>
            <w:r>
              <w:rPr>
                <w:rFonts w:eastAsia="等线" w:ascii="Arial" w:cs="Arial" w:hAnsi="Arial"/>
                <w:b w:val="true"/>
                <w:sz w:val="22"/>
              </w:rPr>
              <w:t>准入审核效率</w:t>
            </w:r>
          </w:p>
          <w:p>
            <w:pPr>
              <w:numPr>
                <w:numId w:val="18"/>
              </w:numPr>
              <w:spacing w:before="120" w:after="120" w:line="288" w:lineRule="auto"/>
              <w:ind w:left="453"/>
              <w:jc w:val="left"/>
            </w:pPr>
            <w:r>
              <w:rPr>
                <w:rFonts w:eastAsia="等线" w:ascii="Arial" w:cs="Arial" w:hAnsi="Arial"/>
                <w:b w:val="true"/>
                <w:color w:val="d83931"/>
                <w:sz w:val="22"/>
              </w:rPr>
              <w:t>【痛点2】</w:t>
            </w:r>
            <w:r>
              <w:rPr>
                <w:rFonts w:eastAsia="等线" w:ascii="Arial" w:cs="Arial" w:hAnsi="Arial"/>
                <w:sz w:val="22"/>
              </w:rPr>
              <w:t>为了</w:t>
            </w:r>
            <w:r>
              <w:rPr>
                <w:rFonts w:eastAsia="等线" w:ascii="Arial" w:cs="Arial" w:hAnsi="Arial"/>
                <w:b w:val="true"/>
                <w:sz w:val="22"/>
              </w:rPr>
              <w:t>提高准入通过率至65%、提升准入审核效率</w:t>
            </w:r>
            <w:r>
              <w:rPr>
                <w:rFonts w:eastAsia="等线" w:ascii="Arial" w:cs="Arial" w:hAnsi="Arial"/>
                <w:sz w:val="22"/>
              </w:rPr>
              <w:t>（业务KPI），需要优化准入审核流程，减少资料不完整导致的反复沟通。但由于：</w:t>
            </w:r>
          </w:p>
          <w:p>
            <w:pPr>
              <w:numPr>
                <w:numId w:val="19"/>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：缺乏标准化的资料提交规范，客户不清楚需要准备哪些材料</w:t>
            </w:r>
          </w:p>
          <w:p>
            <w:pPr>
              <w:numPr>
                <w:numId w:val="20"/>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：资料上传缺乏完整性校验，约50%申请因资料不完整需补充，平均沟通2-3轮；证照到期需手工逐个通知，易遗漏</w:t>
            </w:r>
          </w:p>
          <w:p>
            <w:pPr>
              <w:spacing w:before="120" w:after="120" w:line="288" w:lineRule="auto"/>
              <w:ind w:left="453"/>
              <w:jc w:val="left"/>
            </w:pPr>
            <w:r>
              <w:rPr>
                <w:rFonts w:eastAsia="等线" w:ascii="Arial" w:cs="Arial" w:hAnsi="Arial"/>
                <w:sz w:val="22"/>
              </w:rPr>
              <w:t>导致准入耗时长、客户体验差，部分客户因等待转向竞争对手。例如某客户营业执照到期后继续融资，事后发现合规风险。</w:t>
            </w:r>
          </w:p>
          <w:p>
            <w:pPr>
              <w:numPr>
                <w:numId w:val="21"/>
              </w:numPr>
              <w:spacing w:before="120" w:after="120" w:line="288" w:lineRule="auto"/>
              <w:ind w:left="453"/>
              <w:jc w:val="left"/>
            </w:pPr>
            <w:r>
              <w:rPr>
                <w:rFonts w:eastAsia="等线" w:ascii="Arial" w:cs="Arial" w:hAnsi="Arial"/>
                <w:b w:val="true"/>
                <w:color w:val="d83931"/>
                <w:sz w:val="22"/>
              </w:rPr>
              <w:t>【期望2】</w:t>
            </w:r>
          </w:p>
          <w:p>
            <w:pPr>
              <w:numPr>
                <w:numId w:val="22"/>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：制定《客户准入资料清单》明确必交材料和格式要求，建立《证照有效期管理制度》要求提前30天更新</w:t>
            </w:r>
          </w:p>
          <w:p>
            <w:pPr>
              <w:numPr>
                <w:numId w:val="23"/>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：提供标准化在线上传界面，内置完整性校验（资料不完整拒绝提交），自动监控证照有效期并提前预警</w:t>
            </w:r>
          </w:p>
          <w:p>
            <w:pPr>
              <w:spacing w:before="120" w:after="120" w:line="288" w:lineRule="auto"/>
              <w:ind w:left="453"/>
              <w:jc w:val="left"/>
            </w:pPr>
            <w:r>
              <w:rPr>
                <w:rFonts w:eastAsia="等线" w:ascii="Arial" w:cs="Arial" w:hAnsi="Arial"/>
                <w:sz w:val="22"/>
              </w:rPr>
              <w:t>通过以上措施，资料一次性完整率从50%提升至90%，准入审核时效缩短至2天，准入通过率稳定在60-70%。</w:t>
            </w:r>
          </w:p>
          <w:p>
            <w:pPr>
              <w:numPr>
                <w:numId w:val="24"/>
              </w:numPr>
              <w:spacing w:before="120" w:after="120" w:line="288" w:lineRule="auto"/>
              <w:ind w:left="0"/>
              <w:jc w:val="left"/>
            </w:pPr>
            <w:r>
              <w:rPr>
                <w:rFonts w:eastAsia="等线" w:ascii="Arial" w:cs="Arial" w:hAnsi="Arial"/>
                <w:b w:val="true"/>
                <w:sz w:val="22"/>
              </w:rPr>
              <w:t>核心企业推荐</w:t>
            </w:r>
          </w:p>
          <w:p>
            <w:pPr>
              <w:numPr>
                <w:numId w:val="25"/>
              </w:numPr>
              <w:spacing w:before="120" w:after="120" w:line="288" w:lineRule="auto"/>
              <w:ind w:left="453"/>
              <w:jc w:val="left"/>
            </w:pPr>
            <w:r>
              <w:rPr>
                <w:rFonts w:eastAsia="等线" w:ascii="Arial" w:cs="Arial" w:hAnsi="Arial"/>
                <w:b w:val="true"/>
                <w:color w:val="d83931"/>
                <w:sz w:val="22"/>
              </w:rPr>
              <w:t>【痛点3】</w:t>
            </w:r>
            <w:r>
              <w:rPr>
                <w:rFonts w:eastAsia="等线" w:ascii="Arial" w:cs="Arial" w:hAnsi="Arial"/>
                <w:sz w:val="22"/>
              </w:rPr>
              <w:t>为了</w:t>
            </w:r>
            <w:r>
              <w:rPr>
                <w:rFonts w:eastAsia="等线" w:ascii="Arial" w:cs="Arial" w:hAnsi="Arial"/>
                <w:b w:val="true"/>
                <w:sz w:val="22"/>
              </w:rPr>
              <w:t>提高核心企业推荐积极性和推荐质量</w:t>
            </w:r>
            <w:r>
              <w:rPr>
                <w:rFonts w:eastAsia="等线" w:ascii="Arial" w:cs="Arial" w:hAnsi="Arial"/>
                <w:sz w:val="22"/>
              </w:rPr>
              <w:t>（业务KPI），需要建立推荐激励和约束机制。但由于缺乏量化的推荐质量评估标准、激励政策不明确、低质量推荐无惩罚，导致核心企业推荐意愿参差不齐，部分核心企业"重数量轻质量"。</w:t>
            </w:r>
          </w:p>
          <w:p>
            <w:pPr>
              <w:numPr>
                <w:numId w:val="26"/>
              </w:numPr>
              <w:spacing w:before="120" w:after="120" w:line="288" w:lineRule="auto"/>
              <w:ind w:left="453"/>
              <w:jc w:val="left"/>
            </w:pPr>
            <w:r>
              <w:rPr>
                <w:rFonts w:eastAsia="等线" w:ascii="Arial" w:cs="Arial" w:hAnsi="Arial"/>
                <w:b w:val="true"/>
                <w:color w:val="d83931"/>
                <w:sz w:val="22"/>
              </w:rPr>
              <w:t>【期望3】</w:t>
            </w:r>
            <w:r>
              <w:rPr>
                <w:rFonts w:eastAsia="等线" w:ascii="Arial" w:cs="Arial" w:hAnsi="Arial"/>
                <w:sz w:val="22"/>
              </w:rPr>
              <w:t>建立《核心企业推荐激励制度》（推荐佣金+质量奖金+协同催收奖励），制定《推荐质量评估标准》（通过率、首贷率、逾期率加权计分），S级享特权、C级受限制，系统支持自动计算并每季度输出评估报告。</w:t>
            </w:r>
          </w:p>
          <w:p>
            <w:pPr>
              <w:numPr>
                <w:numId w:val="27"/>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系统提供统一的客户信息管理平台，支持在线准入申请和自动化审核流程，系统自动监控证照有效期、授信额度等关键信息并到期预警。系统集成核心企业的推荐确认接口，经销商准入时必须获得核心企业的</w:t>
            </w:r>
            <w:r>
              <w:rPr>
                <w:rFonts w:eastAsia="等线" w:ascii="Arial" w:cs="Arial" w:hAnsi="Arial"/>
                <w:b w:val="true"/>
                <w:sz w:val="22"/>
              </w:rPr>
              <w:t>推荐码</w:t>
            </w:r>
            <w:r>
              <w:rPr>
                <w:rFonts w:eastAsia="等线" w:ascii="Arial" w:cs="Arial" w:hAnsi="Arial"/>
                <w:sz w:val="22"/>
              </w:rPr>
              <w:t>或在线确认，系统自动调取核心企业提供的经销商供货记录、销售额、信用评级等数据自动导入客户档案。系统与核心企业建立信息推送机制，经销商出现异常时核心企业主动推送预警信息到平台，系统自动关联该经销商所有业务并评估风险。系统提供标准化的在线资料上传界面，内置资料完整性校验规则，资料不完整时系统自动提示并拒绝提交。通过客户分级管理（A/B/C级）和授信动态调整机制，实现客户结构的持续优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执行层：</w:t>
            </w:r>
          </w:p>
          <w:p>
            <w:pPr>
              <w:numPr>
                <w:numId w:val="28"/>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客户资料来自多渠道需手工整理录入，完整性需逐项核对并反复沟通（平均2-3轮），证照到期需手工逐个通知。经销商准入时需电话或邮件联系核心企业确认合作关系，耗时长且无法留存证据，供货合同、销售数据等需逐一核验真伪。</w:t>
            </w:r>
          </w:p>
          <w:p>
            <w:pPr>
              <w:numPr>
                <w:numId w:val="29"/>
              </w:numPr>
              <w:spacing w:before="120" w:after="120" w:line="288" w:lineRule="auto"/>
              <w:ind w:left="0"/>
              <w:jc w:val="left"/>
            </w:pPr>
            <w:r>
              <w:rPr>
                <w:rFonts w:eastAsia="等线" w:ascii="Arial" w:cs="Arial" w:hAnsi="Arial"/>
                <w:b w:val="true"/>
                <w:color w:val="d83931"/>
                <w:sz w:val="22"/>
              </w:rPr>
              <w:t>【期望】</w:t>
            </w:r>
          </w:p>
          <w:p>
            <w:pPr>
              <w:numPr>
                <w:numId w:val="30"/>
              </w:numPr>
              <w:spacing w:before="120" w:after="120" w:line="288" w:lineRule="auto"/>
              <w:ind w:left="453"/>
              <w:jc w:val="left"/>
            </w:pPr>
            <w:r>
              <w:rPr>
                <w:rFonts w:eastAsia="等线" w:ascii="Arial" w:cs="Arial" w:hAnsi="Arial"/>
                <w:b w:val="true"/>
                <w:sz w:val="22"/>
              </w:rPr>
              <w:t>操作规范</w:t>
            </w:r>
            <w:r>
              <w:rPr>
                <w:rFonts w:eastAsia="等线" w:ascii="Arial" w:cs="Arial" w:hAnsi="Arial"/>
                <w:sz w:val="22"/>
              </w:rPr>
              <w:t>：按《客户准入资料清单》指引客户一次性提交完整资料，按《核心企业推荐确认制度》在线获取推荐确认</w:t>
            </w:r>
          </w:p>
          <w:p>
            <w:pPr>
              <w:numPr>
                <w:numId w:val="31"/>
              </w:numPr>
              <w:spacing w:before="120" w:after="120" w:line="288" w:lineRule="auto"/>
              <w:ind w:left="453"/>
              <w:jc w:val="left"/>
            </w:pPr>
            <w:r>
              <w:rPr>
                <w:rFonts w:eastAsia="等线" w:ascii="Arial" w:cs="Arial" w:hAnsi="Arial"/>
                <w:b w:val="true"/>
                <w:sz w:val="22"/>
              </w:rPr>
              <w:t>系统支持</w:t>
            </w:r>
            <w:r>
              <w:rPr>
                <w:rFonts w:eastAsia="等线" w:ascii="Arial" w:cs="Arial" w:hAnsi="Arial"/>
                <w:sz w:val="22"/>
              </w:rPr>
              <w:t>：提供便捷的在线资料上传工具并自动检查完整性，证照到期自动提醒推送；准入时系统自动调取核心企业提供的经销商供货记录和信用评级，减少人工核验</w:t>
            </w:r>
          </w:p>
          <w:p>
            <w:pPr>
              <w:numPr>
                <w:numId w:val="32"/>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提供标准化的在线资料上传界面，内置资料完整性校验规则，系统自动监控证照有效期并提前预警，支持常规信息的快速审批或预授权修改。经销商提交准入申请时填写推荐码或选择推荐机构，系统自动向核心企业发起确认请求并实时反馈确认结果，系统与核心企业对接获取经销商的供货记录、销售额、信用评级等数据自动导入客户档案。</w:t>
            </w:r>
          </w:p>
        </w:tc>
      </w:tr>
    </w:tbl>
    <w:p>
      <w:pPr>
        <w:spacing w:before="120" w:after="120" w:line="288" w:lineRule="auto"/>
        <w:ind w:left="0"/>
        <w:jc w:val="left"/>
      </w:pPr>
      <w:r>
        <w:rPr>
          <w:rFonts w:eastAsia="等线" w:ascii="Arial" w:cs="Arial" w:hAnsi="Arial"/>
          <w:b w:val="true"/>
          <w:sz w:val="22"/>
        </w:rPr>
        <w:t>主要核心功能：</w:t>
      </w:r>
    </w:p>
    <w:p>
      <w:pPr>
        <w:spacing w:before="120" w:after="120" w:line="288" w:lineRule="auto"/>
        <w:ind w:left="0"/>
        <w:jc w:val="left"/>
      </w:pPr>
      <w:r>
        <w:rPr>
          <w:rFonts w:eastAsia="等线" w:ascii="Arial" w:cs="Arial" w:hAnsi="Arial"/>
          <w:b w:val="true"/>
          <w:sz w:val="22"/>
        </w:rPr>
        <w:t>企业客户管理</w:t>
      </w:r>
      <w:r>
        <w:rPr>
          <w:rFonts w:eastAsia="等线" w:ascii="Arial" w:cs="Arial" w:hAnsi="Arial"/>
          <w:sz w:val="22"/>
        </w:rPr>
        <w:t>：建立完整的渠道经销商档案，支持客户分级分类、授信额度管理、黑白名单维护和风险标签设置。记录经销商与核心企业的合作关系（合作年限、供货规模、信用等级等），展示核心企业提供的经销商经营数据和风险评价。</w:t>
      </w:r>
    </w:p>
    <w:p>
      <w:pPr>
        <w:spacing w:before="120" w:after="120" w:line="288" w:lineRule="auto"/>
        <w:ind w:left="0"/>
        <w:jc w:val="left"/>
      </w:pPr>
      <w:r>
        <w:rPr>
          <w:rFonts w:eastAsia="等线" w:ascii="Arial" w:cs="Arial" w:hAnsi="Arial"/>
          <w:b w:val="true"/>
          <w:sz w:val="22"/>
        </w:rPr>
        <w:t>核心企业管理</w:t>
      </w:r>
      <w:r>
        <w:rPr>
          <w:rFonts w:eastAsia="等线" w:ascii="Arial" w:cs="Arial" w:hAnsi="Arial"/>
          <w:sz w:val="22"/>
        </w:rPr>
        <w:t>：建立核心企业档案，管理核心企业与平台的合作协议、推荐经销商清单、信息共享规则和协同风控机制。系统记录核心企业推荐的经销商数量、融资规模、逾期情况等统计数据，为合作评估提供依据。支持与核心企业ERP系统的数据对接，实时获取经销商供货记录、信用评级等信息。</w:t>
      </w:r>
    </w:p>
    <w:p>
      <w:pPr>
        <w:spacing w:before="120" w:after="120" w:line="288" w:lineRule="auto"/>
        <w:ind w:left="0"/>
        <w:jc w:val="left"/>
      </w:pPr>
      <w:r>
        <w:rPr>
          <w:rFonts w:eastAsia="等线" w:ascii="Arial" w:cs="Arial" w:hAnsi="Arial"/>
          <w:b w:val="true"/>
          <w:sz w:val="22"/>
        </w:rPr>
        <w:t>银行机构管理</w:t>
      </w:r>
      <w:r>
        <w:rPr>
          <w:rFonts w:eastAsia="等线" w:ascii="Arial" w:cs="Arial" w:hAnsi="Arial"/>
          <w:sz w:val="22"/>
        </w:rPr>
        <w:t>：管理合作银行的机构信息、产品目录、授信政策、额度分配和结算规则，实现银行资源的统一调度。</w:t>
      </w:r>
    </w:p>
    <w:p>
      <w:pPr>
        <w:spacing w:before="120" w:after="120" w:line="288" w:lineRule="auto"/>
        <w:ind w:left="0"/>
        <w:jc w:val="left"/>
      </w:pPr>
      <w:r>
        <w:rPr>
          <w:rFonts w:eastAsia="等线" w:ascii="Arial" w:cs="Arial" w:hAnsi="Arial"/>
          <w:b w:val="true"/>
          <w:sz w:val="22"/>
        </w:rPr>
        <w:t>仓储合作方管理</w:t>
      </w:r>
      <w:r>
        <w:rPr>
          <w:rFonts w:eastAsia="等线" w:ascii="Arial" w:cs="Arial" w:hAnsi="Arial"/>
          <w:sz w:val="22"/>
        </w:rPr>
        <w:t>：建立仓储企业档案，包括仓库资质认证、监管能力评估、服务协议管理和资质到期预警。评估仓储方对不同品类商品的存储条件和监管能力。</w:t>
      </w:r>
    </w:p>
    <w:p>
      <w:pPr>
        <w:spacing w:before="120" w:after="120" w:line="288" w:lineRule="auto"/>
        <w:ind w:left="0"/>
        <w:jc w:val="left"/>
      </w:pPr>
      <w:r>
        <w:rPr>
          <w:rFonts w:eastAsia="等线" w:ascii="Arial" w:cs="Arial" w:hAnsi="Arial"/>
          <w:b w:val="true"/>
          <w:sz w:val="22"/>
        </w:rPr>
        <w:t>客户准入审核</w:t>
      </w:r>
      <w:r>
        <w:rPr>
          <w:rFonts w:eastAsia="等线" w:ascii="Arial" w:cs="Arial" w:hAnsi="Arial"/>
          <w:sz w:val="22"/>
        </w:rPr>
        <w:t>：支持在线准入申请、标准化资料上传、资料完整性自动校验和多维度尽职调查，实现准入流程的标准化和可追溯。准入流程包含核心企业推荐确认环节，系统自动校验经销商与核心企业的合作关系真实性，并调取核心企业提供的经销商信用评级和经营数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2.1.2 </w:t>
      </w:r>
      <w:r>
        <w:rPr>
          <w:rFonts w:eastAsia="等线" w:ascii="Arial" w:cs="Arial" w:hAnsi="Arial"/>
          <w:b w:val="true"/>
          <w:sz w:val="30"/>
        </w:rPr>
        <w:t>融资业务管理</w:t>
      </w:r>
      <w:bookmarkEnd w:id="4"/>
    </w:p>
    <w:p>
      <w:pPr>
        <w:spacing w:before="120" w:after="120" w:line="288" w:lineRule="auto"/>
        <w:ind w:left="0"/>
        <w:jc w:val="left"/>
      </w:pPr>
      <w:r>
        <w:rPr>
          <w:rFonts w:eastAsia="等线" w:ascii="Arial" w:cs="Arial" w:hAnsi="Arial"/>
          <w:sz w:val="22"/>
        </w:rPr>
        <w:t>供应链金融平台的融资业务管理模块是平台的核心业务引擎，贯穿融资申请、审批、放款、还款的全生命周期。通过在线化、自动化的业务流程，实现企业融资需求的快速响应和精细化管理，支撑平台业务规模的持续增长。</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决策层：</w:t>
            </w:r>
          </w:p>
          <w:p>
            <w:pPr>
              <w:numPr>
                <w:numId w:val="33"/>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缺乏各环节审批时效、积压量、一次通过率等运营效率数据的实时穿透分析，无法及时定位流程瓶颈。例如资产周转率从6.5次/年下降至5.2次/年，平均融资周期从50天延长至70天，3个月后才发现瓶颈在审批环节（从1天延长至2.5天）。</w:t>
            </w:r>
          </w:p>
          <w:p>
            <w:pPr>
              <w:numPr>
                <w:numId w:val="34"/>
              </w:numPr>
              <w:spacing w:before="120" w:after="120" w:line="288" w:lineRule="auto"/>
              <w:ind w:left="0"/>
              <w:jc w:val="left"/>
            </w:pPr>
            <w:r>
              <w:rPr>
                <w:rFonts w:eastAsia="等线" w:ascii="Arial" w:cs="Arial" w:hAnsi="Arial"/>
                <w:b w:val="true"/>
                <w:color w:val="d83931"/>
                <w:sz w:val="22"/>
              </w:rPr>
              <w:t>【期望】</w:t>
            </w:r>
            <w:r>
              <w:rPr>
                <w:rFonts w:eastAsia="等线" w:ascii="Arial" w:cs="Arial" w:hAnsi="Arial"/>
                <w:sz w:val="22"/>
              </w:rPr>
              <w:t>实时掌握各环节效率指标，支持流程瓶颈定位和资源调配决策。通过自动化审批机制（标准业务系统自动审批）、集成化审批工作台、申请前置校验等措施，推动审批时效恢复至1天以内，资产周转率恢复至6.5次/年。</w:t>
            </w:r>
          </w:p>
          <w:p>
            <w:pPr>
              <w:numPr>
                <w:numId w:val="35"/>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建立端到端的融资业务管理平台，支持在线申请和自动化审批流转，提供多维度业务看板实时展示关键指标，通过业务流程的标准化和全程记录提供流程优化建议。对于核心企业推荐的优质经销商，系统支持简化审批流程或预授信额度快速审批，对于核心企业标注风险的经销商系统自动触发加强审核流程。</w:t>
            </w:r>
          </w:p>
          <w:p>
            <w:pPr>
              <w:spacing w:before="120" w:after="120" w:line="288" w:lineRule="auto"/>
              <w:ind w:left="0"/>
              <w:jc w:val="left"/>
            </w:pPr>
            <w:r>
              <w:rPr>
                <w:rFonts w:eastAsia="等线" w:ascii="Arial" w:cs="Arial" w:hAnsi="Arial"/>
                <w:sz w:val="22"/>
              </w:rPr>
              <w:t>📋</w:t>
            </w:r>
            <w:r>
              <w:rPr>
                <w:rFonts w:eastAsia="等线" w:ascii="Arial" w:cs="Arial" w:hAnsi="Arial"/>
                <w:b w:val="true"/>
                <w:sz w:val="22"/>
              </w:rPr>
              <w:t xml:space="preserve"> 管理层：</w:t>
            </w:r>
          </w:p>
          <w:p>
            <w:pPr>
              <w:numPr>
                <w:numId w:val="36"/>
              </w:numPr>
              <w:spacing w:before="120" w:after="120" w:line="288" w:lineRule="auto"/>
              <w:ind w:left="0"/>
              <w:jc w:val="left"/>
            </w:pPr>
            <w:r>
              <w:rPr>
                <w:rFonts w:eastAsia="等线" w:ascii="Arial" w:cs="Arial" w:hAnsi="Arial"/>
                <w:b w:val="true"/>
                <w:sz w:val="22"/>
              </w:rPr>
              <w:t>融资审批效率</w:t>
            </w:r>
          </w:p>
          <w:p>
            <w:pPr>
              <w:numPr>
                <w:numId w:val="37"/>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将审批时效缩短至1天以内、业务量增长率提升至30%/年</w:t>
            </w:r>
            <w:r>
              <w:rPr>
                <w:rFonts w:eastAsia="等线" w:ascii="Arial" w:cs="Arial" w:hAnsi="Arial"/>
                <w:sz w:val="22"/>
              </w:rPr>
              <w:t>（业务KPI），需要建立高效的审批流转机制。但由于：</w:t>
            </w:r>
          </w:p>
          <w:p>
            <w:pPr>
              <w:numPr>
                <w:numId w:val="38"/>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：业务量增长（月均200笔→500笔）但审批人员未增加，缺乏分级授权机制，所有业务都需人工审批；审批人员缺乏统一的决策标准和质量考核</w:t>
            </w:r>
          </w:p>
          <w:p>
            <w:pPr>
              <w:numPr>
                <w:numId w:val="39"/>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：核心企业风险预警（串货、销售下滑等）无法实时联动审批流程</w:t>
            </w:r>
          </w:p>
          <w:p>
            <w:pPr>
              <w:numPr>
                <w:numId w:val="40"/>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：审批需在多系统间切换查询（客户信息、授信额度、在途业务、质押物等），约40%申请资料不完整需反复沟通</w:t>
            </w:r>
          </w:p>
          <w:p>
            <w:pPr>
              <w:spacing w:before="120" w:after="120" w:line="288" w:lineRule="auto"/>
              <w:ind w:left="453"/>
              <w:jc w:val="left"/>
            </w:pPr>
            <w:r>
              <w:rPr>
                <w:rFonts w:eastAsia="等线" w:ascii="Arial" w:cs="Arial" w:hAnsi="Arial"/>
                <w:sz w:val="22"/>
              </w:rPr>
              <w:t>导致审批时效从1天延长至2.5天，审批积压严重，客户频繁询问进度。</w:t>
            </w:r>
          </w:p>
          <w:p>
            <w:pPr>
              <w:numPr>
                <w:numId w:val="41"/>
              </w:numPr>
              <w:spacing w:before="120" w:after="120" w:line="288" w:lineRule="auto"/>
              <w:ind w:left="453"/>
              <w:jc w:val="left"/>
            </w:pPr>
            <w:r>
              <w:rPr>
                <w:rFonts w:eastAsia="等线" w:ascii="Arial" w:cs="Arial" w:hAnsi="Arial"/>
                <w:b w:val="true"/>
                <w:color w:val="d83931"/>
                <w:sz w:val="22"/>
              </w:rPr>
              <w:t>【期望】</w:t>
            </w:r>
          </w:p>
          <w:p>
            <w:pPr>
              <w:numPr>
                <w:numId w:val="42"/>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分级授权审批制度》（A级客户+≤30万+质押率≤70%走快速通道，仅需2级审批）；制定《审批人员考核办法》（审批及时率≥95%、审批通过后逾期率≤3%）；建立《审批案例库制度》沉淀优秀/问题/争议案例</w:t>
            </w:r>
          </w:p>
          <w:p>
            <w:pPr>
              <w:numPr>
                <w:numId w:val="43"/>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：集成化审批页面一页展示所有决策信息，核心企业预警实时联动并阻断高风险自动审批，标准业务系统自动审批（预计覆盖60%业务量）</w:t>
            </w:r>
          </w:p>
          <w:p>
            <w:pPr>
              <w:spacing w:before="120" w:after="120" w:line="288" w:lineRule="auto"/>
              <w:ind w:left="453"/>
              <w:jc w:val="left"/>
            </w:pPr>
            <w:r>
              <w:rPr>
                <w:rFonts w:eastAsia="等线" w:ascii="Arial" w:cs="Arial" w:hAnsi="Arial"/>
                <w:sz w:val="22"/>
              </w:rPr>
              <w:t>通过以上措施，审批时效从2.5天缩短至1天，人工审批聚焦高风险或大额业务。</w:t>
            </w:r>
          </w:p>
          <w:p>
            <w:pPr>
              <w:numPr>
                <w:numId w:val="44"/>
              </w:numPr>
              <w:spacing w:before="120" w:after="120" w:line="288" w:lineRule="auto"/>
              <w:ind w:left="0"/>
              <w:jc w:val="left"/>
            </w:pPr>
            <w:r>
              <w:rPr>
                <w:rFonts w:eastAsia="等线" w:ascii="Arial" w:cs="Arial" w:hAnsi="Arial"/>
                <w:b w:val="true"/>
                <w:sz w:val="22"/>
              </w:rPr>
              <w:t>申请资料规范</w:t>
            </w:r>
          </w:p>
          <w:p>
            <w:pPr>
              <w:numPr>
                <w:numId w:val="45"/>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将申请一次通过率提升至80%以上</w:t>
            </w:r>
            <w:r>
              <w:rPr>
                <w:rFonts w:eastAsia="等线" w:ascii="Arial" w:cs="Arial" w:hAnsi="Arial"/>
                <w:sz w:val="22"/>
              </w:rPr>
              <w:t>（业务KPI），需要规范融资申请流程。但由于：</w:t>
            </w:r>
          </w:p>
          <w:p>
            <w:pPr>
              <w:numPr>
                <w:numId w:val="46"/>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：缺乏标准化的申请资料清单和填报规范，客户不清楚需准备哪些材料</w:t>
            </w:r>
          </w:p>
          <w:p>
            <w:pPr>
              <w:numPr>
                <w:numId w:val="47"/>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：申请表单缺乏前置校验，约40%申请因资料不完整需补充，平均沟通2-3轮</w:t>
            </w:r>
          </w:p>
          <w:p>
            <w:pPr>
              <w:spacing w:before="120" w:after="120" w:line="288" w:lineRule="auto"/>
              <w:ind w:left="453"/>
              <w:jc w:val="left"/>
            </w:pPr>
            <w:r>
              <w:rPr>
                <w:rFonts w:eastAsia="等线" w:ascii="Arial" w:cs="Arial" w:hAnsi="Arial"/>
                <w:sz w:val="22"/>
              </w:rPr>
              <w:t>导致申请一次通过率仅60%，审批人员大量时间耗费在沟通补资料上。</w:t>
            </w:r>
          </w:p>
          <w:p>
            <w:pPr>
              <w:numPr>
                <w:numId w:val="48"/>
              </w:numPr>
              <w:spacing w:before="120" w:after="120" w:line="288" w:lineRule="auto"/>
              <w:ind w:left="453"/>
              <w:jc w:val="left"/>
            </w:pPr>
            <w:r>
              <w:rPr>
                <w:rFonts w:eastAsia="等线" w:ascii="Arial" w:cs="Arial" w:hAnsi="Arial"/>
                <w:b w:val="true"/>
                <w:color w:val="d83931"/>
                <w:sz w:val="22"/>
              </w:rPr>
              <w:t>【期望】</w:t>
            </w:r>
          </w:p>
          <w:p>
            <w:pPr>
              <w:numPr>
                <w:numId w:val="49"/>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：制定《融资申请资料标准》明确必交材料、格式要求、常见问题说明</w:t>
            </w:r>
          </w:p>
          <w:p>
            <w:pPr>
              <w:numPr>
                <w:numId w:val="50"/>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：标准化在线申请表单，内置必填项校验和格式检查（额度、货值、资质、证照有效期等），不满足条件自动驳回并说明原因</w:t>
            </w:r>
          </w:p>
          <w:p>
            <w:pPr>
              <w:spacing w:before="120" w:after="120" w:line="288" w:lineRule="auto"/>
              <w:ind w:left="453"/>
              <w:jc w:val="left"/>
            </w:pPr>
            <w:r>
              <w:rPr>
                <w:rFonts w:eastAsia="等线" w:ascii="Arial" w:cs="Arial" w:hAnsi="Arial"/>
                <w:sz w:val="22"/>
              </w:rPr>
              <w:t>通过以上措施，申请一次通过率从60%提升至80%以上。</w:t>
            </w:r>
          </w:p>
          <w:p>
            <w:pPr>
              <w:numPr>
                <w:numId w:val="51"/>
              </w:numPr>
              <w:spacing w:before="120" w:after="120" w:line="288" w:lineRule="auto"/>
              <w:ind w:left="0"/>
              <w:jc w:val="left"/>
            </w:pPr>
            <w:r>
              <w:rPr>
                <w:rFonts w:eastAsia="等线" w:ascii="Arial" w:cs="Arial" w:hAnsi="Arial"/>
                <w:b w:val="true"/>
                <w:sz w:val="22"/>
              </w:rPr>
              <w:t>银行数据协同</w:t>
            </w:r>
          </w:p>
          <w:p>
            <w:pPr>
              <w:numPr>
                <w:numId w:val="52"/>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将放款成功率提升至98%、银行对账准确率达100%</w:t>
            </w:r>
            <w:r>
              <w:rPr>
                <w:rFonts w:eastAsia="等线" w:ascii="Arial" w:cs="Arial" w:hAnsi="Arial"/>
                <w:sz w:val="22"/>
              </w:rPr>
              <w:t>（业务KPI），需要实现与银行系统的高效协同。但由于：</w:t>
            </w:r>
          </w:p>
          <w:p>
            <w:pPr>
              <w:numPr>
                <w:numId w:val="53"/>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：银行出库授权通过邮件或传真发送，信息传递慢且易出错</w:t>
            </w:r>
          </w:p>
          <w:p>
            <w:pPr>
              <w:numPr>
                <w:numId w:val="54"/>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：放款、还款数据需手工录入和对账，每日耗时2-4小时，信息同步滞后0.5-1天</w:t>
            </w:r>
          </w:p>
          <w:p>
            <w:pPr>
              <w:spacing w:before="120" w:after="120" w:line="288" w:lineRule="auto"/>
              <w:ind w:left="453"/>
              <w:jc w:val="left"/>
            </w:pPr>
            <w:r>
              <w:rPr>
                <w:rFonts w:eastAsia="等线" w:ascii="Arial" w:cs="Arial" w:hAnsi="Arial"/>
                <w:sz w:val="22"/>
              </w:rPr>
              <w:t>导致放款成功率仅93%，对账繁琐且偶有差异。</w:t>
            </w:r>
          </w:p>
          <w:p>
            <w:pPr>
              <w:numPr>
                <w:numId w:val="55"/>
              </w:numPr>
              <w:spacing w:before="120" w:after="120" w:line="288" w:lineRule="auto"/>
              <w:ind w:left="453"/>
              <w:jc w:val="left"/>
            </w:pPr>
            <w:r>
              <w:rPr>
                <w:rFonts w:eastAsia="等线" w:ascii="Arial" w:cs="Arial" w:hAnsi="Arial"/>
                <w:b w:val="true"/>
                <w:color w:val="d83931"/>
                <w:sz w:val="22"/>
              </w:rPr>
              <w:t>【期望】</w:t>
            </w:r>
          </w:p>
          <w:p>
            <w:pPr>
              <w:numPr>
                <w:numId w:val="56"/>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：与银行建立《数据对接规范》，明确接口标准、同步频率、异常处理流程</w:t>
            </w:r>
          </w:p>
          <w:p>
            <w:pPr>
              <w:numPr>
                <w:numId w:val="57"/>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：系统对接银行接口，放款/还款/出库授权数据自动同步，系统自动对账并标注异常</w:t>
            </w:r>
          </w:p>
          <w:p>
            <w:pPr>
              <w:spacing w:before="120" w:after="120" w:line="288" w:lineRule="auto"/>
              <w:ind w:left="453"/>
              <w:jc w:val="left"/>
            </w:pPr>
            <w:r>
              <w:rPr>
                <w:rFonts w:eastAsia="等线" w:ascii="Arial" w:cs="Arial" w:hAnsi="Arial"/>
                <w:sz w:val="22"/>
              </w:rPr>
              <w:t>通过以上措施，放款成功率提升至98%，对账时效从2-4小时缩短至30分钟。</w:t>
            </w:r>
          </w:p>
          <w:p>
            <w:pPr>
              <w:numPr>
                <w:numId w:val="58"/>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提供标准化的融资申请界面包含智能表单校验，系统内置必填项校验和格式检查，资料不完整时自动提示并拒绝提交。通过可配置的审批流程引擎支持自动流转和在线审批，审批页面采用集成化设计，所有决策信息在一个页面展示，支持一键审批。对于核心企业推荐的优质经销商（A级客户），系统支持简化审批流程或预授信额度快速审批，对于核心企业标注风险的经销商系统自动触发加强审核流程。系统与银行系统对接实现数据自动同步和对账，银行放款、还款后系统自动接收数据并更新业务状态，银行出库授权自动推送到平台并触发出库审批流程。为企业提供全流程进度查询功能，客户可自助查询业务进度。</w:t>
            </w:r>
          </w:p>
          <w:p>
            <w:pPr>
              <w:spacing w:before="120" w:after="120" w:line="288" w:lineRule="auto"/>
              <w:ind w:left="0"/>
              <w:jc w:val="left"/>
            </w:pPr>
            <w:r>
              <w:rPr>
                <w:rFonts w:eastAsia="等线" w:ascii="Arial" w:cs="Arial" w:hAnsi="Arial"/>
                <w:b w:val="true"/>
                <w:sz w:val="22"/>
              </w:rPr>
              <w:t>🔧 执行层：</w:t>
            </w:r>
          </w:p>
          <w:p>
            <w:pPr>
              <w:numPr>
                <w:numId w:val="59"/>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每天处理大量融资申请需逐个查看，申请信息不规范导致多次沟通补资料，审批时需在多个页面查询相关信息，客户频繁打电话询问进度，放款还款数据需手工核对Excel。</w:t>
            </w:r>
          </w:p>
          <w:p>
            <w:pPr>
              <w:numPr>
                <w:numId w:val="60"/>
              </w:numPr>
              <w:spacing w:before="120" w:after="120" w:line="288" w:lineRule="auto"/>
              <w:ind w:left="0"/>
              <w:jc w:val="left"/>
            </w:pPr>
            <w:r>
              <w:rPr>
                <w:rFonts w:eastAsia="等线" w:ascii="Arial" w:cs="Arial" w:hAnsi="Arial"/>
                <w:b w:val="true"/>
                <w:color w:val="d83931"/>
                <w:sz w:val="22"/>
              </w:rPr>
              <w:t>【期望】</w:t>
            </w:r>
          </w:p>
          <w:p>
            <w:pPr>
              <w:numPr>
                <w:numId w:val="61"/>
              </w:numPr>
              <w:spacing w:before="120" w:after="120" w:line="288" w:lineRule="auto"/>
              <w:ind w:left="453"/>
              <w:jc w:val="left"/>
            </w:pPr>
            <w:r>
              <w:rPr>
                <w:rFonts w:eastAsia="等线" w:ascii="Arial" w:cs="Arial" w:hAnsi="Arial"/>
                <w:b w:val="true"/>
                <w:sz w:val="22"/>
              </w:rPr>
              <w:t>操作规范</w:t>
            </w:r>
            <w:r>
              <w:rPr>
                <w:rFonts w:eastAsia="等线" w:ascii="Arial" w:cs="Arial" w:hAnsi="Arial"/>
                <w:sz w:val="22"/>
              </w:rPr>
              <w:t>：按《融资申请资料标准》指引客户一次性提交完整资料，按《分级授权审批制度》快速识别可走快速通道的业务</w:t>
            </w:r>
          </w:p>
          <w:p>
            <w:pPr>
              <w:numPr>
                <w:numId w:val="62"/>
              </w:numPr>
              <w:spacing w:before="120" w:after="120" w:line="288" w:lineRule="auto"/>
              <w:ind w:left="453"/>
              <w:jc w:val="left"/>
            </w:pPr>
            <w:r>
              <w:rPr>
                <w:rFonts w:eastAsia="等线" w:ascii="Arial" w:cs="Arial" w:hAnsi="Arial"/>
                <w:b w:val="true"/>
                <w:sz w:val="22"/>
              </w:rPr>
              <w:t>系统支持</w:t>
            </w:r>
            <w:r>
              <w:rPr>
                <w:rFonts w:eastAsia="等线" w:ascii="Arial" w:cs="Arial" w:hAnsi="Arial"/>
                <w:sz w:val="22"/>
              </w:rPr>
              <w:t>：提供智能待办任务中心（按紧急程度排序、支持批量操作），审批页面集成化设计支持一键审批，客户端提供自助进度查询，系统自动对账并推送异常</w:t>
            </w:r>
          </w:p>
          <w:p>
            <w:pPr>
              <w:numPr>
                <w:numId w:val="63"/>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系统提供智能待办任务中心支持多维度筛选，申请表单内置必填项校验和格式检查，审批页面采用集成化设计一键审批，为企业端提供自助进度查询功能，系统自动完成数据对账并推送异常。</w:t>
            </w:r>
          </w:p>
        </w:tc>
      </w:tr>
    </w:tbl>
    <w:p>
      <w:pPr>
        <w:spacing w:before="120" w:after="120" w:line="288" w:lineRule="auto"/>
        <w:ind w:left="0"/>
        <w:jc w:val="left"/>
      </w:pPr>
      <w:r>
        <w:rPr>
          <w:rFonts w:eastAsia="等线" w:ascii="Arial" w:cs="Arial" w:hAnsi="Arial"/>
          <w:b w:val="true"/>
          <w:sz w:val="22"/>
        </w:rPr>
        <w:t>主要核心功能：</w:t>
      </w:r>
    </w:p>
    <w:p>
      <w:pPr>
        <w:spacing w:before="120" w:after="120" w:line="288" w:lineRule="auto"/>
        <w:ind w:left="0"/>
        <w:jc w:val="left"/>
      </w:pPr>
      <w:r>
        <w:rPr>
          <w:rFonts w:eastAsia="等线" w:ascii="Arial" w:cs="Arial" w:hAnsi="Arial"/>
          <w:b w:val="true"/>
          <w:sz w:val="22"/>
        </w:rPr>
        <w:t>业务看板</w:t>
      </w:r>
      <w:r>
        <w:rPr>
          <w:rFonts w:eastAsia="等线" w:ascii="Arial" w:cs="Arial" w:hAnsi="Arial"/>
          <w:sz w:val="22"/>
        </w:rPr>
        <w:t>：提供融资业务的多维度实时监控，包括融资规模统计、放款趋势分析、还款进度跟踪和逾期预警提示。支持按行业、核心企业、品类等维度的灵活分析。</w:t>
      </w:r>
    </w:p>
    <w:p>
      <w:pPr>
        <w:spacing w:before="120" w:after="120" w:line="288" w:lineRule="auto"/>
        <w:ind w:left="0"/>
        <w:jc w:val="left"/>
      </w:pPr>
      <w:r>
        <w:rPr>
          <w:rFonts w:eastAsia="等线" w:ascii="Arial" w:cs="Arial" w:hAnsi="Arial"/>
          <w:b w:val="true"/>
          <w:sz w:val="22"/>
        </w:rPr>
        <w:t>融资申请处理</w:t>
      </w:r>
      <w:r>
        <w:rPr>
          <w:rFonts w:eastAsia="等线" w:ascii="Arial" w:cs="Arial" w:hAnsi="Arial"/>
          <w:sz w:val="22"/>
        </w:rPr>
        <w:t>：支持企业在线提交融资申请，系统自动校验申请信息的完整性和合规性，提供智能待办任务中心和批量操作功能。系统自动关联经销商的核心企业推荐信息和信用评级。</w:t>
      </w:r>
    </w:p>
    <w:p>
      <w:pPr>
        <w:spacing w:before="120" w:after="120" w:line="288" w:lineRule="auto"/>
        <w:ind w:left="0"/>
        <w:jc w:val="left"/>
      </w:pPr>
      <w:r>
        <w:rPr>
          <w:rFonts w:eastAsia="等线" w:ascii="Arial" w:cs="Arial" w:hAnsi="Arial"/>
          <w:b w:val="true"/>
          <w:sz w:val="22"/>
        </w:rPr>
        <w:t>审批流转</w:t>
      </w:r>
      <w:r>
        <w:rPr>
          <w:rFonts w:eastAsia="等线" w:ascii="Arial" w:cs="Arial" w:hAnsi="Arial"/>
          <w:sz w:val="22"/>
        </w:rPr>
        <w:t>：提供可配置的审批流程引擎，支持多级审批、并行审批、会签等多种模式，实现审批任务的自动分配和在线审批。支持根据核心企业推荐等级、经销商信用评级等条件设置差异化审批流程。</w:t>
      </w:r>
    </w:p>
    <w:p>
      <w:pPr>
        <w:spacing w:before="120" w:after="120" w:line="288" w:lineRule="auto"/>
        <w:ind w:left="0"/>
        <w:jc w:val="left"/>
      </w:pPr>
      <w:r>
        <w:rPr>
          <w:rFonts w:eastAsia="等线" w:ascii="Arial" w:cs="Arial" w:hAnsi="Arial"/>
          <w:b w:val="true"/>
          <w:sz w:val="22"/>
        </w:rPr>
        <w:t>放款管理</w:t>
      </w:r>
      <w:r>
        <w:rPr>
          <w:rFonts w:eastAsia="等线" w:ascii="Arial" w:cs="Arial" w:hAnsi="Arial"/>
          <w:sz w:val="22"/>
        </w:rPr>
        <w:t>：支持放款申请的审核、放款指令的生成和发送，与银行系统对接实现放款数据的自动同步和对账。</w:t>
      </w:r>
    </w:p>
    <w:p>
      <w:pPr>
        <w:spacing w:before="120" w:after="120" w:line="288" w:lineRule="auto"/>
        <w:ind w:left="0"/>
        <w:jc w:val="left"/>
      </w:pPr>
      <w:r>
        <w:rPr>
          <w:rFonts w:eastAsia="等线" w:ascii="Arial" w:cs="Arial" w:hAnsi="Arial"/>
          <w:b w:val="true"/>
          <w:sz w:val="22"/>
        </w:rPr>
        <w:t>还款管理</w:t>
      </w:r>
      <w:r>
        <w:rPr>
          <w:rFonts w:eastAsia="等线" w:ascii="Arial" w:cs="Arial" w:hAnsi="Arial"/>
          <w:sz w:val="22"/>
        </w:rPr>
        <w:t>：支持还款计划的生成和维护、还款提醒的自动发送、还款数据的实时记录和对账，提供多种还款场景的处理流程。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2.1.3 </w:t>
      </w:r>
      <w:r>
        <w:rPr>
          <w:rFonts w:eastAsia="等线" w:ascii="Arial" w:cs="Arial" w:hAnsi="Arial"/>
          <w:b w:val="true"/>
          <w:color w:val="d83931"/>
          <w:sz w:val="30"/>
        </w:rPr>
        <w:t>货权管理（重点方案）</w:t>
      </w:r>
      <w:bookmarkEnd w:id="5"/>
    </w:p>
    <w:p>
      <w:pPr>
        <w:spacing w:before="120" w:after="120" w:line="288" w:lineRule="auto"/>
        <w:ind w:left="0"/>
        <w:jc w:val="left"/>
      </w:pPr>
      <w:r>
        <w:rPr>
          <w:rFonts w:eastAsia="等线" w:ascii="Arial" w:cs="Arial" w:hAnsi="Arial"/>
          <w:sz w:val="22"/>
        </w:rPr>
        <w:t>供应链金融平台的货权管理模块是控货质押模式的核心控制环节，通过对质押货物的实时监控和权属管理，确保质押物真实存在、价值可控、权属清晰，为银行资金安全提供坚实保障。该模块涵盖货物监控（实物层面的状态监控、货值追踪、异常预警）和仓单管理（权属层面的仓单开立、质押登记、变更、解押），通过与物流WMS系统的实时对接，实现货权的全程可视、可控、可追溯。</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决策层：</w:t>
            </w:r>
          </w:p>
          <w:p>
            <w:pPr>
              <w:numPr>
                <w:numId w:val="64"/>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缺乏各品类质押率分布、货值波动趋势、出库审批时效等数据的实时穿透分析，无法快速调整风控策略。例如整体不良率从2.1%上升至4.8%，3个月后才发现3C电子品类不良率高达7.2%。此外，各品类质押率上限不同（3C电子70%、白酒80%），决策层查看汇总数据时无法直接判断风险优先级——3C电子65%实际已接近红线，白酒65%仍在安全区间，但报表中显示相同。</w:t>
            </w:r>
          </w:p>
          <w:p>
            <w:pPr>
              <w:numPr>
                <w:numId w:val="65"/>
              </w:numPr>
              <w:spacing w:before="120" w:after="120" w:line="288" w:lineRule="auto"/>
              <w:ind w:left="0"/>
              <w:jc w:val="left"/>
            </w:pPr>
            <w:r>
              <w:rPr>
                <w:rFonts w:eastAsia="等线" w:ascii="Arial" w:cs="Arial" w:hAnsi="Arial"/>
                <w:b w:val="true"/>
                <w:color w:val="d83931"/>
                <w:sz w:val="22"/>
              </w:rPr>
              <w:t>【期望】</w:t>
            </w:r>
            <w:r>
              <w:rPr>
                <w:rFonts w:eastAsia="等线" w:ascii="Arial" w:cs="Arial" w:hAnsi="Arial"/>
                <w:sz w:val="22"/>
              </w:rPr>
              <w:t>实时掌握各品类质押率分布、货值波动等核心指标，支持按品类、客户维度穿透分析。采用"相对质押率"统一度量跨品类风险，让决策层无需记忆各品类上限即可快速识别高风险业务。通过差异化质押率设定、每日价格联动重算、分级响应制度等措施，推动3C品类不良率降至3%以下，出库审批时效缩短至2小时。</w:t>
            </w:r>
          </w:p>
          <w:p>
            <w:pPr>
              <w:numPr>
                <w:numId w:val="66"/>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通过与物流WMS的实时对接实现质押物数据的自动同步和智能校验，提供可视化的监控看板实时展示质押物状态和货值变化。建立出库审批的强管控机制，系统接收银行出库授权后自动校验质押率、货值等风控条件，平台掌握出库最终决策权。建立电子仓单管理平台采用唯一编码和电子签章技术，通过与货物监控的实时联动确保仓单记载的货物信息与实际库存一致。系统支持多品类商品的差异化监控配置，对接市场价格数据源实现货值的实时计算和预警。</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管理层</w:t>
            </w:r>
            <w:r>
              <w:rPr>
                <w:rFonts w:eastAsia="等线" w:ascii="Arial" w:cs="Arial" w:hAnsi="Arial"/>
                <w:sz w:val="22"/>
              </w:rPr>
              <w:t>：</w:t>
            </w:r>
          </w:p>
          <w:p>
            <w:pPr>
              <w:numPr>
                <w:numId w:val="67"/>
              </w:numPr>
              <w:spacing w:before="120" w:after="120" w:line="288" w:lineRule="auto"/>
              <w:ind w:left="0"/>
              <w:jc w:val="left"/>
            </w:pPr>
            <w:r>
              <w:rPr>
                <w:rFonts w:eastAsia="等线" w:ascii="Arial" w:cs="Arial" w:hAnsi="Arial"/>
                <w:b w:val="true"/>
                <w:sz w:val="22"/>
              </w:rPr>
              <w:t>货值监控与质押率管理</w:t>
            </w:r>
          </w:p>
          <w:p>
            <w:pPr>
              <w:numPr>
                <w:numId w:val="68"/>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将质押率超标预警率提升至100%、货权异常率降至2%以下</w:t>
            </w:r>
            <w:r>
              <w:rPr>
                <w:rFonts w:eastAsia="等线" w:ascii="Arial" w:cs="Arial" w:hAnsi="Arial"/>
                <w:sz w:val="22"/>
              </w:rPr>
              <w:t>（业务KPI），需要建立动态货值监控和质押率管控机制。但由于：</w:t>
            </w:r>
          </w:p>
          <w:p>
            <w:pPr>
              <w:numPr>
                <w:numId w:val="69"/>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：质押率设定未考虑品类特性（3C产品新品发布后月跌幅10-15%），缺乏分级预警响应制度，质押率超标后平均5天才处置；缺乏价格库管理规范，货值评估与市场价格脱节</w:t>
            </w:r>
          </w:p>
          <w:p>
            <w:pPr>
              <w:numPr>
                <w:numId w:val="70"/>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：仓储方信息报送依赖邮件或电话，滞后且准确性难保证；某业务质押物实际已出库，平台3天后才发现</w:t>
            </w:r>
          </w:p>
          <w:p>
            <w:pPr>
              <w:numPr>
                <w:numId w:val="71"/>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：缺乏与市场价格的动态联动机制，货值下跌后未及时重估；盘点依赖仓储方反馈，平台无法验证真实性，盘点差异率约3%</w:t>
            </w:r>
          </w:p>
          <w:p>
            <w:pPr>
              <w:spacing w:before="120" w:after="120" w:line="288" w:lineRule="auto"/>
              <w:ind w:left="453"/>
              <w:jc w:val="left"/>
            </w:pPr>
            <w:r>
              <w:rPr>
                <w:rFonts w:eastAsia="等线" w:ascii="Arial" w:cs="Arial" w:hAnsi="Arial"/>
                <w:sz w:val="22"/>
              </w:rPr>
              <w:t>导致质押率超标预警率仅70%，货权异常率达5%。例如某3C电子产品单月跌价15%，平台未及时发现，质押率从65%上升至76%。</w:t>
            </w:r>
          </w:p>
          <w:p>
            <w:pPr>
              <w:numPr>
                <w:numId w:val="72"/>
              </w:numPr>
              <w:spacing w:before="120" w:after="120" w:line="288" w:lineRule="auto"/>
              <w:ind w:left="453"/>
              <w:jc w:val="left"/>
            </w:pPr>
            <w:r>
              <w:rPr>
                <w:rFonts w:eastAsia="等线" w:ascii="Arial" w:cs="Arial" w:hAnsi="Arial"/>
                <w:b w:val="true"/>
                <w:color w:val="d83931"/>
                <w:sz w:val="22"/>
              </w:rPr>
              <w:t>【期望】</w:t>
            </w:r>
          </w:p>
          <w:p>
            <w:pPr>
              <w:numPr>
                <w:numId w:val="73"/>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品类差异化质押率标准》（3C电子70%、新品发布前降至60%；白酒80%；食品75%）；制定《分级预警响应制度》（警戒24小时响应、超标4小时响应、紧急立即响应）；制定《价格库管理制度》（明确数据来源、更新频率、审核机制）；建立《仓储方信息报送规范》（异常2小时内必报，延迟问责）</w:t>
            </w:r>
          </w:p>
          <w:p>
            <w:pPr>
              <w:numPr>
                <w:numId w:val="74"/>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：与WMS实时对接（每5分钟刷新），对接市场价格数据源每日自动重算货值和质押率，采用"相对质押率"统一度量跨品类风险，价格波动达阈值自动预警</w:t>
            </w:r>
          </w:p>
          <w:p>
            <w:pPr>
              <w:spacing w:before="120" w:after="120" w:line="288" w:lineRule="auto"/>
              <w:ind w:left="453"/>
              <w:jc w:val="left"/>
            </w:pPr>
            <w:r>
              <w:rPr>
                <w:rFonts w:eastAsia="等线" w:ascii="Arial" w:cs="Arial" w:hAnsi="Arial"/>
                <w:sz w:val="22"/>
              </w:rPr>
              <w:t>通过以上措施，质押率超标预警率达100%，货权异常率降至2%以下。</w:t>
            </w:r>
          </w:p>
          <w:p>
            <w:pPr>
              <w:numPr>
                <w:numId w:val="75"/>
              </w:numPr>
              <w:spacing w:before="120" w:after="120" w:line="288" w:lineRule="auto"/>
              <w:ind w:left="0"/>
              <w:jc w:val="left"/>
            </w:pPr>
            <w:r>
              <w:rPr>
                <w:rFonts w:eastAsia="等线" w:ascii="Arial" w:cs="Arial" w:hAnsi="Arial"/>
                <w:b w:val="true"/>
                <w:sz w:val="22"/>
              </w:rPr>
              <w:t xml:space="preserve"> 出库审批管控</w:t>
            </w:r>
          </w:p>
          <w:p>
            <w:pPr>
              <w:numPr>
                <w:numId w:val="76"/>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将出库审批时效缩短至2小时、货物处置周期缩短至45天</w:t>
            </w:r>
            <w:r>
              <w:rPr>
                <w:rFonts w:eastAsia="等线" w:ascii="Arial" w:cs="Arial" w:hAnsi="Arial"/>
                <w:sz w:val="22"/>
              </w:rPr>
              <w:t>（业务KPI），需要建立高效的出库审批决策机制。但由于：</w:t>
            </w:r>
          </w:p>
          <w:p>
            <w:pPr>
              <w:numPr>
                <w:numId w:val="77"/>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：缺乏分级审批授权，所有出库都需人工审批，审批人员工作量大；缺乏异常出库监控和仓储方责任追溯机制</w:t>
            </w:r>
          </w:p>
          <w:p>
            <w:pPr>
              <w:numPr>
                <w:numId w:val="78"/>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：银行出库授权通过邮件或传真发送，信息传递滞后；部分业务还款后银行未及时发送授权</w:t>
            </w:r>
          </w:p>
          <w:p>
            <w:pPr>
              <w:numPr>
                <w:numId w:val="79"/>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：审批时需手工查询银行授权、剩余货值、质押率等多系统信息，人工汇总耗时4-12小时</w:t>
            </w:r>
          </w:p>
          <w:p>
            <w:pPr>
              <w:spacing w:before="120" w:after="120" w:line="288" w:lineRule="auto"/>
              <w:ind w:left="453"/>
              <w:jc w:val="left"/>
            </w:pPr>
            <w:r>
              <w:rPr>
                <w:rFonts w:eastAsia="等线" w:ascii="Arial" w:cs="Arial" w:hAnsi="Arial"/>
                <w:sz w:val="22"/>
              </w:rPr>
              <w:t>导致出库审批时效从4小时延长至12小时，货物处置周期平均60天。</w:t>
            </w:r>
          </w:p>
          <w:p>
            <w:pPr>
              <w:numPr>
                <w:numId w:val="80"/>
              </w:numPr>
              <w:spacing w:before="120" w:after="120" w:line="288" w:lineRule="auto"/>
              <w:ind w:left="453"/>
              <w:jc w:val="left"/>
            </w:pPr>
            <w:r>
              <w:rPr>
                <w:rFonts w:eastAsia="等线" w:ascii="Arial" w:cs="Arial" w:hAnsi="Arial"/>
                <w:b w:val="true"/>
                <w:color w:val="d83931"/>
                <w:sz w:val="22"/>
              </w:rPr>
              <w:t>【期望】</w:t>
            </w:r>
          </w:p>
          <w:p>
            <w:pPr>
              <w:numPr>
                <w:numId w:val="81"/>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出库分级审批制度》（小额≤5万且安全质押率≤80%自动审批，大额或高风险转人工）；制定《异常出库监控制度》（未经审批出库、数量不符、频繁出库等自动预警并冻结）；建立《仓储方责任追溯机制》（未经审批放货由仓储方承担损失）</w:t>
            </w:r>
          </w:p>
          <w:p>
            <w:pPr>
              <w:numPr>
                <w:numId w:val="82"/>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：对接银行接口自动接收出库授权，集成化审批页面展示三重校验结果（授权有效性、货值充足性、质押率安全性），系统智能建议通过/拒绝</w:t>
            </w:r>
          </w:p>
          <w:p>
            <w:pPr>
              <w:spacing w:before="120" w:after="120" w:line="288" w:lineRule="auto"/>
              <w:ind w:left="453"/>
              <w:jc w:val="left"/>
            </w:pPr>
            <w:r>
              <w:rPr>
                <w:rFonts w:eastAsia="等线" w:ascii="Arial" w:cs="Arial" w:hAnsi="Arial"/>
                <w:sz w:val="22"/>
              </w:rPr>
              <w:t>通过以上措施，出库审批时效从12小时缩短至2小时，自动审批覆盖50%出库申请，货物处置周期缩短至45天。</w:t>
            </w:r>
          </w:p>
          <w:p>
            <w:pPr>
              <w:numPr>
                <w:numId w:val="83"/>
              </w:numPr>
              <w:spacing w:before="120" w:after="120" w:line="288" w:lineRule="auto"/>
              <w:ind w:left="0"/>
              <w:jc w:val="left"/>
            </w:pPr>
            <w:r>
              <w:rPr>
                <w:rFonts w:eastAsia="等线" w:ascii="Arial" w:cs="Arial" w:hAnsi="Arial"/>
                <w:b w:val="true"/>
                <w:sz w:val="22"/>
              </w:rPr>
              <w:t>品类差异化监控</w:t>
            </w:r>
          </w:p>
          <w:p>
            <w:pPr>
              <w:numPr>
                <w:numId w:val="84"/>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将品类风险预警及时率提升至95%以上</w:t>
            </w:r>
            <w:r>
              <w:rPr>
                <w:rFonts w:eastAsia="等线" w:ascii="Arial" w:cs="Arial" w:hAnsi="Arial"/>
                <w:sz w:val="22"/>
              </w:rPr>
              <w:t>（业务KPI），需要针对不同品类建立差异化监控机制。但由于：</w:t>
            </w:r>
          </w:p>
          <w:p>
            <w:pPr>
              <w:numPr>
                <w:numId w:val="85"/>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：不同品类风险特性差异大（3C价格波动、白酒串货、食品保质期），但采用统一监控规则，约25%的品类风险未及时发现</w:t>
            </w:r>
          </w:p>
          <w:p>
            <w:pPr>
              <w:numPr>
                <w:numId w:val="86"/>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：核心企业发现经销商异常（串货、违规等）需电话或邮件通知平台，信息传递延迟1-3天</w:t>
            </w:r>
          </w:p>
          <w:p>
            <w:pPr>
              <w:numPr>
                <w:numId w:val="87"/>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：缺乏品类特有风险的自动监控能力（新品发布周期、串货流向、保质期临期等）</w:t>
            </w:r>
          </w:p>
          <w:p>
            <w:pPr>
              <w:spacing w:before="120" w:after="120" w:line="288" w:lineRule="auto"/>
              <w:ind w:left="453"/>
              <w:jc w:val="left"/>
            </w:pPr>
            <w:r>
              <w:rPr>
                <w:rFonts w:eastAsia="等线" w:ascii="Arial" w:cs="Arial" w:hAnsi="Arial"/>
                <w:sz w:val="22"/>
              </w:rPr>
              <w:t>导致品类风险预警及时率仅75%。</w:t>
            </w:r>
          </w:p>
          <w:p>
            <w:pPr>
              <w:numPr>
                <w:numId w:val="88"/>
              </w:numPr>
              <w:spacing w:before="120" w:after="120" w:line="288" w:lineRule="auto"/>
              <w:ind w:left="453"/>
              <w:jc w:val="left"/>
            </w:pPr>
            <w:r>
              <w:rPr>
                <w:rFonts w:eastAsia="等线" w:ascii="Arial" w:cs="Arial" w:hAnsi="Arial"/>
                <w:b w:val="true"/>
                <w:color w:val="d83931"/>
                <w:sz w:val="22"/>
              </w:rPr>
              <w:t>【期望】</w:t>
            </w:r>
          </w:p>
          <w:p>
            <w:pPr>
              <w:numPr>
                <w:numId w:val="89"/>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制定《3C电子监控规则》（新品发布前30天质押率下调10%、促销季前15天下调5%、价格监控频率提高）；制定《白酒串货监控规则》（跨区销售比例&gt;10%预警、核心企业推送立即响应）；制定《食品保质期管理规则》（剩余&lt;1/3不入库、&lt;90天降低质押率、&lt;60天启动处置）</w:t>
            </w:r>
          </w:p>
          <w:p>
            <w:pPr>
              <w:numPr>
                <w:numId w:val="90"/>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：系统根据品类自动加载对应监控规则和预警阈值，对接核心企业实时接收经销商异常预警，品类特有风险自动监控并统一推送</w:t>
            </w:r>
          </w:p>
          <w:p>
            <w:pPr>
              <w:spacing w:before="120" w:after="120" w:line="288" w:lineRule="auto"/>
              <w:ind w:left="453"/>
              <w:jc w:val="left"/>
            </w:pPr>
            <w:r>
              <w:rPr>
                <w:rFonts w:eastAsia="等线" w:ascii="Arial" w:cs="Arial" w:hAnsi="Arial"/>
                <w:sz w:val="22"/>
              </w:rPr>
              <w:t>通过以上措施，品类风险预警及时率提升至95%以上，3C品类不良率从7.2%降至3%以下。</w:t>
            </w:r>
          </w:p>
          <w:p>
            <w:pPr>
              <w:numPr>
                <w:numId w:val="91"/>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通过API接口与物流WMS实时对接，货物入库、出库、库存变化等数据自动同步（每5分钟刷新），系统智能校验数据合规性并生成预警。系统对接市场价格数据源，7×24小时监控质押物货值、质押率等指标，价格库更新后自动批量重算并预警，系统根据商品品类自动加载对应的监控规则和预警阈值。系统对接WMS盘点数据，自动比对账实差异并生成异常报告，差异超过阈值时自动触发实地核查流程。出库审批采用在线决策流程，系统接收银行出库授权后自动校验授权有效性、剩余货值、质押率等条件并提供决策建议，小额且安全的出库自动审批，大额或有风险的转人工审批，质押率超标（&gt;100%）的出库自动拒绝。通过出库审批机制确保平台对货物流转具有最终决策权。</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执行层</w:t>
            </w:r>
            <w:r>
              <w:rPr>
                <w:rFonts w:eastAsia="等线" w:ascii="Arial" w:cs="Arial" w:hAnsi="Arial"/>
                <w:sz w:val="22"/>
              </w:rPr>
              <w:t>：</w:t>
            </w:r>
          </w:p>
          <w:p>
            <w:pPr>
              <w:numPr>
                <w:numId w:val="92"/>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每天需向仓储方询问货物状态，获取信息慢且无法验证真实性。处理出库申请时需手工查询多个系统信息，难以快速判断是否满足放货条件。货值变化后不知道哪些业务质押率超标，需逐笔核查。不同品类商品关注点不同，容易遗漏关键风险点。</w:t>
            </w:r>
          </w:p>
          <w:p>
            <w:pPr>
              <w:numPr>
                <w:numId w:val="93"/>
              </w:numPr>
              <w:spacing w:before="120" w:after="120" w:line="288" w:lineRule="auto"/>
              <w:ind w:left="0"/>
              <w:jc w:val="left"/>
            </w:pPr>
            <w:r>
              <w:rPr>
                <w:rFonts w:eastAsia="等线" w:ascii="Arial" w:cs="Arial" w:hAnsi="Arial"/>
                <w:b w:val="true"/>
                <w:color w:val="d83931"/>
                <w:sz w:val="22"/>
              </w:rPr>
              <w:t>【期望】</w:t>
            </w:r>
          </w:p>
          <w:p>
            <w:pPr>
              <w:numPr>
                <w:numId w:val="94"/>
              </w:numPr>
              <w:spacing w:before="120" w:after="120" w:line="288" w:lineRule="auto"/>
              <w:ind w:left="453"/>
              <w:jc w:val="left"/>
            </w:pPr>
            <w:r>
              <w:rPr>
                <w:rFonts w:eastAsia="等线" w:ascii="Arial" w:cs="Arial" w:hAnsi="Arial"/>
                <w:b w:val="true"/>
                <w:sz w:val="22"/>
              </w:rPr>
              <w:t>操作规范</w:t>
            </w:r>
            <w:r>
              <w:rPr>
                <w:rFonts w:eastAsia="等线" w:ascii="Arial" w:cs="Arial" w:hAnsi="Arial"/>
                <w:sz w:val="22"/>
              </w:rPr>
              <w:t>：按《分级预警响应制度》在规定时效内处理预警任务，按《出库分级审批制度》识别可自动审批的业务，按各品类监控规则关注特定风险点</w:t>
            </w:r>
          </w:p>
          <w:p>
            <w:pPr>
              <w:numPr>
                <w:numId w:val="95"/>
              </w:numPr>
              <w:spacing w:before="120" w:after="120" w:line="288" w:lineRule="auto"/>
              <w:ind w:left="453"/>
              <w:jc w:val="left"/>
            </w:pPr>
            <w:r>
              <w:rPr>
                <w:rFonts w:eastAsia="等线" w:ascii="Arial" w:cs="Arial" w:hAnsi="Arial"/>
                <w:b w:val="true"/>
                <w:sz w:val="22"/>
              </w:rPr>
              <w:t>系统支持</w:t>
            </w:r>
            <w:r>
              <w:rPr>
                <w:rFonts w:eastAsia="等线" w:ascii="Arial" w:cs="Arial" w:hAnsi="Arial"/>
                <w:sz w:val="22"/>
              </w:rPr>
              <w:t>：WMS数据自动同步实时掌握货物状态，出库审批页面集成化设计并智能判断是否可放货，货值更新后自动计算质押率并预警超标，系统根据品类自动提示需关注的风险点</w:t>
            </w:r>
          </w:p>
          <w:p>
            <w:pPr>
              <w:numPr>
                <w:numId w:val="96"/>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与WMS实时对接，货物入库、出库、库存变化等数据自动同步并在看板实时展示，支持移动端随时查看。出库审批页面集成化设计，自动展示银行授权状态、剩余货值、质押率等关键信息，系统智能判断是否满足放货条件并给出明确建议。系统自动接收WMS盘点结果，智能比对账实差异，差异超过阈值时自动生成核查任务并推送给责任人。价格库更新后系统自动批量重算所有在库质押物的货值和质押率，质押率超标的业务自动标红并推送预警。仓单开立时系统自动关联货物监控数据，货物信息自动带入无需手工录入。系统根据商品品类自动展示监控清单和风险提示。</w:t>
            </w:r>
          </w:p>
        </w:tc>
      </w:tr>
    </w:tbl>
    <w:p>
      <w:pPr>
        <w:spacing w:before="120" w:after="120" w:line="288" w:lineRule="auto"/>
        <w:ind w:left="0"/>
        <w:jc w:val="left"/>
      </w:pPr>
      <w:r>
        <w:rPr>
          <w:rFonts w:eastAsia="等线" w:ascii="Arial" w:cs="Arial" w:hAnsi="Arial"/>
          <w:b w:val="true"/>
          <w:sz w:val="22"/>
        </w:rPr>
        <w:t>主要核心功能</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出库审批决策</w:t>
      </w:r>
      <w:r>
        <w:rPr>
          <w:rFonts w:eastAsia="等线" w:ascii="Arial" w:cs="Arial" w:hAnsi="Arial"/>
          <w:sz w:val="22"/>
        </w:rPr>
        <w:t>：系统接收银行出库授权后，自动校验授权有效性、剩余货值和质押率，提供集成化审批决策页面。小额且安全的出库自动审批，大额或有风险的转人工审批，质押率超标自动拒绝。审批通过后向WMS下达放货指令，系统对异常出库行为进行实时预警。平台通过出库审批机制掌握货物流转的最终决策权。</w:t>
      </w:r>
    </w:p>
    <w:p>
      <w:pPr>
        <w:spacing w:before="120" w:after="120" w:line="288" w:lineRule="auto"/>
        <w:ind w:left="0"/>
        <w:jc w:val="left"/>
      </w:pPr>
      <w:r>
        <w:rPr>
          <w:rFonts w:eastAsia="等线" w:ascii="Arial" w:cs="Arial" w:hAnsi="Arial"/>
          <w:b w:val="true"/>
          <w:sz w:val="22"/>
        </w:rPr>
        <w:t>货值监控与预警</w:t>
      </w:r>
      <w:r>
        <w:rPr>
          <w:rFonts w:eastAsia="等线" w:ascii="Arial" w:cs="Arial" w:hAnsi="Arial"/>
          <w:sz w:val="22"/>
        </w:rPr>
        <w:t>：系统对接市场价格数据源，7×24小时自动监控质押物的货值波动和质押率变化，达到预警阈值时自动推送通知。系统支持品类差异化监控配置，针对不同品类设置专属监控规则（3C电子的新品发布冲击、白酒的串货风险、食品的保质期临期等）。系统监控重要时间节点提前预警并建议调整质押率，价格库更新后自动批量重算货值和质押率。系统实时接收核心企业推送的经销商异常预警，自动关联业务并评估风险。</w:t>
      </w:r>
    </w:p>
    <w:p>
      <w:pPr>
        <w:spacing w:before="120" w:after="120" w:line="288" w:lineRule="auto"/>
        <w:ind w:left="0"/>
        <w:jc w:val="left"/>
      </w:pPr>
      <w:r>
        <w:rPr>
          <w:rFonts w:eastAsia="等线" w:ascii="Arial" w:cs="Arial" w:hAnsi="Arial"/>
          <w:b w:val="true"/>
          <w:sz w:val="22"/>
        </w:rPr>
        <w:t>入库监控</w:t>
      </w:r>
      <w:r>
        <w:rPr>
          <w:rFonts w:eastAsia="等线" w:ascii="Arial" w:cs="Arial" w:hAnsi="Arial"/>
          <w:sz w:val="22"/>
        </w:rPr>
        <w:t>：实时监控质押物入库，系统自动接收WMS入库数据并校验货物信息与融资申请的一致性，支持远程查看入库照片核验货物真实性。入库完成后自动触发仓单开立流程。</w:t>
      </w:r>
    </w:p>
    <w:p>
      <w:pPr>
        <w:spacing w:before="120" w:after="120" w:line="288" w:lineRule="auto"/>
        <w:ind w:left="0"/>
        <w:jc w:val="left"/>
      </w:pPr>
      <w:r>
        <w:rPr>
          <w:rFonts w:eastAsia="等线" w:ascii="Arial" w:cs="Arial" w:hAnsi="Arial"/>
          <w:b w:val="true"/>
          <w:sz w:val="22"/>
        </w:rPr>
        <w:t>库存总览</w:t>
      </w:r>
      <w:r>
        <w:rPr>
          <w:rFonts w:eastAsia="等线" w:ascii="Arial" w:cs="Arial" w:hAnsi="Arial"/>
          <w:sz w:val="22"/>
        </w:rPr>
        <w:t>：提供质押物的实时监控看板，支持按品类、品牌、型号、客户、仓库等多维度查看库存数量、货值、质押率等关键指标，支持地图化展示多仓库分布。看板实时显示各品类的货值占比和质押率分布，对高风险品类自动标注和预警。</w:t>
      </w:r>
    </w:p>
    <w:p>
      <w:pPr>
        <w:spacing w:before="120" w:after="120" w:line="288" w:lineRule="auto"/>
        <w:ind w:left="0"/>
        <w:jc w:val="left"/>
      </w:pPr>
      <w:r>
        <w:rPr>
          <w:rFonts w:eastAsia="等线" w:ascii="Arial" w:cs="Arial" w:hAnsi="Arial"/>
          <w:b w:val="true"/>
          <w:sz w:val="22"/>
        </w:rPr>
        <w:t>盘点监控</w:t>
      </w:r>
      <w:r>
        <w:rPr>
          <w:rFonts w:eastAsia="等线" w:ascii="Arial" w:cs="Arial" w:hAnsi="Arial"/>
          <w:sz w:val="22"/>
        </w:rPr>
        <w:t>：系统对接WMS盘点数据，自动比对账面与实盘差异，生成差异明细和异常预警。支持远程查看盘点照片，对差异超过阈值的情况自动触发实地核查流程。盘点结果与仓单信息实时同步，异常情况自动记录并推送处置任务。</w:t>
      </w:r>
    </w:p>
    <w:p>
      <w:pPr>
        <w:spacing w:before="120" w:after="120" w:line="288" w:lineRule="auto"/>
        <w:ind w:left="0"/>
        <w:jc w:val="left"/>
      </w:pPr>
      <w:r>
        <w:rPr>
          <w:rFonts w:eastAsia="等线" w:ascii="Arial" w:cs="Arial" w:hAnsi="Arial"/>
          <w:b w:val="true"/>
          <w:sz w:val="22"/>
        </w:rPr>
        <w:t>仓单管理</w:t>
      </w:r>
      <w:r>
        <w:rPr>
          <w:rFonts w:eastAsia="等线" w:ascii="Arial" w:cs="Arial" w:hAnsi="Arial"/>
          <w:sz w:val="22"/>
        </w:rPr>
        <w:t>：提供电子仓单的全生命周期管理，包括仓单开立、质押登记、质押物变更、解押管理和仓单查询与流转。系统采用唯一编码和电子签章技术，支持与区块链或电子存证平台对接。仓单状态与货物监控数据实时联动，所有操作记录在链上存证确保全程可追溯。</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2.1.4 </w:t>
      </w:r>
      <w:r>
        <w:rPr>
          <w:rFonts w:eastAsia="等线" w:ascii="Arial" w:cs="Arial" w:hAnsi="Arial"/>
          <w:b w:val="true"/>
          <w:sz w:val="30"/>
        </w:rPr>
        <w:t>风险监控</w:t>
      </w:r>
      <w:bookmarkEnd w:id="6"/>
    </w:p>
    <w:p>
      <w:pPr>
        <w:spacing w:before="120" w:after="120" w:line="288" w:lineRule="auto"/>
        <w:ind w:left="0"/>
        <w:jc w:val="left"/>
      </w:pPr>
      <w:r>
        <w:rPr>
          <w:rFonts w:eastAsia="等线" w:ascii="Arial" w:cs="Arial" w:hAnsi="Arial"/>
          <w:sz w:val="22"/>
        </w:rPr>
        <w:t>供应链金融平台的风险监控模块是平台风险管理的核心工具，通过实时监控融资业务、质押物状态和客户行为，及时发现和预警各类风险事件。该模块整合多维度数据，建立全方位的风险监控体系，实现风险的早发现、早预警、早处置。</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决策层：</w:t>
            </w:r>
          </w:p>
          <w:p>
            <w:pPr>
              <w:numPr>
                <w:numId w:val="97"/>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缺乏统一的风险监控视图和品类差异化预警机制，无法及时发现和应对各类风险。风险监控依赖人工定期查看报表，不同类型风险分散在不同系统，约30%的风险未被及时识别。核心企业发现经销商异常后信息传递延迟1-3天，某经销商串货被发现时平台已新增放款50万。</w:t>
            </w:r>
          </w:p>
          <w:p>
            <w:pPr>
              <w:numPr>
                <w:numId w:val="98"/>
              </w:numPr>
              <w:spacing w:before="120" w:after="120" w:line="288" w:lineRule="auto"/>
              <w:ind w:left="0"/>
              <w:jc w:val="left"/>
            </w:pPr>
            <w:r>
              <w:rPr>
                <w:rFonts w:eastAsia="等线" w:ascii="Arial" w:cs="Arial" w:hAnsi="Arial"/>
                <w:b w:val="true"/>
                <w:color w:val="d83931"/>
                <w:sz w:val="22"/>
              </w:rPr>
              <w:t>【期望】</w:t>
            </w:r>
            <w:r>
              <w:rPr>
                <w:rFonts w:eastAsia="等线" w:ascii="Arial" w:cs="Arial" w:hAnsi="Arial"/>
                <w:sz w:val="22"/>
              </w:rPr>
              <w:t>通过统一风控看板实时掌握客户、业务、质押物、市场等全维度风险指标，支持7×24小时自动监控。建立品类差异化监控规则和核心企业风险联动机制，推动风险识别覆盖率从70%提升至90%，核心企业预警响应率达100%。</w:t>
            </w:r>
          </w:p>
          <w:p>
            <w:pPr>
              <w:numPr>
                <w:numId w:val="99"/>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建立多维度的风险监控体系，通过可配置的风控规则引擎7×24小时自动监控并识别风险事件，提供可视化的风控看板实时展示关键风险指标，系统记录所有风险事件的完整轨迹提供风险分析报告。系统支持按品类配置差异化的风控规则和预警阈值，系统与核心企业对接获取经销商的渠道异常预警信息，系统通过行为分析模型识别异常行为模式。</w:t>
            </w:r>
          </w:p>
          <w:p>
            <w:pPr>
              <w:spacing w:before="120" w:after="120" w:line="288" w:lineRule="auto"/>
              <w:ind w:left="0"/>
              <w:jc w:val="left"/>
            </w:pPr>
            <w:r>
              <w:rPr>
                <w:rFonts w:eastAsia="等线" w:ascii="Arial" w:cs="Arial" w:hAnsi="Arial"/>
                <w:b w:val="true"/>
                <w:sz w:val="22"/>
              </w:rPr>
              <w:t>📋 管理层：</w:t>
            </w:r>
          </w:p>
          <w:p>
            <w:pPr>
              <w:numPr>
                <w:numId w:val="100"/>
              </w:numPr>
              <w:spacing w:before="120" w:after="120" w:line="288" w:lineRule="auto"/>
              <w:ind w:left="0"/>
              <w:jc w:val="left"/>
            </w:pPr>
            <w:r>
              <w:rPr>
                <w:rFonts w:eastAsia="等线" w:ascii="Arial" w:cs="Arial" w:hAnsi="Arial"/>
                <w:b w:val="true"/>
                <w:sz w:val="22"/>
              </w:rPr>
              <w:t>风险预警体系</w:t>
            </w:r>
          </w:p>
          <w:p>
            <w:pPr>
              <w:numPr>
                <w:numId w:val="101"/>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将风险识别覆盖率提升至90%、预警准确率提升至80%</w:t>
            </w:r>
            <w:r>
              <w:rPr>
                <w:rFonts w:eastAsia="等线" w:ascii="Arial" w:cs="Arial" w:hAnsi="Arial"/>
                <w:sz w:val="22"/>
              </w:rPr>
              <w:t>（业务KPI），需要建立全面的风险预警体系。但由于：</w:t>
            </w:r>
          </w:p>
          <w:p>
            <w:pPr>
              <w:numPr>
                <w:numId w:val="102"/>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：风险监控依赖人工定期查看报表（每日或每周），监控频率低；缺乏分级响应制度，预警响应时效平均8小时；风险处置经验未沉淀，处置方案因人而异</w:t>
            </w:r>
          </w:p>
          <w:p>
            <w:pPr>
              <w:numPr>
                <w:numId w:val="103"/>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：不同类型风险分散在不同系统（客户风险在客户系统、货值风险在WMS、业务风险在融资系统），缺乏统一视图；预警规则固化在代码中，调整需提IT需求，响应慢成本高</w:t>
            </w:r>
          </w:p>
          <w:p>
            <w:pPr>
              <w:spacing w:before="120" w:after="120" w:line="288" w:lineRule="auto"/>
              <w:ind w:left="453"/>
              <w:jc w:val="left"/>
            </w:pPr>
            <w:r>
              <w:rPr>
                <w:rFonts w:eastAsia="等线" w:ascii="Arial" w:cs="Arial" w:hAnsi="Arial"/>
                <w:sz w:val="22"/>
              </w:rPr>
              <w:t>导致风险识别覆盖率仅70%，预警准确率仅60%。例如某业务质押率从75%上升至95%，平台3天后才发现，错过最佳处置时机。</w:t>
            </w:r>
          </w:p>
          <w:p>
            <w:pPr>
              <w:numPr>
                <w:numId w:val="104"/>
              </w:numPr>
              <w:spacing w:before="120" w:after="120" w:line="288" w:lineRule="auto"/>
              <w:ind w:left="453"/>
              <w:jc w:val="left"/>
            </w:pPr>
            <w:r>
              <w:rPr>
                <w:rFonts w:eastAsia="等线" w:ascii="Arial" w:cs="Arial" w:hAnsi="Arial"/>
                <w:b w:val="true"/>
                <w:color w:val="d83931"/>
                <w:sz w:val="22"/>
              </w:rPr>
              <w:t>【期望】</w:t>
            </w:r>
          </w:p>
          <w:p>
            <w:pPr>
              <w:numPr>
                <w:numId w:val="105"/>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分级预警响应制度》（紧急立即响应、超标4小时、警戒24小时）；制定《预警升级机制》（超时未响应自动升级、高风险3天未解决升级至总监）；建立《风险知识库管理制度》（典型案例、处置方案库、风险识别模型）</w:t>
            </w:r>
          </w:p>
          <w:p>
            <w:pPr>
              <w:numPr>
                <w:numId w:val="106"/>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：统一风险监控工作台集中展示所有预警，可配置的风控规则引擎支持可视化设置监控指标和预警阈值，7×24小时自动监控并多渠道推送通知（系统消息、短信、邮件）</w:t>
            </w:r>
          </w:p>
          <w:p>
            <w:pPr>
              <w:spacing w:before="120" w:after="120" w:line="288" w:lineRule="auto"/>
              <w:ind w:left="453"/>
              <w:jc w:val="left"/>
            </w:pPr>
            <w:r>
              <w:rPr>
                <w:rFonts w:eastAsia="等线" w:ascii="Arial" w:cs="Arial" w:hAnsi="Arial"/>
                <w:sz w:val="22"/>
              </w:rPr>
              <w:t>通过以上措施，风险识别覆盖率提升至90%，预警响应时效缩短至4小时以内，预警准确率提升至80%。</w:t>
            </w:r>
          </w:p>
          <w:p>
            <w:pPr>
              <w:numPr>
                <w:numId w:val="107"/>
              </w:numPr>
              <w:spacing w:before="120" w:after="120" w:line="288" w:lineRule="auto"/>
              <w:ind w:left="0"/>
              <w:jc w:val="left"/>
            </w:pPr>
            <w:r>
              <w:rPr>
                <w:rFonts w:eastAsia="等线" w:ascii="Arial" w:cs="Arial" w:hAnsi="Arial"/>
                <w:b w:val="true"/>
                <w:sz w:val="22"/>
              </w:rPr>
              <w:t>品类差异化监控</w:t>
            </w:r>
          </w:p>
          <w:p>
            <w:pPr>
              <w:numPr>
                <w:numId w:val="108"/>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将品类风险预警及时率提升至95%</w:t>
            </w:r>
            <w:r>
              <w:rPr>
                <w:rFonts w:eastAsia="等线" w:ascii="Arial" w:cs="Arial" w:hAnsi="Arial"/>
                <w:sz w:val="22"/>
              </w:rPr>
              <w:t>（业务KPI），需要针对不同品类建立差异化监控机制。但由于：</w:t>
            </w:r>
          </w:p>
          <w:p>
            <w:pPr>
              <w:numPr>
                <w:numId w:val="109"/>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：不同品类风险特性差异大（3C价格波动、白酒串货、食品保质期），但采用统一监控规则，缺乏品类专属风控策略</w:t>
            </w:r>
          </w:p>
          <w:p>
            <w:pPr>
              <w:numPr>
                <w:numId w:val="110"/>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：缺乏品类特有风险的自动监控能力，新品发布周期、串货流向、保质期临期等需人工分别关注</w:t>
            </w:r>
          </w:p>
          <w:p>
            <w:pPr>
              <w:spacing w:before="120" w:after="120" w:line="288" w:lineRule="auto"/>
              <w:ind w:left="453"/>
              <w:jc w:val="left"/>
            </w:pPr>
            <w:r>
              <w:rPr>
                <w:rFonts w:eastAsia="等线" w:ascii="Arial" w:cs="Arial" w:hAnsi="Arial"/>
                <w:sz w:val="22"/>
              </w:rPr>
              <w:t>导致约25%的品类风险未及时发现。</w:t>
            </w:r>
          </w:p>
          <w:p>
            <w:pPr>
              <w:numPr>
                <w:numId w:val="111"/>
              </w:numPr>
              <w:spacing w:before="120" w:after="120" w:line="288" w:lineRule="auto"/>
              <w:ind w:left="453"/>
              <w:jc w:val="left"/>
            </w:pPr>
            <w:r>
              <w:rPr>
                <w:rFonts w:eastAsia="等线" w:ascii="Arial" w:cs="Arial" w:hAnsi="Arial"/>
                <w:b w:val="true"/>
                <w:color w:val="d83931"/>
                <w:sz w:val="22"/>
              </w:rPr>
              <w:t>【期望】</w:t>
            </w:r>
          </w:p>
          <w:p>
            <w:pPr>
              <w:numPr>
                <w:numId w:val="112"/>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：制定《品类差异化风控规则》（3C：价格波动+新品发布周期监控；白酒：串货风险+真伪验证；食品：保质期临期+存储条件）；建立《品类风控规则模板库》，支持快速配置新品类规则</w:t>
            </w:r>
          </w:p>
          <w:p>
            <w:pPr>
              <w:numPr>
                <w:numId w:val="113"/>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：系统根据品类自动加载对应风控规则和预警阈值，品类特有风险自动监控并统一推送预警</w:t>
            </w:r>
          </w:p>
          <w:p>
            <w:pPr>
              <w:spacing w:before="120" w:after="120" w:line="288" w:lineRule="auto"/>
              <w:ind w:left="453"/>
              <w:jc w:val="left"/>
            </w:pPr>
            <w:r>
              <w:rPr>
                <w:rFonts w:eastAsia="等线" w:ascii="Arial" w:cs="Arial" w:hAnsi="Arial"/>
                <w:sz w:val="22"/>
              </w:rPr>
              <w:t>通过以上措施，品类风险预警及时率提升至95%以上。</w:t>
            </w:r>
          </w:p>
          <w:p>
            <w:pPr>
              <w:numPr>
                <w:numId w:val="114"/>
              </w:numPr>
              <w:spacing w:before="120" w:after="120" w:line="288" w:lineRule="auto"/>
              <w:ind w:left="0"/>
              <w:jc w:val="left"/>
            </w:pPr>
            <w:r>
              <w:rPr>
                <w:rFonts w:eastAsia="等线" w:ascii="Arial" w:cs="Arial" w:hAnsi="Arial"/>
                <w:b w:val="true"/>
                <w:sz w:val="22"/>
              </w:rPr>
              <w:t>核心企业风险联动</w:t>
            </w:r>
          </w:p>
          <w:p>
            <w:pPr>
              <w:numPr>
                <w:numId w:val="115"/>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将核心企业预警响应率提升至100%</w:t>
            </w:r>
            <w:r>
              <w:rPr>
                <w:rFonts w:eastAsia="等线" w:ascii="Arial" w:cs="Arial" w:hAnsi="Arial"/>
                <w:sz w:val="22"/>
              </w:rPr>
              <w:t>（业务KPI），需要建立与核心企业的风险信息共享机制。但由于：</w:t>
            </w:r>
          </w:p>
          <w:p>
            <w:pPr>
              <w:numPr>
                <w:numId w:val="116"/>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：缺乏核心企业风险推送的标准化流程和激励机制，核心企业推送预警的积极性不高</w:t>
            </w:r>
          </w:p>
          <w:p>
            <w:pPr>
              <w:numPr>
                <w:numId w:val="117"/>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：核心企业发现经销商异常（串货、销售下滑等）需电话或邮件通知平台，信息传递延迟1-3天</w:t>
            </w:r>
          </w:p>
          <w:p>
            <w:pPr>
              <w:numPr>
                <w:numId w:val="118"/>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：收到核心企业预警后需手工查找客户所有业务并逐个评估风险，耗时2-4小时</w:t>
            </w:r>
          </w:p>
          <w:p>
            <w:pPr>
              <w:spacing w:before="120" w:after="120" w:line="288" w:lineRule="auto"/>
              <w:ind w:left="453"/>
              <w:jc w:val="left"/>
            </w:pPr>
            <w:r>
              <w:rPr>
                <w:rFonts w:eastAsia="等线" w:ascii="Arial" w:cs="Arial" w:hAnsi="Arial"/>
                <w:sz w:val="22"/>
              </w:rPr>
              <w:t>导致约40%的核心企业预警未得到及时响应。例如某经销商串货被核心企业发现，平台收到通知时该经销商已新增融资50万。</w:t>
            </w:r>
          </w:p>
          <w:p>
            <w:pPr>
              <w:numPr>
                <w:numId w:val="119"/>
              </w:numPr>
              <w:spacing w:before="120" w:after="120" w:line="288" w:lineRule="auto"/>
              <w:ind w:left="453"/>
              <w:jc w:val="left"/>
            </w:pPr>
            <w:r>
              <w:rPr>
                <w:rFonts w:eastAsia="等线" w:ascii="Arial" w:cs="Arial" w:hAnsi="Arial"/>
                <w:b w:val="true"/>
                <w:color w:val="d83931"/>
                <w:sz w:val="22"/>
              </w:rPr>
              <w:t>【期望】</w:t>
            </w:r>
          </w:p>
          <w:p>
            <w:pPr>
              <w:numPr>
                <w:numId w:val="120"/>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：建立《核心企业风险联动机制》（风险推送类型、响应流程、协同处置流程）；制定《核心企业预警激励制度》（主动推送奖励积分、协助处置及时提高合作等级、推送准确率高增加推荐额度）</w:t>
            </w:r>
          </w:p>
          <w:p>
            <w:pPr>
              <w:numPr>
                <w:numId w:val="121"/>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：API接口对接核心企业实现预警实时推送，系统自动关联客户所有在途业务并评估风险等级，高风险自动冻结新增融资</w:t>
            </w:r>
          </w:p>
          <w:p>
            <w:pPr>
              <w:spacing w:before="120" w:after="120" w:line="288" w:lineRule="auto"/>
              <w:ind w:left="453"/>
              <w:jc w:val="left"/>
            </w:pPr>
            <w:r>
              <w:rPr>
                <w:rFonts w:eastAsia="等线" w:ascii="Arial" w:cs="Arial" w:hAnsi="Arial"/>
                <w:sz w:val="22"/>
              </w:rPr>
              <w:t>通过以上措施，核心企业预警从电话通知（1-3天延迟）变为实时推送，核心企业预警响应率达100%。</w:t>
            </w:r>
          </w:p>
          <w:p>
            <w:pPr>
              <w:numPr>
                <w:numId w:val="122"/>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建立多维度的风险监控体系，通过可配置的风控规则引擎7×24小时自动监控并识别风险事件，提供可视化的风控看板实时展示关键风险指标。系统提供可配置的风控规则引擎，支持通过可视化界面设置监控指标和预警阈值，系统自动监控各类风险指标达到预警条件时自动触发预警，提供统一的风险监控工作台集中展示所有预警事件。预警触发后系统自动推送通知（系统消息、短信、邮件等多渠道）并跟踪处置进度。系统支持按品类配置差异化的风控规则和预警阈值，系统预置多品类的风控规则模板，支持快速配置新品类的风控规则，系统根据商品品类自动展示监控清单和风险提示。系统通过API接口与核心企业对接，核心企业发现经销商异常时实时推送预警到平台，系统自动关联该客户所有在途业务并自动评估风险等级，高风险自动冻结新增融资并推送给风控人员处理。</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执行层：</w:t>
            </w:r>
          </w:p>
          <w:p>
            <w:pPr>
              <w:numPr>
                <w:numId w:val="123"/>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每天需手工查看多个报表和系统逐项检查异常，工作量大易遗漏。收到预警后不清楚具体问题在哪里，需在多个系统查找相关信息。预警信息只有系统消息，外出或下班后无法及时收到。处置风险事件时需手工记录处置过程，填写报告繁琐。</w:t>
            </w:r>
          </w:p>
          <w:p>
            <w:pPr>
              <w:numPr>
                <w:numId w:val="124"/>
              </w:numPr>
              <w:spacing w:before="120" w:after="120" w:line="288" w:lineRule="auto"/>
              <w:ind w:left="0"/>
              <w:jc w:val="left"/>
            </w:pPr>
            <w:r>
              <w:rPr>
                <w:rFonts w:eastAsia="等线" w:ascii="Arial" w:cs="Arial" w:hAnsi="Arial"/>
                <w:b w:val="true"/>
                <w:color w:val="d83931"/>
                <w:sz w:val="22"/>
              </w:rPr>
              <w:t>【期望】</w:t>
            </w:r>
          </w:p>
          <w:p>
            <w:pPr>
              <w:numPr>
                <w:numId w:val="125"/>
              </w:numPr>
              <w:spacing w:before="120" w:after="120" w:line="288" w:lineRule="auto"/>
              <w:ind w:left="453"/>
              <w:jc w:val="left"/>
            </w:pPr>
            <w:r>
              <w:rPr>
                <w:rFonts w:eastAsia="等线" w:ascii="Arial" w:cs="Arial" w:hAnsi="Arial"/>
                <w:b w:val="true"/>
                <w:sz w:val="22"/>
              </w:rPr>
              <w:t>操作规范</w:t>
            </w:r>
            <w:r>
              <w:rPr>
                <w:rFonts w:eastAsia="等线" w:ascii="Arial" w:cs="Arial" w:hAnsi="Arial"/>
                <w:sz w:val="22"/>
              </w:rPr>
              <w:t>：按《分级预警响应制度》在规定时效内处理预警任务，按《风险知识库》中的处置方案库选择合适的处置措施，处置完成后按标准模板记录过程</w:t>
            </w:r>
          </w:p>
          <w:p>
            <w:pPr>
              <w:numPr>
                <w:numId w:val="126"/>
              </w:numPr>
              <w:spacing w:before="120" w:after="120" w:line="288" w:lineRule="auto"/>
              <w:ind w:left="453"/>
              <w:jc w:val="left"/>
            </w:pPr>
            <w:r>
              <w:rPr>
                <w:rFonts w:eastAsia="等线" w:ascii="Arial" w:cs="Arial" w:hAnsi="Arial"/>
                <w:b w:val="true"/>
                <w:sz w:val="22"/>
              </w:rPr>
              <w:t>系统支持</w:t>
            </w:r>
            <w:r>
              <w:rPr>
                <w:rFonts w:eastAsia="等线" w:ascii="Arial" w:cs="Arial" w:hAnsi="Arial"/>
                <w:sz w:val="22"/>
              </w:rPr>
              <w:t>：系统自动监控并推送异常无需手工查看报表，预警详情页集成展示问题原因和相关数据，支持多渠道通知（系统消息、短信、邮件、移动端），个人工作台清晰展示待处理预警和处理进度，处置记录支持快捷操作和模板化记录</w:t>
            </w:r>
          </w:p>
          <w:p>
            <w:pPr>
              <w:numPr>
                <w:numId w:val="127"/>
              </w:numPr>
              <w:spacing w:before="120" w:after="120" w:line="288" w:lineRule="auto"/>
              <w:ind w:left="0"/>
              <w:jc w:val="left"/>
            </w:pPr>
            <w:r>
              <w:rPr>
                <w:rFonts w:eastAsia="等线" w:ascii="Arial" w:cs="Arial" w:hAnsi="Arial"/>
                <w:b w:val="true"/>
                <w:sz w:val="22"/>
              </w:rPr>
              <w:t xml:space="preserve">【解决方案】 </w:t>
            </w:r>
            <w:r>
              <w:rPr>
                <w:rFonts w:eastAsia="等线" w:ascii="Arial" w:cs="Arial" w:hAnsi="Arial"/>
                <w:sz w:val="22"/>
              </w:rPr>
              <w:t>系统7×24小时自动监控风险指标触发预警时自动推送给责任人，预警详情页面集成化设计自动展示预警原因和相关信息，支持多渠道预警通知和移动端操作，预警处置采用标准化流程和模板化记录，个人工作台清晰展示待处理预警和处理进度。系统根据商品品类自动监控对应风险指标并统一推送预警，系统异常识别模型发现风险后自动生成预警并在详情页面展示证据链，系统接收核心企业推送的经销商异常预警后自动关联该客户的所有在途业务自动评估风险等级并推送给风控人员。</w:t>
            </w:r>
          </w:p>
        </w:tc>
      </w:tr>
    </w:tbl>
    <w:p>
      <w:pPr>
        <w:spacing w:before="120" w:after="120" w:line="288" w:lineRule="auto"/>
        <w:ind w:left="0"/>
        <w:jc w:val="left"/>
      </w:pPr>
      <w:r>
        <w:rPr>
          <w:rFonts w:eastAsia="等线" w:ascii="Arial" w:cs="Arial" w:hAnsi="Arial"/>
          <w:b w:val="true"/>
          <w:sz w:val="22"/>
        </w:rPr>
        <w:t>主要核心功能：</w:t>
      </w:r>
    </w:p>
    <w:p>
      <w:pPr>
        <w:spacing w:before="120" w:after="120" w:line="288" w:lineRule="auto"/>
        <w:ind w:left="0"/>
        <w:jc w:val="left"/>
      </w:pPr>
      <w:r>
        <w:rPr>
          <w:rFonts w:eastAsia="等线" w:ascii="Arial" w:cs="Arial" w:hAnsi="Arial"/>
          <w:b w:val="true"/>
          <w:sz w:val="22"/>
        </w:rPr>
        <w:t>风控看板</w:t>
      </w:r>
      <w:r>
        <w:rPr>
          <w:rFonts w:eastAsia="等线" w:ascii="Arial" w:cs="Arial" w:hAnsi="Arial"/>
          <w:sz w:val="22"/>
        </w:rPr>
        <w:t>：提供可视化的风险监控中心，实时展示关键风险指标和风险事件统计，支持按多维度的灵活筛选和穿透式分析。看板支持按品类、核心企业、经销商等维度展示风险分布，提供与核心企业的风险协同看板展示核心企业推送的经销商异常预警和处理情况。</w:t>
      </w:r>
    </w:p>
    <w:p>
      <w:pPr>
        <w:spacing w:before="120" w:after="120" w:line="288" w:lineRule="auto"/>
        <w:ind w:left="0"/>
        <w:jc w:val="left"/>
      </w:pPr>
      <w:r>
        <w:rPr>
          <w:rFonts w:eastAsia="等线" w:ascii="Arial" w:cs="Arial" w:hAnsi="Arial"/>
          <w:b w:val="true"/>
          <w:sz w:val="22"/>
        </w:rPr>
        <w:t>实时预警</w:t>
      </w:r>
      <w:r>
        <w:rPr>
          <w:rFonts w:eastAsia="等线" w:ascii="Arial" w:cs="Arial" w:hAnsi="Arial"/>
          <w:sz w:val="22"/>
        </w:rPr>
        <w:t>：系统7×24小时自动监控各类风险指标，达到预警阈值时自动触发预警事件，通过多渠道推送通知给相关责任人。系统根据商品品类自动加载对应的风控规则，重点监控价格波动、质押率超标、保质期临期、串货风险、核心企业推送的渠道异常预警、重要时间节点的风险等。</w:t>
      </w:r>
    </w:p>
    <w:p>
      <w:pPr>
        <w:spacing w:before="120" w:after="120" w:line="288" w:lineRule="auto"/>
        <w:ind w:left="0"/>
        <w:jc w:val="left"/>
      </w:pPr>
      <w:r>
        <w:rPr>
          <w:rFonts w:eastAsia="等线" w:ascii="Arial" w:cs="Arial" w:hAnsi="Arial"/>
          <w:b w:val="true"/>
          <w:sz w:val="22"/>
        </w:rPr>
        <w:t>风险指标监控</w:t>
      </w:r>
      <w:r>
        <w:rPr>
          <w:rFonts w:eastAsia="等线" w:ascii="Arial" w:cs="Arial" w:hAnsi="Arial"/>
          <w:sz w:val="22"/>
        </w:rPr>
        <w:t>：支持对客户风险、业务风险、质押物风险、市场风险等多维度指标的实时监控和历史趋势分析。支持按品类监控特定风险指标：价格波动率、保质期临期率、货物周转率、串货风险评分、经销商在核心企业的信用评级变化、渠道违规记录等。</w:t>
      </w:r>
    </w:p>
    <w:p>
      <w:pPr>
        <w:spacing w:before="120" w:after="120" w:line="288" w:lineRule="auto"/>
        <w:ind w:left="0"/>
        <w:jc w:val="left"/>
      </w:pPr>
      <w:r>
        <w:rPr>
          <w:rFonts w:eastAsia="等线" w:ascii="Arial" w:cs="Arial" w:hAnsi="Arial"/>
          <w:b w:val="true"/>
          <w:sz w:val="22"/>
        </w:rPr>
        <w:t>预警处理</w:t>
      </w:r>
      <w:r>
        <w:rPr>
          <w:rFonts w:eastAsia="等线" w:ascii="Arial" w:cs="Arial" w:hAnsi="Arial"/>
          <w:sz w:val="22"/>
        </w:rPr>
        <w:t>：提供标准化的预警处理流程，支持预警事件的接收、分配、调查、处置和关闭，记录处置措施和结果。系统根据预警类型自动推荐处置流程，支持核心企业协同处置。</w:t>
      </w:r>
    </w:p>
    <w:p>
      <w:pPr>
        <w:spacing w:before="120" w:after="120" w:line="288" w:lineRule="auto"/>
        <w:ind w:left="0"/>
        <w:jc w:val="left"/>
      </w:pPr>
      <w:r>
        <w:rPr>
          <w:rFonts w:eastAsia="等线" w:ascii="Arial" w:cs="Arial" w:hAnsi="Arial"/>
          <w:b w:val="true"/>
          <w:sz w:val="22"/>
        </w:rPr>
        <w:t>风控规则配置</w:t>
      </w:r>
      <w:r>
        <w:rPr>
          <w:rFonts w:eastAsia="等线" w:ascii="Arial" w:cs="Arial" w:hAnsi="Arial"/>
          <w:sz w:val="22"/>
        </w:rPr>
        <w:t>：提供可视化的风控规则配置工具，支持设置监控指标、预警阈值、触发条件、通知方式和责任人。系统预置多品类的风控规则模板，支持快速配置新品类的风控规则，支持按核心企业、经销商等级等条件设置差异化风控策略。</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2.1.5 </w:t>
      </w:r>
      <w:r>
        <w:rPr>
          <w:rFonts w:eastAsia="等线" w:ascii="Arial" w:cs="Arial" w:hAnsi="Arial"/>
          <w:b w:val="true"/>
          <w:sz w:val="30"/>
        </w:rPr>
        <w:t>贷后管理</w:t>
      </w:r>
      <w:bookmarkEnd w:id="7"/>
    </w:p>
    <w:p>
      <w:pPr>
        <w:spacing w:before="120" w:after="120" w:line="288" w:lineRule="auto"/>
        <w:ind w:left="0"/>
        <w:jc w:val="left"/>
      </w:pPr>
      <w:r>
        <w:rPr>
          <w:rFonts w:eastAsia="等线" w:ascii="Arial" w:cs="Arial" w:hAnsi="Arial"/>
          <w:sz w:val="22"/>
        </w:rPr>
        <w:t>供应链金融平台的贷后管理模块是融资业务的收尾环节和风险处置的关键阶段，通过对逾期业务的催收、货物处置、法律诉讼和资产核销的全流程管理，最大限度降低平台和银行的资金损失。该模块实现逾期业务的分级管理、催收流程的标准化、货物处置的透明化和不良资产的规范化核销。</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【决策层】：</w:t>
            </w:r>
          </w:p>
          <w:p>
            <w:pPr>
              <w:numPr>
                <w:numId w:val="128"/>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缺乏核心企业协同催收效果和货物处置效率的量化数据，无法优化贷后策略。例如核心企业A协同催收成功率75%，核心企业B仅30%，但平台采用相同的协同策略。货物处置周期平均60天，主要依赖市场拍卖渠道，回收率仅75%，核心企业回购渠道未被充分利用。</w:t>
            </w:r>
          </w:p>
          <w:p>
            <w:pPr>
              <w:numPr>
                <w:numId w:val="129"/>
              </w:numPr>
              <w:spacing w:before="120" w:after="120" w:line="288" w:lineRule="auto"/>
              <w:ind w:left="0"/>
              <w:jc w:val="left"/>
            </w:pPr>
            <w:r>
              <w:rPr>
                <w:rFonts w:eastAsia="等线" w:ascii="Arial" w:cs="Arial" w:hAnsi="Arial"/>
                <w:b w:val="true"/>
                <w:color w:val="d83931"/>
                <w:sz w:val="22"/>
              </w:rPr>
              <w:t>【期望】</w:t>
            </w:r>
            <w:r>
              <w:rPr>
                <w:rFonts w:eastAsia="等线" w:ascii="Arial" w:cs="Arial" w:hAnsi="Arial"/>
                <w:sz w:val="22"/>
              </w:rPr>
              <w:t>实时掌握各核心企业协同催收成功率、货物处置周期、各渠道回收率等指标，支持贷后策略优化。通过分级协同机制、核心企业回购优先机制、激励制度优化等措施，推动协同催收成功率从45%提升至65%，货物处置周期从60天缩短至45天。</w:t>
            </w:r>
          </w:p>
          <w:p>
            <w:pPr>
              <w:numPr>
                <w:numId w:val="130"/>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建立自动化的逾期识别和分级机制根据逾期时间和金额自动划分逾期等级触发相应的催收流程，提供标准化的催收流程和模板支持催收任务的自动分配和效果评估，建立货物处置全流程管理确保处置的透明性和高效性，提供法律诉讼案件的集中管理和不良资产核销的审批流程。系统在逾期发生时自动通知核心企业并请求协同催收，系统提供质押物的多渠道处置方案并智能推荐最优方案，系统记录核心企业在协同催收和货物处置中的参与情况并纳入合作评估。</w:t>
            </w:r>
          </w:p>
          <w:p>
            <w:pPr>
              <w:spacing w:before="120" w:after="120" w:line="288" w:lineRule="auto"/>
              <w:ind w:left="0"/>
              <w:jc w:val="left"/>
            </w:pPr>
            <w:r>
              <w:rPr>
                <w:rFonts w:eastAsia="等线" w:ascii="Arial" w:cs="Arial" w:hAnsi="Arial"/>
                <w:b w:val="true"/>
                <w:sz w:val="22"/>
              </w:rPr>
              <w:t>📋 管理层：</w:t>
            </w:r>
          </w:p>
          <w:p>
            <w:pPr>
              <w:numPr>
                <w:numId w:val="131"/>
              </w:numPr>
              <w:spacing w:before="120" w:after="120" w:line="288" w:lineRule="auto"/>
              <w:ind w:left="0"/>
              <w:jc w:val="left"/>
            </w:pPr>
            <w:r>
              <w:rPr>
                <w:rFonts w:eastAsia="等线" w:ascii="Arial" w:cs="Arial" w:hAnsi="Arial"/>
                <w:b w:val="true"/>
                <w:sz w:val="22"/>
              </w:rPr>
              <w:t>逾期催收管理</w:t>
            </w:r>
          </w:p>
          <w:p>
            <w:pPr>
              <w:numPr>
                <w:numId w:val="132"/>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将M1催收成功率提升至90%、逾期回收率提升至90%</w:t>
            </w:r>
            <w:r>
              <w:rPr>
                <w:rFonts w:eastAsia="等线" w:ascii="Arial" w:cs="Arial" w:hAnsi="Arial"/>
                <w:sz w:val="22"/>
              </w:rPr>
              <w:t>（业务KPI），需要建立及时有效的催收机制。但由于：</w:t>
            </w:r>
          </w:p>
          <w:p>
            <w:pPr>
              <w:numPr>
                <w:numId w:val="133"/>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：逾期发现不及时，还款到期日当天未还款但平台未及时发现，手工查询时已逾期2-3天；催收工作缺乏规范流程，催收人员凭经验操作，措施和记录因人而异；缺乏催收绩效考核机制，催收效果难以评估和改进</w:t>
            </w:r>
          </w:p>
          <w:p>
            <w:pPr>
              <w:numPr>
                <w:numId w:val="134"/>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：催收记录手工记录在Excel或笔记本中，查找不便易丢失；缺乏自动化的逾期识别和催收任务分配机制</w:t>
            </w:r>
          </w:p>
          <w:p>
            <w:pPr>
              <w:spacing w:before="120" w:after="120" w:line="288" w:lineRule="auto"/>
              <w:ind w:left="453"/>
              <w:jc w:val="left"/>
            </w:pPr>
            <w:r>
              <w:rPr>
                <w:rFonts w:eastAsia="等线" w:ascii="Arial" w:cs="Arial" w:hAnsi="Arial"/>
                <w:sz w:val="22"/>
              </w:rPr>
              <w:t>导致M1催收成功率仅75%，逾期回收率仅82%，约18%的逾期金额最终形成不良。</w:t>
            </w:r>
          </w:p>
          <w:p>
            <w:pPr>
              <w:numPr>
                <w:numId w:val="135"/>
              </w:numPr>
              <w:spacing w:before="120" w:after="120" w:line="288" w:lineRule="auto"/>
              <w:ind w:left="453"/>
              <w:jc w:val="left"/>
            </w:pPr>
            <w:r>
              <w:rPr>
                <w:rFonts w:eastAsia="等线" w:ascii="Arial" w:cs="Arial" w:hAnsi="Arial"/>
                <w:b w:val="true"/>
                <w:color w:val="d83931"/>
                <w:sz w:val="22"/>
              </w:rPr>
              <w:t>【期望】</w:t>
            </w:r>
          </w:p>
          <w:p>
            <w:pPr>
              <w:numPr>
                <w:numId w:val="136"/>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分级催收管理制度》（M0自动短信+IVR、M1催收员电话+上门、M2高级催收员+法务函、M3催收经理+法律诉讼准备）；制定《催收绩效考核办法》（回款率、案件处理量、客户满意度、合规率）；建立《催收案例库》沉淀成功经验和失败教训</w:t>
            </w:r>
          </w:p>
          <w:p>
            <w:pPr>
              <w:numPr>
                <w:numId w:val="137"/>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：还款到期前3天自动提醒，到期当天未还款立即触发预警并自动生成催收任务，根据逾期时间和金额自动分级并分配责任人，提供在线催收记录工具支持快速记录和历史查询</w:t>
            </w:r>
          </w:p>
          <w:p>
            <w:pPr>
              <w:spacing w:before="120" w:after="120" w:line="288" w:lineRule="auto"/>
              <w:ind w:left="453"/>
              <w:jc w:val="left"/>
            </w:pPr>
            <w:r>
              <w:rPr>
                <w:rFonts w:eastAsia="等线" w:ascii="Arial" w:cs="Arial" w:hAnsi="Arial"/>
                <w:sz w:val="22"/>
              </w:rPr>
              <w:t>通过以上措施，M1催收成功率提升至90%，逾期回收率提升至90%。</w:t>
            </w:r>
          </w:p>
          <w:p>
            <w:pPr>
              <w:numPr>
                <w:numId w:val="138"/>
              </w:numPr>
              <w:spacing w:before="120" w:after="120" w:line="288" w:lineRule="auto"/>
              <w:ind w:left="0"/>
              <w:jc w:val="left"/>
            </w:pPr>
            <w:r>
              <w:rPr>
                <w:rFonts w:eastAsia="等线" w:ascii="Arial" w:cs="Arial" w:hAnsi="Arial"/>
                <w:b w:val="true"/>
                <w:sz w:val="22"/>
              </w:rPr>
              <w:t>核心企业协同催收</w:t>
            </w:r>
          </w:p>
          <w:p>
            <w:pPr>
              <w:numPr>
                <w:numId w:val="139"/>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将协同催收成功率提升至65%</w:t>
            </w:r>
            <w:r>
              <w:rPr>
                <w:rFonts w:eastAsia="等线" w:ascii="Arial" w:cs="Arial" w:hAnsi="Arial"/>
                <w:sz w:val="22"/>
              </w:rPr>
              <w:t>（业务KPI），需要建立与核心企业的协同催收机制。但由于：</w:t>
            </w:r>
          </w:p>
          <w:p>
            <w:pPr>
              <w:numPr>
                <w:numId w:val="140"/>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：缺乏协同催收的判断标准和流程，平台不知道何时应请求核心企业协助；缺乏协同催收激励机制，核心企业参与意愿不强，约55%的协同请求未得到有效响应</w:t>
            </w:r>
          </w:p>
          <w:p>
            <w:pPr>
              <w:numPr>
                <w:numId w:val="141"/>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：请求核心企业协同需电话或邮件沟通，联系方式和沟通流程不清晰，协同效率低</w:t>
            </w:r>
          </w:p>
          <w:p>
            <w:pPr>
              <w:numPr>
                <w:numId w:val="142"/>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：缺乏核心企业催收动作和结果的在线跟踪机制</w:t>
            </w:r>
          </w:p>
          <w:p>
            <w:pPr>
              <w:spacing w:before="120" w:after="120" w:line="288" w:lineRule="auto"/>
              <w:ind w:left="453"/>
              <w:jc w:val="left"/>
            </w:pPr>
            <w:r>
              <w:rPr>
                <w:rFonts w:eastAsia="等线" w:ascii="Arial" w:cs="Arial" w:hAnsi="Arial"/>
                <w:sz w:val="22"/>
              </w:rPr>
              <w:t>导致协同催收成功率仅45%。例如某A级客户逾期15天，平台未及时请求核心企业协同，最终逾期90天形成不良。</w:t>
            </w:r>
          </w:p>
          <w:p>
            <w:pPr>
              <w:numPr>
                <w:numId w:val="143"/>
              </w:numPr>
              <w:spacing w:before="120" w:after="120" w:line="288" w:lineRule="auto"/>
              <w:ind w:left="453"/>
              <w:jc w:val="left"/>
            </w:pPr>
            <w:r>
              <w:rPr>
                <w:rFonts w:eastAsia="等线" w:ascii="Arial" w:cs="Arial" w:hAnsi="Arial"/>
                <w:b w:val="true"/>
                <w:color w:val="d83931"/>
                <w:sz w:val="22"/>
              </w:rPr>
              <w:t>【期望】</w:t>
            </w:r>
          </w:p>
          <w:p>
            <w:pPr>
              <w:numPr>
                <w:numId w:val="144"/>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核心企业协同催收制度》（触发条件：逾期≥15天或金额≥30万自动推送；A级客户逾期≥7天建议推送）；制定《协同催收SLA规范》（核心企业24小时内响应、每3天反馈进展、协同周期15天）；制定《协同催收激励制度》（成功协助催收奖励积分500分、催收成功金额的0.2%奖励、不配合扣减积分影响合作评级）</w:t>
            </w:r>
          </w:p>
          <w:p>
            <w:pPr>
              <w:numPr>
                <w:numId w:val="145"/>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：系统自动判断是否需要协同催收，满足条件自动推送请求并提供联系方式和沟通模板，在线跟踪核心企业催收动作和结果</w:t>
            </w:r>
          </w:p>
          <w:p>
            <w:pPr>
              <w:spacing w:before="120" w:after="120" w:line="288" w:lineRule="auto"/>
              <w:ind w:left="453"/>
              <w:jc w:val="left"/>
            </w:pPr>
            <w:r>
              <w:rPr>
                <w:rFonts w:eastAsia="等线" w:ascii="Arial" w:cs="Arial" w:hAnsi="Arial"/>
                <w:sz w:val="22"/>
              </w:rPr>
              <w:t>通过以上措施，协同催收成功率从45%提升至65%。</w:t>
            </w:r>
          </w:p>
          <w:p>
            <w:pPr>
              <w:numPr>
                <w:numId w:val="146"/>
              </w:numPr>
              <w:spacing w:before="120" w:after="120" w:line="288" w:lineRule="auto"/>
              <w:ind w:left="0"/>
              <w:jc w:val="left"/>
            </w:pPr>
            <w:r>
              <w:rPr>
                <w:rFonts w:eastAsia="等线" w:ascii="Arial" w:cs="Arial" w:hAnsi="Arial"/>
                <w:b w:val="true"/>
                <w:sz w:val="22"/>
              </w:rPr>
              <w:t>货物处置与核心企业回购</w:t>
            </w:r>
          </w:p>
          <w:p>
            <w:pPr>
              <w:numPr>
                <w:numId w:val="147"/>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将货物处置周期缩短至45天、回收率提升至85%</w:t>
            </w:r>
            <w:r>
              <w:rPr>
                <w:rFonts w:eastAsia="等线" w:ascii="Arial" w:cs="Arial" w:hAnsi="Arial"/>
                <w:sz w:val="22"/>
              </w:rPr>
              <w:t>（业务KPI），需要建立高效的货物处置机制。但由于：</w:t>
            </w:r>
          </w:p>
          <w:p>
            <w:pPr>
              <w:numPr>
                <w:numId w:val="148"/>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：缺乏规范的回购流程和定价机制，需电话或邮件沟通回购条件和价格，谈判周期长；缺乏回购激励机制，核心企业参与意愿不强</w:t>
            </w:r>
          </w:p>
          <w:p>
            <w:pPr>
              <w:numPr>
                <w:numId w:val="149"/>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：核心企业可能有回购意愿但平台缺乏主动对接机制，回购渠道未被充分利用</w:t>
            </w:r>
          </w:p>
          <w:p>
            <w:pPr>
              <w:numPr>
                <w:numId w:val="150"/>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：货物处置主要依赖市场拍卖，缺乏多渠道处置方案的智能推荐；回购价格、合同、交接等环节缺乏线上化支持</w:t>
            </w:r>
          </w:p>
          <w:p>
            <w:pPr>
              <w:spacing w:before="120" w:after="120" w:line="288" w:lineRule="auto"/>
              <w:ind w:left="453"/>
              <w:jc w:val="left"/>
            </w:pPr>
            <w:r>
              <w:rPr>
                <w:rFonts w:eastAsia="等线" w:ascii="Arial" w:cs="Arial" w:hAnsi="Arial"/>
                <w:sz w:val="22"/>
              </w:rPr>
              <w:t>导致货物处置周期平均60天，回收率仅75%。</w:t>
            </w:r>
          </w:p>
          <w:p>
            <w:pPr>
              <w:numPr>
                <w:numId w:val="151"/>
              </w:numPr>
              <w:spacing w:before="120" w:after="120" w:line="288" w:lineRule="auto"/>
              <w:ind w:left="453"/>
              <w:jc w:val="left"/>
            </w:pPr>
            <w:r>
              <w:rPr>
                <w:rFonts w:eastAsia="等线" w:ascii="Arial" w:cs="Arial" w:hAnsi="Arial"/>
                <w:b w:val="true"/>
                <w:color w:val="d83931"/>
                <w:sz w:val="22"/>
              </w:rPr>
              <w:t>【期望】</w:t>
            </w:r>
          </w:p>
          <w:p>
            <w:pPr>
              <w:numPr>
                <w:numId w:val="152"/>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货物处置渠道优先级制度》（核心企业回购优先→平台渠道变现→市场拍卖）；制定《核心企业回购定价机制》（市场价×回购折扣率，折扣率根据货物状态计算）；制定《回购激励制度》（回购奖励积分1000分、快速回购额外奖励、回购货物再销售支持）；建立《回购流程管理制度》（邀约响应24小时、协商完成48小时、付款完成72小时）</w:t>
            </w:r>
          </w:p>
          <w:p>
            <w:pPr>
              <w:numPr>
                <w:numId w:val="153"/>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：自动判断是否满足核心企业回购条件（核心企业品牌、未拆封、价值&gt;10万等），满足条件自动推荐回购方案并一键发起流程，自动计算回购价格并生成回购合同，支持在线确认和执行</w:t>
            </w:r>
          </w:p>
          <w:p>
            <w:pPr>
              <w:spacing w:before="120" w:after="120" w:line="288" w:lineRule="auto"/>
              <w:ind w:left="453"/>
              <w:jc w:val="left"/>
            </w:pPr>
            <w:r>
              <w:rPr>
                <w:rFonts w:eastAsia="等线" w:ascii="Arial" w:cs="Arial" w:hAnsi="Arial"/>
                <w:sz w:val="22"/>
              </w:rPr>
              <w:t>通过以上措施，货物处置周期从60天缩短至45天（核心企业回购仅需7天），回收率从75%提升至85%。</w:t>
            </w:r>
          </w:p>
          <w:p>
            <w:pPr>
              <w:numPr>
                <w:numId w:val="154"/>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在还款到期日前自动提醒，逾期后立即触发预警并自动生成催收任务推送给催收人员。系统建立自动化的逾期识别和分级机制，根据逾期时间和金额自动划分逾期等级（M0/M1/M2/M3）触发相应的催收流程。提供标准化的催收流程和模板，催收人员按流程执行并在线记录催收过程和结果，支持催收任务的自动分配和效果评估。系统在逾期发生时自动判断是否需要核心企业协同催收，满足条件时自动推送协同催收请求给核心企业并在线跟踪核心企业的催收动作和结果，协同催收成功后给予核心企业额外奖励。系统提供质押物的多渠道处置方案（核心企业回购、平台渠道变现、市场拍卖等）并智能推荐最优方案，系统在货物处置环节自动判断核心企业回购条件并推荐回购方案，系统提供回购流程自动计算回购价格并生成回购合同支持在线确认和执行。系统记录核心企业在协同催收和货物处置中的参与情况并纳入合作评估。</w:t>
            </w:r>
          </w:p>
          <w:p>
            <w:pPr>
              <w:spacing w:before="120" w:after="120" w:line="288" w:lineRule="auto"/>
              <w:ind w:left="0"/>
              <w:jc w:val="left"/>
            </w:pPr>
            <w:r>
              <w:rPr>
                <w:rFonts w:eastAsia="等线" w:ascii="Arial" w:cs="Arial" w:hAnsi="Arial"/>
                <w:sz w:val="22"/>
              </w:rPr>
              <w:t>🔧</w:t>
            </w:r>
            <w:r>
              <w:rPr>
                <w:rFonts w:eastAsia="等线" w:ascii="Arial" w:cs="Arial" w:hAnsi="Arial"/>
                <w:b w:val="true"/>
                <w:sz w:val="22"/>
              </w:rPr>
              <w:t xml:space="preserve"> 执行层：</w:t>
            </w:r>
          </w:p>
          <w:p>
            <w:pPr>
              <w:numPr>
                <w:numId w:val="155"/>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每天需手工查看哪些客户逾期并逐个打电话催收，工作量大易遗漏。催收记录需手工记录在Excel或笔记本中，查找不便易丢失。逾期后不确定是否需要联系核心企业协助，联系方式和沟通流程不清晰。货物处置时不知道核心企业是否愿意回购，回购的价格谈判、合同签署、货物交接等环节缺乏规范流程。</w:t>
            </w:r>
          </w:p>
          <w:p>
            <w:pPr>
              <w:numPr>
                <w:numId w:val="156"/>
              </w:numPr>
              <w:spacing w:before="120" w:after="120" w:line="288" w:lineRule="auto"/>
              <w:ind w:left="0"/>
              <w:jc w:val="left"/>
            </w:pPr>
            <w:r>
              <w:rPr>
                <w:rFonts w:eastAsia="等线" w:ascii="Arial" w:cs="Arial" w:hAnsi="Arial"/>
                <w:b w:val="true"/>
                <w:color w:val="d83931"/>
                <w:sz w:val="22"/>
              </w:rPr>
              <w:t>【期望】</w:t>
            </w:r>
          </w:p>
          <w:p>
            <w:pPr>
              <w:numPr>
                <w:numId w:val="157"/>
              </w:numPr>
              <w:spacing w:before="120" w:after="120" w:line="288" w:lineRule="auto"/>
              <w:ind w:left="453"/>
              <w:jc w:val="left"/>
            </w:pPr>
            <w:r>
              <w:rPr>
                <w:rFonts w:eastAsia="等线" w:ascii="Arial" w:cs="Arial" w:hAnsi="Arial"/>
                <w:b w:val="true"/>
                <w:sz w:val="22"/>
              </w:rPr>
              <w:t>操作规范</w:t>
            </w:r>
            <w:r>
              <w:rPr>
                <w:rFonts w:eastAsia="等线" w:ascii="Arial" w:cs="Arial" w:hAnsi="Arial"/>
                <w:sz w:val="22"/>
              </w:rPr>
              <w:t>：按《分级催收管理制度》执行对应等级的催收措施，按《核心企业协同催收制度》判断是否需要请求协同，按《回购流程管理制度》推进回购各环节</w:t>
            </w:r>
          </w:p>
          <w:p>
            <w:pPr>
              <w:numPr>
                <w:numId w:val="158"/>
              </w:numPr>
              <w:spacing w:before="120" w:after="120" w:line="288" w:lineRule="auto"/>
              <w:ind w:left="453"/>
              <w:jc w:val="left"/>
            </w:pPr>
            <w:r>
              <w:rPr>
                <w:rFonts w:eastAsia="等线" w:ascii="Arial" w:cs="Arial" w:hAnsi="Arial"/>
                <w:b w:val="true"/>
                <w:sz w:val="22"/>
              </w:rPr>
              <w:t>系统支持</w:t>
            </w:r>
            <w:r>
              <w:rPr>
                <w:rFonts w:eastAsia="等线" w:ascii="Arial" w:cs="Arial" w:hAnsi="Arial"/>
                <w:sz w:val="22"/>
              </w:rPr>
              <w:t>：系统自动推送逾期客户和催收任务到待办列表，提供移动端催收记录工具支持快速记录并自动归档，系统自动判断协同催收条件并提供一键推送功能，系统自动判断回购条件并推荐回购方案，回购流程在线化（自动计算价格、生成合同、在线确认）</w:t>
            </w:r>
          </w:p>
          <w:p>
            <w:pPr>
              <w:numPr>
                <w:numId w:val="159"/>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在还款到期日前自动提醒逾期后立即推送催收任务到待办列表并提供逾期客户的详细信息，提供移动端催收记录工具催收后立即记录并自动归档，货物处置采用在线协同流程各方在线确认并更新进度，法律诉讼案件录入系统后定期提醒跟进并在线更新进度，核销申请采用在线提交支持拍照或扫描上传证明材料审批流程自动流转。系统在逾期发生时根据预设规则自动判断是否需要核心企业协同催收满足条件时自动推送协同催收请求并提供核心企业联系方式和沟通模板，系统在货物处置环节自动判断核心企业回购条件满足条件时自动推荐回购方案并一键发起回购流程系统自动计算回购价格并生成回购合同核心企业在线确认后自动推送货物交接和付款流程。</w:t>
            </w:r>
          </w:p>
        </w:tc>
      </w:tr>
    </w:tbl>
    <w:p>
      <w:pPr>
        <w:spacing w:before="120" w:after="120" w:line="288" w:lineRule="auto"/>
        <w:ind w:left="0"/>
        <w:jc w:val="left"/>
      </w:pPr>
      <w:r>
        <w:rPr>
          <w:rFonts w:eastAsia="等线" w:ascii="Arial" w:cs="Arial" w:hAnsi="Arial"/>
          <w:b w:val="true"/>
          <w:sz w:val="22"/>
        </w:rPr>
        <w:t>主要核心功能：</w:t>
      </w:r>
    </w:p>
    <w:p>
      <w:pPr>
        <w:spacing w:before="120" w:after="120" w:line="288" w:lineRule="auto"/>
        <w:ind w:left="0"/>
        <w:jc w:val="left"/>
      </w:pPr>
      <w:r>
        <w:rPr>
          <w:rFonts w:eastAsia="等线" w:ascii="Arial" w:cs="Arial" w:hAnsi="Arial"/>
          <w:b w:val="true"/>
          <w:sz w:val="22"/>
        </w:rPr>
        <w:t>逾期管理</w:t>
      </w:r>
      <w:r>
        <w:rPr>
          <w:rFonts w:eastAsia="等线" w:ascii="Arial" w:cs="Arial" w:hAnsi="Arial"/>
          <w:sz w:val="22"/>
        </w:rPr>
        <w:t>：系统自动识别逾期业务并按逾期时间和金额分级，自动生成逾期台账和催收任务，提供逾期业务的集中查询和统计分析。系统在逾期发生时自动评估是否需要核心企业协同催收并推送协同请求，系统记录核心企业的催收参与情况和效果。</w:t>
      </w:r>
    </w:p>
    <w:p>
      <w:pPr>
        <w:spacing w:before="120" w:after="120" w:line="288" w:lineRule="auto"/>
        <w:ind w:left="0"/>
        <w:jc w:val="left"/>
      </w:pPr>
      <w:r>
        <w:rPr>
          <w:rFonts w:eastAsia="等线" w:ascii="Arial" w:cs="Arial" w:hAnsi="Arial"/>
          <w:b w:val="true"/>
          <w:sz w:val="22"/>
        </w:rPr>
        <w:t>催收跟进</w:t>
      </w:r>
      <w:r>
        <w:rPr>
          <w:rFonts w:eastAsia="等线" w:ascii="Arial" w:cs="Arial" w:hAnsi="Arial"/>
          <w:sz w:val="22"/>
        </w:rPr>
        <w:t>：提供标准化的催收流程和任务管理，支持催收任务的自动分配、进度跟踪和效果评估，提供催收记录工具记录催收过程和结果。系统提供与核心企业的协同催收流程支持在线推送催收请求并跟踪核心企业的催收动作，系统自动统计核心企业协同催收的成功率和平均回款时间为合作评估提供依据。</w:t>
      </w:r>
    </w:p>
    <w:p>
      <w:pPr>
        <w:spacing w:before="120" w:after="120" w:line="288" w:lineRule="auto"/>
        <w:ind w:left="0"/>
        <w:jc w:val="left"/>
      </w:pPr>
      <w:r>
        <w:rPr>
          <w:rFonts w:eastAsia="等线" w:ascii="Arial" w:cs="Arial" w:hAnsi="Arial"/>
          <w:b w:val="true"/>
          <w:sz w:val="22"/>
        </w:rPr>
        <w:t>货物处置</w:t>
      </w:r>
      <w:r>
        <w:rPr>
          <w:rFonts w:eastAsia="等线" w:ascii="Arial" w:cs="Arial" w:hAnsi="Arial"/>
          <w:sz w:val="22"/>
        </w:rPr>
        <w:t>：支持货物处置全流程管理，包括处置申请、货物评估、处置方案审批、处置执行和资金回收，提供处置进度的实时跟踪。系统提供质押物的多渠道处置方案（核心企业回购、平台渠道变现、市场拍卖、法律诉讼后强制执行等），系统自动判断核心企业回购条件并推荐回购方案，系统提供回购流程自动计算回购价格并生成回购合同支持在线确认和执行，系统记录不同处置渠道的处置周期和回收率为后续决策提供参考。</w:t>
      </w:r>
    </w:p>
    <w:p>
      <w:pPr>
        <w:spacing w:before="120" w:after="120" w:line="288" w:lineRule="auto"/>
        <w:ind w:left="0"/>
        <w:jc w:val="left"/>
      </w:pPr>
      <w:r>
        <w:rPr>
          <w:rFonts w:eastAsia="等线" w:ascii="Arial" w:cs="Arial" w:hAnsi="Arial"/>
          <w:b w:val="true"/>
          <w:sz w:val="22"/>
        </w:rPr>
        <w:t>资产核销</w:t>
      </w:r>
      <w:r>
        <w:rPr>
          <w:rFonts w:eastAsia="等线" w:ascii="Arial" w:cs="Arial" w:hAnsi="Arial"/>
          <w:sz w:val="22"/>
        </w:rPr>
        <w:t>：支持不良资产核销的在线申请和审批流程，提供核销申请表单和证明材料的电子化归档，支持核销审批的多级审批和流程跟踪。</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2.1.6 </w:t>
      </w:r>
      <w:r>
        <w:rPr>
          <w:rFonts w:eastAsia="等线" w:ascii="Arial" w:cs="Arial" w:hAnsi="Arial"/>
          <w:b w:val="true"/>
          <w:sz w:val="30"/>
        </w:rPr>
        <w:t>结算管理</w:t>
      </w:r>
      <w:bookmarkEnd w:id="8"/>
    </w:p>
    <w:p>
      <w:pPr>
        <w:spacing w:before="120" w:after="120" w:line="288" w:lineRule="auto"/>
        <w:ind w:left="0"/>
        <w:jc w:val="left"/>
      </w:pPr>
      <w:r>
        <w:rPr>
          <w:rFonts w:eastAsia="等线" w:ascii="Arial" w:cs="Arial" w:hAnsi="Arial"/>
          <w:sz w:val="22"/>
        </w:rPr>
        <w:t>供应链金融平台的结算管理模块是平台盈利模式的支撑工具，通过对服务费的计算、账单生成、收款确认和分润结算的全流程管理，实现平台收入的精细化管理和透明化核算。该模块支持多种服务费模式和灵活的分润规则，满足平台与合作方的利益分配需求。</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管理层：</w:t>
            </w:r>
          </w:p>
          <w:p>
            <w:pPr>
              <w:numPr>
                <w:numId w:val="160"/>
              </w:numPr>
              <w:spacing w:before="120" w:after="120" w:line="288" w:lineRule="auto"/>
              <w:ind w:left="0"/>
              <w:jc w:val="left"/>
            </w:pPr>
            <w:r>
              <w:rPr>
                <w:rFonts w:eastAsia="等线" w:ascii="Arial" w:cs="Arial" w:hAnsi="Arial"/>
                <w:b w:val="true"/>
                <w:sz w:val="22"/>
              </w:rPr>
              <w:t>服务费与账单管理</w:t>
            </w:r>
          </w:p>
          <w:p>
            <w:pPr>
              <w:numPr>
                <w:numId w:val="161"/>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将账单准确率提升至100%、服务费收缴率提升至98%</w:t>
            </w:r>
            <w:r>
              <w:rPr>
                <w:rFonts w:eastAsia="等线" w:ascii="Arial" w:cs="Arial" w:hAnsi="Arial"/>
                <w:sz w:val="22"/>
              </w:rPr>
              <w:t>（业务KPI），需要建立自动化的服务费计算和账单管理机制。但由于：</w:t>
            </w:r>
          </w:p>
          <w:p>
            <w:pPr>
              <w:numPr>
                <w:numId w:val="162"/>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：服务费计算规则复杂（按融资金额比例、按天计息、不同客户等级不同费率），缺乏标准化的计费规则文档；账单催缴缺乏规范流程，约8%的应收账款未及时收回</w:t>
            </w:r>
          </w:p>
          <w:p>
            <w:pPr>
              <w:numPr>
                <w:numId w:val="163"/>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：服务费手工计算工作量大，约5%的账单存在计算错误需重新开具；账单生成依赖手工制作Excel或Word，格式不统一；账单发送需打印盖章扫描发邮件，流程繁琐</w:t>
            </w:r>
          </w:p>
          <w:p>
            <w:pPr>
              <w:spacing w:before="120" w:after="120" w:line="288" w:lineRule="auto"/>
              <w:ind w:left="453"/>
              <w:jc w:val="left"/>
            </w:pPr>
            <w:r>
              <w:rPr>
                <w:rFonts w:eastAsia="等线" w:ascii="Arial" w:cs="Arial" w:hAnsi="Arial"/>
                <w:sz w:val="22"/>
              </w:rPr>
              <w:t>导致账单准确率仅95%，服务费收缴率仅92%，影响平台现金流。</w:t>
            </w:r>
          </w:p>
          <w:p>
            <w:pPr>
              <w:numPr>
                <w:numId w:val="164"/>
              </w:numPr>
              <w:spacing w:before="120" w:after="120" w:line="288" w:lineRule="auto"/>
              <w:ind w:left="453"/>
              <w:jc w:val="left"/>
            </w:pPr>
            <w:r>
              <w:rPr>
                <w:rFonts w:eastAsia="等线" w:ascii="Arial" w:cs="Arial" w:hAnsi="Arial"/>
                <w:b w:val="true"/>
                <w:color w:val="d83931"/>
                <w:sz w:val="22"/>
              </w:rPr>
              <w:t>【期望】</w:t>
            </w:r>
          </w:p>
          <w:p>
            <w:pPr>
              <w:numPr>
                <w:numId w:val="165"/>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：建立《服务费计费规则》（明确各客户等级、品类、期限的费率标准及计算方式）；制定《账单催缴管理制度》（到期前提醒、逾期预警、催缴升级流程）</w:t>
            </w:r>
          </w:p>
          <w:p>
            <w:pPr>
              <w:numPr>
                <w:numId w:val="166"/>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：系统根据融资业务数据和计费规则自动计算服务费，账单一键生成标准格式PDF并支持邮件发送，系统自动监控账单状态并到期未收款自动预警推送催缴任务</w:t>
            </w:r>
          </w:p>
          <w:p>
            <w:pPr>
              <w:spacing w:before="120" w:after="120" w:line="288" w:lineRule="auto"/>
              <w:ind w:left="453"/>
              <w:jc w:val="left"/>
            </w:pPr>
            <w:r>
              <w:rPr>
                <w:rFonts w:eastAsia="等线" w:ascii="Arial" w:cs="Arial" w:hAnsi="Arial"/>
                <w:sz w:val="22"/>
              </w:rPr>
              <w:t>通过以上措施，账单准确率达100%，服务费收缴率提升至98%。</w:t>
            </w:r>
          </w:p>
          <w:p>
            <w:pPr>
              <w:numPr>
                <w:numId w:val="167"/>
              </w:numPr>
              <w:spacing w:before="120" w:after="120" w:line="288" w:lineRule="auto"/>
              <w:ind w:left="0"/>
              <w:jc w:val="left"/>
            </w:pPr>
            <w:r>
              <w:rPr>
                <w:rFonts w:eastAsia="等线" w:ascii="Arial" w:cs="Arial" w:hAnsi="Arial"/>
                <w:b w:val="true"/>
                <w:sz w:val="22"/>
              </w:rPr>
              <w:t>分润结算管理</w:t>
            </w:r>
          </w:p>
          <w:p>
            <w:pPr>
              <w:numPr>
                <w:numId w:val="168"/>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将分润准确率提升至100%、分润确认周期缩短至2天</w:t>
            </w:r>
            <w:r>
              <w:rPr>
                <w:rFonts w:eastAsia="等线" w:ascii="Arial" w:cs="Arial" w:hAnsi="Arial"/>
                <w:sz w:val="22"/>
              </w:rPr>
              <w:t>（业务KPI），需要建立透明化的分润计算和结算机制。但由于：</w:t>
            </w:r>
          </w:p>
          <w:p>
            <w:pPr>
              <w:numPr>
                <w:numId w:val="169"/>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：分润计算涉及多方（推荐佣金、协同催收奖励、回购奖励、质量奖金），计算规则复杂，缺乏标准化的分润规则文档；分润争议处理流程不规范，约10%的分润存在争议需重新核对</w:t>
            </w:r>
          </w:p>
          <w:p>
            <w:pPr>
              <w:numPr>
                <w:numId w:val="170"/>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：分润金额需手工计算并通知各合作方沟通确认，工作量大且沟通成本高；核心企业无法实时查看分润明细，信息不透明</w:t>
            </w:r>
          </w:p>
          <w:p>
            <w:pPr>
              <w:numPr>
                <w:numId w:val="171"/>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：缺乏自动化的分润计算和在线确认机制</w:t>
            </w:r>
          </w:p>
          <w:p>
            <w:pPr>
              <w:spacing w:before="120" w:after="120" w:line="288" w:lineRule="auto"/>
              <w:ind w:left="453"/>
              <w:jc w:val="left"/>
            </w:pPr>
            <w:r>
              <w:rPr>
                <w:rFonts w:eastAsia="等线" w:ascii="Arial" w:cs="Arial" w:hAnsi="Arial"/>
                <w:sz w:val="22"/>
              </w:rPr>
              <w:t>导致分润确认周期平均7天，分润争议率较高。</w:t>
            </w:r>
          </w:p>
          <w:p>
            <w:pPr>
              <w:numPr>
                <w:numId w:val="172"/>
              </w:numPr>
              <w:spacing w:before="120" w:after="120" w:line="288" w:lineRule="auto"/>
              <w:ind w:left="453"/>
              <w:jc w:val="left"/>
            </w:pPr>
            <w:r>
              <w:rPr>
                <w:rFonts w:eastAsia="等线" w:ascii="Arial" w:cs="Arial" w:hAnsi="Arial"/>
                <w:b w:val="true"/>
                <w:color w:val="d83931"/>
                <w:sz w:val="22"/>
              </w:rPr>
              <w:t>【期望】</w:t>
            </w:r>
          </w:p>
          <w:p>
            <w:pPr>
              <w:numPr>
                <w:numId w:val="173"/>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核心企业分润规则》（明确推荐佣金率、协同催收奖励比例、回购奖励比例、质量系数计算方式）；制定《分润对账与争议处理制度》（每月5日前生成明细、5个工作日内确认、争议处理流程）；建立《分润透明化管理制度》（核心企业可随时查看、数据可追溯）</w:t>
            </w:r>
          </w:p>
          <w:p>
            <w:pPr>
              <w:numPr>
                <w:numId w:val="174"/>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：系统根据预设规则自动计算各方分润金额，生成分润明细表并支持核心企业在线查看和确认，分润金额计算完成后自动通知核心企业</w:t>
            </w:r>
          </w:p>
          <w:p>
            <w:pPr>
              <w:spacing w:before="120" w:after="120" w:line="288" w:lineRule="auto"/>
              <w:ind w:left="453"/>
              <w:jc w:val="left"/>
            </w:pPr>
            <w:r>
              <w:rPr>
                <w:rFonts w:eastAsia="等线" w:ascii="Arial" w:cs="Arial" w:hAnsi="Arial"/>
                <w:sz w:val="22"/>
              </w:rPr>
              <w:t>通过以上措施，分润准确率达100%，分润争议减少95%，分润确认周期从7天缩短至2天。</w:t>
            </w:r>
          </w:p>
          <w:p>
            <w:pPr>
              <w:numPr>
                <w:numId w:val="175"/>
              </w:numPr>
              <w:spacing w:before="120" w:after="120" w:line="288" w:lineRule="auto"/>
              <w:ind w:left="0"/>
              <w:jc w:val="left"/>
            </w:pPr>
            <w:r>
              <w:rPr>
                <w:rFonts w:eastAsia="等线" w:ascii="Arial" w:cs="Arial" w:hAnsi="Arial"/>
                <w:b w:val="true"/>
                <w:sz w:val="22"/>
              </w:rPr>
              <w:t>收款对账管理</w:t>
            </w:r>
          </w:p>
          <w:p>
            <w:pPr>
              <w:numPr>
                <w:numId w:val="176"/>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将对账时效缩短至2小时、对账准确率达100%</w:t>
            </w:r>
            <w:r>
              <w:rPr>
                <w:rFonts w:eastAsia="等线" w:ascii="Arial" w:cs="Arial" w:hAnsi="Arial"/>
                <w:sz w:val="22"/>
              </w:rPr>
              <w:t>（业务KPI），需要建立自动化的对账机制。但由于：</w:t>
            </w:r>
          </w:p>
          <w:p>
            <w:pPr>
              <w:numPr>
                <w:numId w:val="177"/>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：缺乏标准化的对账流程和异常处理规范</w:t>
            </w:r>
          </w:p>
          <w:p>
            <w:pPr>
              <w:numPr>
                <w:numId w:val="178"/>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：收款后需手工核对账单和银行流水，每日对账耗时2-4小时，易出现遗漏或重复</w:t>
            </w:r>
          </w:p>
          <w:p>
            <w:pPr>
              <w:spacing w:before="120" w:after="120" w:line="288" w:lineRule="auto"/>
              <w:ind w:left="453"/>
              <w:jc w:val="left"/>
            </w:pPr>
            <w:r>
              <w:rPr>
                <w:rFonts w:eastAsia="等线" w:ascii="Arial" w:cs="Arial" w:hAnsi="Arial"/>
                <w:sz w:val="22"/>
              </w:rPr>
              <w:t>导致对账效率低，偶有差异。</w:t>
            </w:r>
          </w:p>
          <w:p>
            <w:pPr>
              <w:numPr>
                <w:numId w:val="179"/>
              </w:numPr>
              <w:spacing w:before="120" w:after="120" w:line="288" w:lineRule="auto"/>
              <w:ind w:left="453"/>
              <w:jc w:val="left"/>
            </w:pPr>
            <w:r>
              <w:rPr>
                <w:rFonts w:eastAsia="等线" w:ascii="Arial" w:cs="Arial" w:hAnsi="Arial"/>
                <w:b w:val="true"/>
                <w:color w:val="d83931"/>
                <w:sz w:val="22"/>
              </w:rPr>
              <w:t>【期望】</w:t>
            </w:r>
          </w:p>
          <w:p>
            <w:pPr>
              <w:numPr>
                <w:numId w:val="180"/>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：建立《收款对账管理制度》（对账周期、匹配规则、差异处理流程）</w:t>
            </w:r>
          </w:p>
          <w:p>
            <w:pPr>
              <w:numPr>
                <w:numId w:val="181"/>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：支持银行流水导入和自动匹配账单（按金额、客户匹配），系统自动更新账单状态，无法匹配的自动标注待人工确认</w:t>
            </w:r>
          </w:p>
          <w:p>
            <w:pPr>
              <w:spacing w:before="120" w:after="120" w:line="288" w:lineRule="auto"/>
              <w:ind w:left="453"/>
              <w:jc w:val="left"/>
            </w:pPr>
            <w:r>
              <w:rPr>
                <w:rFonts w:eastAsia="等线" w:ascii="Arial" w:cs="Arial" w:hAnsi="Arial"/>
                <w:sz w:val="22"/>
              </w:rPr>
              <w:t>通过以上措施，对账时效从4小时缩短至2小时，对账准确率达100%。</w:t>
            </w:r>
          </w:p>
          <w:p>
            <w:pPr>
              <w:numPr>
                <w:numId w:val="182"/>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提供灵活的服务费配置工具，支持多种计费模式（按融资金额比例、按天计息、固定费用等）和差异化定价策略（按客户等级、融资期限、质押物品类等），系统根据融资业务数据和服务费规则自动计算服务费金额。账单生成采用模板化设计，系统自动生成标准格式的电子账单，账单生成后提供发送邮件功能一键发送给客户。系统自动监控账单状态，到期未收款自动预警并推送催缴任务。系统根据预设的分润规则自动计算各方分润金额，生成分润明细表并支持核心企业在线查看和确认，分润金额自动计算完成后自动发送通知给核心企业。收款确认时系统自动匹配对应账单并更新状态，支持银行流水的导入和自动对账。建立透明的分润规则配置和自动化的分润计算机制，为决策层提供多维度的盈利分析报表和收入预测。</w:t>
            </w:r>
          </w:p>
          <w:p>
            <w:pPr>
              <w:spacing w:before="120" w:after="120" w:line="288" w:lineRule="auto"/>
              <w:ind w:left="0"/>
              <w:jc w:val="left"/>
            </w:pPr>
            <w:r>
              <w:rPr>
                <w:rFonts w:eastAsia="等线" w:ascii="Arial" w:cs="Arial" w:hAnsi="Arial"/>
                <w:b w:val="true"/>
                <w:sz w:val="22"/>
              </w:rPr>
              <w:t>🔧 执行层：</w:t>
            </w:r>
          </w:p>
          <w:p>
            <w:pPr>
              <w:numPr>
                <w:numId w:val="183"/>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每笔融资业务完成后需手工计算服务费，计算过程复杂易出错。账单需手工制作Excel或Word逐项填写，工作量大。账单制作完成后需打印盖章扫描发邮件，流程繁琐。收款后需手工查找对应账单逐笔核对金额并更新Excel，易遗漏或重复。分润金额需手工计算并通知各合作方沟通确认，工作量大。</w:t>
            </w:r>
          </w:p>
          <w:p>
            <w:pPr>
              <w:numPr>
                <w:numId w:val="184"/>
              </w:numPr>
              <w:spacing w:before="120" w:after="120" w:line="288" w:lineRule="auto"/>
              <w:ind w:left="0"/>
              <w:jc w:val="left"/>
            </w:pPr>
            <w:r>
              <w:rPr>
                <w:rFonts w:eastAsia="等线" w:ascii="Arial" w:cs="Arial" w:hAnsi="Arial"/>
                <w:b w:val="true"/>
                <w:color w:val="d83931"/>
                <w:sz w:val="22"/>
              </w:rPr>
              <w:t>【期望】</w:t>
            </w:r>
          </w:p>
          <w:p>
            <w:pPr>
              <w:numPr>
                <w:numId w:val="185"/>
              </w:numPr>
              <w:spacing w:before="120" w:after="120" w:line="288" w:lineRule="auto"/>
              <w:ind w:left="453"/>
              <w:jc w:val="left"/>
            </w:pPr>
            <w:r>
              <w:rPr>
                <w:rFonts w:eastAsia="等线" w:ascii="Arial" w:cs="Arial" w:hAnsi="Arial"/>
                <w:b w:val="true"/>
                <w:sz w:val="22"/>
              </w:rPr>
              <w:t>操作规范</w:t>
            </w:r>
            <w:r>
              <w:rPr>
                <w:rFonts w:eastAsia="等线" w:ascii="Arial" w:cs="Arial" w:hAnsi="Arial"/>
                <w:sz w:val="22"/>
              </w:rPr>
              <w:t>：按《服务费计费规则》核对系统计算结果，按《分润对账与争议处理制度》处理核心企业异议，按《收款对账管理制度》处理匹配异常</w:t>
            </w:r>
          </w:p>
          <w:p>
            <w:pPr>
              <w:numPr>
                <w:numId w:val="186"/>
              </w:numPr>
              <w:spacing w:before="120" w:after="120" w:line="288" w:lineRule="auto"/>
              <w:ind w:left="453"/>
              <w:jc w:val="left"/>
            </w:pPr>
            <w:r>
              <w:rPr>
                <w:rFonts w:eastAsia="等线" w:ascii="Arial" w:cs="Arial" w:hAnsi="Arial"/>
                <w:b w:val="true"/>
                <w:sz w:val="22"/>
              </w:rPr>
              <w:t>系统支持</w:t>
            </w:r>
            <w:r>
              <w:rPr>
                <w:rFonts w:eastAsia="等线" w:ascii="Arial" w:cs="Arial" w:hAnsi="Arial"/>
                <w:sz w:val="22"/>
              </w:rPr>
              <w:t>：服务费自动计算并展示供核对确认，账单一键生成并自动填充所有信息，账单支持电子化发送无需打印扫描，收款后快速匹配账单并自动更新状态，分润金额自动计算并推送给各方减少沟通</w:t>
            </w:r>
          </w:p>
          <w:p>
            <w:pPr>
              <w:numPr>
                <w:numId w:val="187"/>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在融资业务完成后自动计算服务费计算结果展示在账单生成页面财务人员仅需核对确认，账单生成采用一键式操作系统自动带入所有信息生成标准格式的PDF账单，账单生成后提供发送邮件功能一键将账单发送给客户，收款确认页面提供账单搜索功能录入收款金额后系统自动匹配账单并更新状态，分润金额系统自动计算完成后自动发送通知给合作方在线查看分润明细并确认。</w:t>
            </w:r>
          </w:p>
        </w:tc>
      </w:tr>
    </w:tbl>
    <w:p>
      <w:pPr>
        <w:spacing w:before="120" w:after="120" w:line="288" w:lineRule="auto"/>
        <w:ind w:left="0"/>
        <w:jc w:val="left"/>
      </w:pPr>
      <w:r>
        <w:rPr>
          <w:rFonts w:eastAsia="等线" w:ascii="Arial" w:cs="Arial" w:hAnsi="Arial"/>
          <w:b w:val="true"/>
          <w:sz w:val="22"/>
        </w:rPr>
        <w:t>主要核心功能：</w:t>
      </w:r>
    </w:p>
    <w:p>
      <w:pPr>
        <w:spacing w:before="120" w:after="120" w:line="288" w:lineRule="auto"/>
        <w:ind w:left="0"/>
        <w:jc w:val="left"/>
      </w:pPr>
      <w:r>
        <w:rPr>
          <w:rFonts w:eastAsia="等线" w:ascii="Arial" w:cs="Arial" w:hAnsi="Arial"/>
          <w:b w:val="true"/>
          <w:sz w:val="22"/>
        </w:rPr>
        <w:t>服务费配置</w:t>
      </w:r>
      <w:r>
        <w:rPr>
          <w:rFonts w:eastAsia="等线" w:ascii="Arial" w:cs="Arial" w:hAnsi="Arial"/>
          <w:sz w:val="22"/>
        </w:rPr>
        <w:t>：提供灵活的服务费规则配置工具，支持多种计费模式（按融资金额比例、按天计息、固定费用等）和差异化定价策略（按客户等级、融资期限、质押物品类等），支持费率的在线设置和版本管理。</w:t>
      </w:r>
    </w:p>
    <w:p>
      <w:pPr>
        <w:spacing w:before="120" w:after="120" w:line="288" w:lineRule="auto"/>
        <w:ind w:left="0"/>
        <w:jc w:val="left"/>
      </w:pPr>
      <w:r>
        <w:rPr>
          <w:rFonts w:eastAsia="等线" w:ascii="Arial" w:cs="Arial" w:hAnsi="Arial"/>
          <w:b w:val="true"/>
          <w:sz w:val="22"/>
        </w:rPr>
        <w:t>账单管理</w:t>
      </w:r>
      <w:r>
        <w:rPr>
          <w:rFonts w:eastAsia="等线" w:ascii="Arial" w:cs="Arial" w:hAnsi="Arial"/>
          <w:sz w:val="22"/>
        </w:rPr>
        <w:t>：支持账单的自动生成、在线预览、下载和发送，采用标准化模板设计，支持账单状态管理和电子化归档。</w:t>
      </w:r>
    </w:p>
    <w:p>
      <w:pPr>
        <w:spacing w:before="120" w:after="120" w:line="288" w:lineRule="auto"/>
        <w:ind w:left="0"/>
        <w:jc w:val="left"/>
      </w:pPr>
      <w:r>
        <w:rPr>
          <w:rFonts w:eastAsia="等线" w:ascii="Arial" w:cs="Arial" w:hAnsi="Arial"/>
          <w:b w:val="true"/>
          <w:sz w:val="22"/>
        </w:rPr>
        <w:t>收款确认</w:t>
      </w:r>
      <w:r>
        <w:rPr>
          <w:rFonts w:eastAsia="等线" w:ascii="Arial" w:cs="Arial" w:hAnsi="Arial"/>
          <w:sz w:val="22"/>
        </w:rPr>
        <w:t>：提供收款登记和对账工具，支持收款信息的录入和账单的自动匹配，支持银行流水的导入和自动对账。</w:t>
      </w:r>
    </w:p>
    <w:p>
      <w:pPr>
        <w:spacing w:before="120" w:after="120" w:line="288" w:lineRule="auto"/>
        <w:ind w:left="0"/>
        <w:jc w:val="left"/>
      </w:pPr>
      <w:r>
        <w:rPr>
          <w:rFonts w:eastAsia="等线" w:ascii="Arial" w:cs="Arial" w:hAnsi="Arial"/>
          <w:b w:val="true"/>
          <w:sz w:val="22"/>
        </w:rPr>
        <w:t>分润结算</w:t>
      </w:r>
      <w:r>
        <w:rPr>
          <w:rFonts w:eastAsia="等线" w:ascii="Arial" w:cs="Arial" w:hAnsi="Arial"/>
          <w:sz w:val="22"/>
        </w:rPr>
        <w:t>：支持分润规则的灵活配置，系统根据业务数据自动计算各方分润金额，生成分润明细表并支持各方在线查看和确认。支持核心企业推荐佣金的自动计算和结算。</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2.2 </w:t>
      </w:r>
      <w:r>
        <w:rPr>
          <w:rFonts w:eastAsia="等线" w:ascii="Arial" w:cs="Arial" w:hAnsi="Arial"/>
          <w:b w:val="true"/>
          <w:sz w:val="32"/>
        </w:rPr>
        <w:t>解决方案总体架构</w:t>
      </w:r>
      <w:bookmarkEnd w:id="9"/>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2.2.1 </w:t>
      </w:r>
      <w:r>
        <w:rPr>
          <w:rFonts w:eastAsia="等线" w:ascii="Arial" w:cs="Arial" w:hAnsi="Arial"/>
          <w:b w:val="true"/>
          <w:sz w:val="30"/>
        </w:rPr>
        <w:t>整体流程图</w:t>
      </w:r>
      <w:bookmarkEnd w:id="10"/>
    </w:p>
    <w:p>
      <w:pPr>
        <w:spacing w:before="120" w:after="120" w:line="288" w:lineRule="auto"/>
        <w:ind w:left="0"/>
        <w:jc w:val="center"/>
      </w:pPr>
      <w:r>
        <w:drawing>
          <wp:inline distT="0" distR="0" distB="0" distL="0">
            <wp:extent cx="5257800" cy="1476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4763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业务流程整体说明</w:t>
      </w:r>
    </w:p>
    <w:p>
      <w:pPr>
        <w:spacing w:before="120" w:after="120" w:line="288" w:lineRule="auto"/>
        <w:ind w:left="0"/>
        <w:jc w:val="left"/>
      </w:pPr>
      <w:r>
        <w:rPr>
          <w:rFonts w:eastAsia="等线" w:ascii="Arial" w:cs="Arial" w:hAnsi="Arial"/>
          <w:sz w:val="22"/>
        </w:rPr>
        <w:t>供应链金融平台业务流程图展示了控货质押模式下从客户准入到业务完成的完整流程，涵盖</w:t>
      </w:r>
      <w:r>
        <w:rPr>
          <w:rFonts w:eastAsia="等线" w:ascii="Arial" w:cs="Arial" w:hAnsi="Arial"/>
          <w:b w:val="true"/>
          <w:sz w:val="22"/>
        </w:rPr>
        <w:t>企业端（经销商/代理商）、运营端（平台）、核心企业、仓储方和银行端五</w:t>
      </w:r>
      <w:r>
        <w:rPr>
          <w:rFonts w:eastAsia="等线" w:ascii="Arial" w:cs="Arial" w:hAnsi="Arial"/>
          <w:sz w:val="22"/>
        </w:rPr>
        <w:t>方协同。</w:t>
      </w:r>
    </w:p>
    <w:p>
      <w:pPr>
        <w:spacing w:before="120" w:after="120" w:line="288" w:lineRule="auto"/>
        <w:ind w:left="0"/>
        <w:jc w:val="left"/>
      </w:pPr>
      <w:r>
        <w:rPr>
          <w:rFonts w:eastAsia="等线" w:ascii="Arial" w:cs="Arial" w:hAnsi="Arial"/>
          <w:sz w:val="22"/>
        </w:rPr>
        <w:t>主流程包含</w:t>
      </w:r>
      <w:r>
        <w:rPr>
          <w:rFonts w:eastAsia="等线" w:ascii="Arial" w:cs="Arial" w:hAnsi="Arial"/>
          <w:b w:val="true"/>
          <w:sz w:val="22"/>
        </w:rPr>
        <w:t>七个核心阶段</w:t>
      </w:r>
      <w:r>
        <w:rPr>
          <w:rFonts w:eastAsia="等线" w:ascii="Arial" w:cs="Arial" w:hAnsi="Arial"/>
          <w:sz w:val="22"/>
        </w:rPr>
        <w:t>：客户准入、融资申请、质押物入库与仓单开立、审批放款、质押物监管与风险监控、提货出库、还款解押与结算。其中，</w:t>
      </w:r>
      <w:r>
        <w:rPr>
          <w:rFonts w:eastAsia="等线" w:ascii="Arial" w:cs="Arial" w:hAnsi="Arial"/>
          <w:b w:val="true"/>
          <w:sz w:val="22"/>
        </w:rPr>
        <w:t>货权管理</w:t>
      </w:r>
      <w:r>
        <w:rPr>
          <w:rFonts w:eastAsia="等线" w:ascii="Arial" w:cs="Arial" w:hAnsi="Arial"/>
          <w:sz w:val="22"/>
        </w:rPr>
        <w:t>贯穿融资全周期，通过与物流WMS系统的实时对接和电子仓单技术，确保质押物真实可控、权属清晰，为银行资金安全提供保障。</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2.2.2 </w:t>
      </w:r>
      <w:r>
        <w:rPr>
          <w:rFonts w:eastAsia="等线" w:ascii="Arial" w:cs="Arial" w:hAnsi="Arial"/>
          <w:b w:val="true"/>
          <w:sz w:val="30"/>
        </w:rPr>
        <w:t>整体架构图</w:t>
      </w:r>
      <w:bookmarkEnd w:id="11"/>
    </w:p>
    <w:p>
      <w:pPr>
        <w:spacing w:before="120" w:after="120" w:line="288" w:lineRule="auto"/>
        <w:ind w:left="0"/>
        <w:jc w:val="center"/>
      </w:pPr>
      <w:r>
        <w:drawing>
          <wp:inline distT="0" distR="0" distB="0" distL="0">
            <wp:extent cx="5257800" cy="2971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2" w:id="12"/>
      <w:r>
        <w:rPr>
          <w:rFonts w:eastAsia="等线" w:ascii="Arial" w:cs="Arial" w:hAnsi="Arial"/>
          <w:color w:val="3370ff"/>
          <w:sz w:val="36"/>
        </w:rPr>
        <w:t xml:space="preserve">3. </w:t>
      </w:r>
      <w:r>
        <w:rPr>
          <w:rFonts w:eastAsia="等线" w:ascii="Arial" w:cs="Arial" w:hAnsi="Arial"/>
          <w:b w:val="true"/>
          <w:sz w:val="36"/>
        </w:rPr>
        <w:t>详细方案</w:t>
      </w:r>
      <w:bookmarkEnd w:id="12"/>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3.1 </w:t>
      </w:r>
      <w:r>
        <w:rPr>
          <w:rFonts w:eastAsia="等线" w:ascii="Arial" w:cs="Arial" w:hAnsi="Arial"/>
          <w:b w:val="true"/>
          <w:sz w:val="32"/>
        </w:rPr>
        <w:t>客户管理</w:t>
      </w:r>
      <w:bookmarkEnd w:id="13"/>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3.1.1 </w:t>
      </w:r>
      <w:r>
        <w:rPr>
          <w:rFonts w:eastAsia="等线" w:ascii="Arial" w:cs="Arial" w:hAnsi="Arial"/>
          <w:b w:val="true"/>
          <w:sz w:val="30"/>
        </w:rPr>
        <w:t>业务概述</w:t>
      </w:r>
      <w:bookmarkEnd w:id="14"/>
    </w:p>
    <w:p>
      <w:pPr>
        <w:spacing w:before="120" w:after="120" w:line="288" w:lineRule="auto"/>
        <w:ind w:left="0"/>
        <w:jc w:val="left"/>
      </w:pPr>
      <w:r>
        <w:rPr>
          <w:rFonts w:eastAsia="等线" w:ascii="Arial" w:cs="Arial" w:hAnsi="Arial"/>
          <w:sz w:val="22"/>
        </w:rPr>
        <w:t>客户管理模块是平台的基础支撑，负责经销商、核心企业、银行、仓储方的全生命周期管理。核心特色是</w:t>
      </w:r>
      <w:r>
        <w:rPr>
          <w:rFonts w:eastAsia="等线" w:ascii="Arial" w:cs="Arial" w:hAnsi="Arial"/>
          <w:b w:val="true"/>
          <w:sz w:val="22"/>
        </w:rPr>
        <w:t>基于核心企业推荐的准入机制</w:t>
      </w:r>
      <w:r>
        <w:rPr>
          <w:rFonts w:eastAsia="等线" w:ascii="Arial" w:cs="Arial" w:hAnsi="Arial"/>
          <w:sz w:val="22"/>
        </w:rPr>
        <w:t>，充分利用核心企业对下游经销商的了解，从源头把控资产质量。</w:t>
      </w:r>
    </w:p>
    <w:p>
      <w:pPr>
        <w:spacing w:before="120" w:after="120" w:line="288" w:lineRule="auto"/>
        <w:ind w:left="0"/>
        <w:jc w:val="left"/>
      </w:pPr>
      <w:r>
        <w:rPr>
          <w:rFonts w:eastAsia="等线" w:ascii="Arial" w:cs="Arial" w:hAnsi="Arial"/>
          <w:b w:val="true"/>
          <w:sz w:val="22"/>
        </w:rPr>
        <w:t>核心业务目标</w:t>
      </w:r>
      <w:r>
        <w:rPr>
          <w:rFonts w:eastAsia="等线" w:ascii="Arial" w:cs="Arial" w:hAnsi="Arial"/>
          <w:sz w:val="22"/>
        </w:rPr>
        <w:t>：优质客户占比≥60%、客户不良率≤2%、准入时效≤2天。</w:t>
      </w:r>
    </w:p>
    <w:p>
      <w:pPr>
        <w:spacing w:before="120" w:after="120" w:line="288" w:lineRule="auto"/>
        <w:ind w:left="0"/>
        <w:jc w:val="left"/>
      </w:pPr>
      <w:r>
        <w:rPr>
          <w:rFonts w:eastAsia="等线" w:ascii="Arial" w:cs="Arial" w:hAnsi="Arial"/>
          <w:b w:val="true"/>
          <w:sz w:val="22"/>
        </w:rPr>
        <w:t>核心运营策略</w:t>
      </w:r>
      <w:r>
        <w:rPr>
          <w:rFonts w:eastAsia="等线" w:ascii="Arial" w:cs="Arial" w:hAnsi="Arial"/>
          <w:sz w:val="22"/>
        </w:rPr>
        <w:t>：通过</w:t>
      </w:r>
      <w:r>
        <w:rPr>
          <w:rFonts w:eastAsia="等线" w:ascii="Arial" w:cs="Arial" w:hAnsi="Arial"/>
          <w:b w:val="true"/>
          <w:sz w:val="22"/>
        </w:rPr>
        <w:t>核心企业推荐激励机制</w:t>
      </w:r>
      <w:r>
        <w:rPr>
          <w:rFonts w:eastAsia="等线" w:ascii="Arial" w:cs="Arial" w:hAnsi="Arial"/>
          <w:sz w:val="22"/>
        </w:rPr>
        <w:t>调动推荐积极性，通过</w:t>
      </w:r>
      <w:r>
        <w:rPr>
          <w:rFonts w:eastAsia="等线" w:ascii="Arial" w:cs="Arial" w:hAnsi="Arial"/>
          <w:b w:val="true"/>
          <w:sz w:val="22"/>
        </w:rPr>
        <w:t>差异化准入矩阵</w:t>
      </w:r>
      <w:r>
        <w:rPr>
          <w:rFonts w:eastAsia="等线" w:ascii="Arial" w:cs="Arial" w:hAnsi="Arial"/>
          <w:sz w:val="22"/>
        </w:rPr>
        <w:t>平衡获客效率与风险控制。</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3.1.2 </w:t>
      </w:r>
      <w:r>
        <w:rPr>
          <w:rFonts w:eastAsia="等线" w:ascii="Arial" w:cs="Arial" w:hAnsi="Arial"/>
          <w:b w:val="true"/>
          <w:sz w:val="30"/>
        </w:rPr>
        <w:t>核心痛点</w:t>
      </w:r>
      <w:bookmarkEnd w:id="1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决策层：</w:t>
            </w:r>
          </w:p>
          <w:p>
            <w:pPr>
              <w:numPr>
                <w:numId w:val="188"/>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缺乏对核心企业推荐质量的量化评估（推荐客户不良率、首贷率、协同催收成功率等），无法识别优质合作伙伴并差异化管理。例如核心企业A推荐客户不良率1.5%，核心企业B高达6.8%，但平台采用相同合作政策，导致低质量客户占比过高，拉升整体不良率。</w:t>
            </w:r>
          </w:p>
          <w:p>
            <w:pPr>
              <w:numPr>
                <w:numId w:val="189"/>
              </w:numPr>
              <w:spacing w:before="120" w:after="120" w:line="288" w:lineRule="auto"/>
              <w:ind w:left="0"/>
              <w:jc w:val="left"/>
            </w:pPr>
            <w:r>
              <w:rPr>
                <w:rFonts w:eastAsia="等线" w:ascii="Arial" w:cs="Arial" w:hAnsi="Arial"/>
                <w:b w:val="true"/>
                <w:color w:val="d83931"/>
                <w:sz w:val="22"/>
              </w:rPr>
              <w:t>【期望】</w:t>
            </w:r>
            <w:r>
              <w:rPr>
                <w:rFonts w:eastAsia="等线" w:ascii="Arial" w:cs="Arial" w:hAnsi="Arial"/>
                <w:sz w:val="22"/>
              </w:rPr>
              <w:t>实时掌握各核心企业推荐质量指标，支持核心企业分级评估（S/A/B/C），差异化制定合作政策（S级快速审批+更高质押率，C级加强审核或暂停合作），推动优质核心企业推荐客户占比从40%提升至60%。</w:t>
            </w:r>
          </w:p>
          <w:p>
            <w:pPr>
              <w:numPr>
                <w:numId w:val="190"/>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建立统一的客户准入标准和多维度评估模型，通过客户分级管理和黑白名单机制，实现客户结构的动态优化和风险集中度控制。系统与核心企业建立数据对接通道，获取经销商的供货记录、信用评级、经营异常等信息，结合平台自身风控模型形成全面的客户画像。</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管理层：</w:t>
            </w:r>
          </w:p>
          <w:p>
            <w:pPr>
              <w:numPr>
                <w:numId w:val="191"/>
              </w:numPr>
              <w:spacing w:before="120" w:after="120" w:line="288" w:lineRule="auto"/>
              <w:ind w:left="0"/>
              <w:jc w:val="left"/>
            </w:pPr>
            <w:r>
              <w:rPr>
                <w:rFonts w:eastAsia="等线" w:ascii="Arial" w:cs="Arial" w:hAnsi="Arial"/>
                <w:b w:val="true"/>
                <w:sz w:val="22"/>
              </w:rPr>
              <w:t>客户准入与分层</w:t>
            </w:r>
          </w:p>
          <w:p>
            <w:pPr>
              <w:numPr>
                <w:numId w:val="192"/>
              </w:numPr>
              <w:spacing w:before="120" w:after="120" w:line="288" w:lineRule="auto"/>
              <w:ind w:left="453"/>
              <w:jc w:val="left"/>
            </w:pPr>
            <w:r>
              <w:rPr>
                <w:rFonts w:eastAsia="等线" w:ascii="Arial" w:cs="Arial" w:hAnsi="Arial"/>
                <w:b w:val="true"/>
                <w:color w:val="d83931"/>
                <w:sz w:val="22"/>
              </w:rPr>
              <w:t>【痛点1】</w:t>
            </w:r>
            <w:r>
              <w:rPr>
                <w:rFonts w:eastAsia="等线" w:ascii="Arial" w:cs="Arial" w:hAnsi="Arial"/>
                <w:sz w:val="22"/>
              </w:rPr>
              <w:t>为了</w:t>
            </w:r>
            <w:r>
              <w:rPr>
                <w:rFonts w:eastAsia="等线" w:ascii="Arial" w:cs="Arial" w:hAnsi="Arial"/>
                <w:b w:val="true"/>
                <w:sz w:val="22"/>
              </w:rPr>
              <w:t>提高优质客户占比至60%、降低不良率至2%以下</w:t>
            </w:r>
            <w:r>
              <w:rPr>
                <w:rFonts w:eastAsia="等线" w:ascii="Arial" w:cs="Arial" w:hAnsi="Arial"/>
                <w:sz w:val="22"/>
              </w:rPr>
              <w:t>（业务KPI），需要建立标准化的客户准入和分层管理体系，优先引入有核心企业信用背书的优质经销商。但由于：</w:t>
            </w:r>
          </w:p>
          <w:p>
            <w:pPr>
              <w:numPr>
                <w:numId w:val="193"/>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：准入流程缺乏核心企业实时推荐确认环节，无法核验经销商与核心企业的真实合作关系</w:t>
            </w:r>
          </w:p>
          <w:p>
            <w:pPr>
              <w:numPr>
                <w:numId w:val="194"/>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：经销商经营异常（销售下滑、串货违规等）缺乏与核心企业的信息共享机制，平台无法及时获知</w:t>
            </w:r>
          </w:p>
          <w:p>
            <w:pPr>
              <w:numPr>
                <w:numId w:val="195"/>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：客户信息分散在多个系统或Excel，准入审核流程冗长（平均5天）</w:t>
            </w:r>
          </w:p>
          <w:p>
            <w:pPr>
              <w:spacing w:before="120" w:after="120" w:line="288" w:lineRule="auto"/>
              <w:ind w:left="453"/>
              <w:jc w:val="left"/>
            </w:pPr>
            <w:r>
              <w:rPr>
                <w:rFonts w:eastAsia="等线" w:ascii="Arial" w:cs="Arial" w:hAnsi="Arial"/>
                <w:sz w:val="22"/>
              </w:rPr>
              <w:t>导致虚假合作关系难识别、客户风险变化发现滞后。例如某经销商伪造与核心企业合作关系，准入后逾期损失80万；某B级客户销售额从月均200万降至50万，平台3个月后才发现，期间新增融资150万最终逾期。</w:t>
            </w:r>
          </w:p>
          <w:p>
            <w:pPr>
              <w:numPr>
                <w:numId w:val="196"/>
              </w:numPr>
              <w:spacing w:before="120" w:after="120" w:line="288" w:lineRule="auto"/>
              <w:ind w:left="453"/>
              <w:jc w:val="left"/>
            </w:pPr>
            <w:r>
              <w:rPr>
                <w:rFonts w:eastAsia="等线" w:ascii="Arial" w:cs="Arial" w:hAnsi="Arial"/>
                <w:b w:val="true"/>
                <w:color w:val="d83931"/>
                <w:sz w:val="22"/>
              </w:rPr>
              <w:t>【期望1】</w:t>
            </w:r>
          </w:p>
          <w:p>
            <w:pPr>
              <w:numPr>
                <w:numId w:val="197"/>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：建立《核心企业推荐确认制度》，经销商准入须由核心企业推荐，核心企业在线确认并同步经销商信用数据；建立《核心企业信息共享机制》，经销商出现异常时核心企业主动推送预警</w:t>
            </w:r>
          </w:p>
          <w:p>
            <w:pPr>
              <w:numPr>
                <w:numId w:val="198"/>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：准入流程嵌入推荐确认环节（提交推荐→系统发起确认→核心企业响应→信用数据同步），建立集中统一的客户信息管理平台</w:t>
            </w:r>
          </w:p>
          <w:p>
            <w:pPr>
              <w:spacing w:before="120" w:after="120" w:line="288" w:lineRule="auto"/>
              <w:ind w:left="453"/>
              <w:jc w:val="left"/>
            </w:pPr>
            <w:r>
              <w:rPr>
                <w:rFonts w:eastAsia="等线" w:ascii="Arial" w:cs="Arial" w:hAnsi="Arial"/>
                <w:sz w:val="22"/>
              </w:rPr>
              <w:t>通过以上措施，准入审核时效从5天缩短至2天，优质客户占比提升至60%。</w:t>
            </w:r>
          </w:p>
          <w:p>
            <w:pPr>
              <w:numPr>
                <w:numId w:val="199"/>
              </w:numPr>
              <w:spacing w:before="120" w:after="120" w:line="288" w:lineRule="auto"/>
              <w:ind w:left="0"/>
              <w:jc w:val="left"/>
            </w:pPr>
            <w:r>
              <w:rPr>
                <w:rFonts w:eastAsia="等线" w:ascii="Arial" w:cs="Arial" w:hAnsi="Arial"/>
                <w:b w:val="true"/>
                <w:sz w:val="22"/>
              </w:rPr>
              <w:t>准入审核效率</w:t>
            </w:r>
          </w:p>
          <w:p>
            <w:pPr>
              <w:numPr>
                <w:numId w:val="200"/>
              </w:numPr>
              <w:spacing w:before="120" w:after="120" w:line="288" w:lineRule="auto"/>
              <w:ind w:left="453"/>
              <w:jc w:val="left"/>
            </w:pPr>
            <w:r>
              <w:rPr>
                <w:rFonts w:eastAsia="等线" w:ascii="Arial" w:cs="Arial" w:hAnsi="Arial"/>
                <w:b w:val="true"/>
                <w:color w:val="d83931"/>
                <w:sz w:val="22"/>
              </w:rPr>
              <w:t>【痛点2】</w:t>
            </w:r>
            <w:r>
              <w:rPr>
                <w:rFonts w:eastAsia="等线" w:ascii="Arial" w:cs="Arial" w:hAnsi="Arial"/>
                <w:sz w:val="22"/>
              </w:rPr>
              <w:t>为了</w:t>
            </w:r>
            <w:r>
              <w:rPr>
                <w:rFonts w:eastAsia="等线" w:ascii="Arial" w:cs="Arial" w:hAnsi="Arial"/>
                <w:b w:val="true"/>
                <w:sz w:val="22"/>
              </w:rPr>
              <w:t>提高准入通过率至65%、提升准入审核效率</w:t>
            </w:r>
            <w:r>
              <w:rPr>
                <w:rFonts w:eastAsia="等线" w:ascii="Arial" w:cs="Arial" w:hAnsi="Arial"/>
                <w:sz w:val="22"/>
              </w:rPr>
              <w:t>（业务KPI），需要优化准入审核流程，减少资料不完整导致的反复沟通。但由于：</w:t>
            </w:r>
          </w:p>
          <w:p>
            <w:pPr>
              <w:numPr>
                <w:numId w:val="201"/>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：缺乏标准化的资料提交规范，客户不清楚需要准备哪些材料</w:t>
            </w:r>
          </w:p>
          <w:p>
            <w:pPr>
              <w:numPr>
                <w:numId w:val="202"/>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：资料上传缺乏完整性校验，约50%申请因资料不完整需补充，平均沟通2-3轮；证照到期需手工逐个通知，易遗漏</w:t>
            </w:r>
          </w:p>
          <w:p>
            <w:pPr>
              <w:spacing w:before="120" w:after="120" w:line="288" w:lineRule="auto"/>
              <w:ind w:left="453"/>
              <w:jc w:val="left"/>
            </w:pPr>
            <w:r>
              <w:rPr>
                <w:rFonts w:eastAsia="等线" w:ascii="Arial" w:cs="Arial" w:hAnsi="Arial"/>
                <w:sz w:val="22"/>
              </w:rPr>
              <w:t>导致准入耗时长、客户体验差，部分客户因等待转向竞争对手。例如某客户营业执照到期后继续融资，事后发现合规风险。</w:t>
            </w:r>
          </w:p>
          <w:p>
            <w:pPr>
              <w:numPr>
                <w:numId w:val="203"/>
              </w:numPr>
              <w:spacing w:before="120" w:after="120" w:line="288" w:lineRule="auto"/>
              <w:ind w:left="453"/>
              <w:jc w:val="left"/>
            </w:pPr>
            <w:r>
              <w:rPr>
                <w:rFonts w:eastAsia="等线" w:ascii="Arial" w:cs="Arial" w:hAnsi="Arial"/>
                <w:b w:val="true"/>
                <w:color w:val="d83931"/>
                <w:sz w:val="22"/>
              </w:rPr>
              <w:t>【期望2】</w:t>
            </w:r>
          </w:p>
          <w:p>
            <w:pPr>
              <w:numPr>
                <w:numId w:val="204"/>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：制定《客户准入资料清单》明确必交材料和格式要求，建立《证照有效期管理制度》要求提前30天更新</w:t>
            </w:r>
          </w:p>
          <w:p>
            <w:pPr>
              <w:numPr>
                <w:numId w:val="205"/>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：提供标准化在线上传界面，内置完整性校验（资料不完整拒绝提交），自动监控证照有效期并提前预警</w:t>
            </w:r>
          </w:p>
          <w:p>
            <w:pPr>
              <w:spacing w:before="120" w:after="120" w:line="288" w:lineRule="auto"/>
              <w:ind w:left="453"/>
              <w:jc w:val="left"/>
            </w:pPr>
            <w:r>
              <w:rPr>
                <w:rFonts w:eastAsia="等线" w:ascii="Arial" w:cs="Arial" w:hAnsi="Arial"/>
                <w:sz w:val="22"/>
              </w:rPr>
              <w:t>通过以上措施，资料一次性完整率从50%提升至90%，准入审核时效缩短至2天，准入通过率稳定在60-70%。</w:t>
            </w:r>
          </w:p>
          <w:p>
            <w:pPr>
              <w:numPr>
                <w:numId w:val="206"/>
              </w:numPr>
              <w:spacing w:before="120" w:after="120" w:line="288" w:lineRule="auto"/>
              <w:ind w:left="0"/>
              <w:jc w:val="left"/>
            </w:pPr>
            <w:r>
              <w:rPr>
                <w:rFonts w:eastAsia="等线" w:ascii="Arial" w:cs="Arial" w:hAnsi="Arial"/>
                <w:b w:val="true"/>
                <w:sz w:val="22"/>
              </w:rPr>
              <w:t>核心企业推荐</w:t>
            </w:r>
          </w:p>
          <w:p>
            <w:pPr>
              <w:numPr>
                <w:numId w:val="207"/>
              </w:numPr>
              <w:spacing w:before="120" w:after="120" w:line="288" w:lineRule="auto"/>
              <w:ind w:left="453"/>
              <w:jc w:val="left"/>
            </w:pPr>
            <w:r>
              <w:rPr>
                <w:rFonts w:eastAsia="等线" w:ascii="Arial" w:cs="Arial" w:hAnsi="Arial"/>
                <w:b w:val="true"/>
                <w:color w:val="d83931"/>
                <w:sz w:val="22"/>
              </w:rPr>
              <w:t>【痛点3】</w:t>
            </w:r>
            <w:r>
              <w:rPr>
                <w:rFonts w:eastAsia="等线" w:ascii="Arial" w:cs="Arial" w:hAnsi="Arial"/>
                <w:sz w:val="22"/>
              </w:rPr>
              <w:t>为了</w:t>
            </w:r>
            <w:r>
              <w:rPr>
                <w:rFonts w:eastAsia="等线" w:ascii="Arial" w:cs="Arial" w:hAnsi="Arial"/>
                <w:b w:val="true"/>
                <w:sz w:val="22"/>
              </w:rPr>
              <w:t>提高核心企业推荐积极性和推荐质量</w:t>
            </w:r>
            <w:r>
              <w:rPr>
                <w:rFonts w:eastAsia="等线" w:ascii="Arial" w:cs="Arial" w:hAnsi="Arial"/>
                <w:sz w:val="22"/>
              </w:rPr>
              <w:t>（业务KPI），需要建立推荐激励和约束机制。但由于缺乏量化的推荐质量评估标准、激励政策不明确、低质量推荐无惩罚，导致核心企业推荐意愿参差不齐，部分核心企业"重数量轻质量"。</w:t>
            </w:r>
          </w:p>
          <w:p>
            <w:pPr>
              <w:numPr>
                <w:numId w:val="208"/>
              </w:numPr>
              <w:spacing w:before="120" w:after="120" w:line="288" w:lineRule="auto"/>
              <w:ind w:left="453"/>
              <w:jc w:val="left"/>
            </w:pPr>
            <w:r>
              <w:rPr>
                <w:rFonts w:eastAsia="等线" w:ascii="Arial" w:cs="Arial" w:hAnsi="Arial"/>
                <w:b w:val="true"/>
                <w:color w:val="d83931"/>
                <w:sz w:val="22"/>
              </w:rPr>
              <w:t>【期望3】</w:t>
            </w:r>
            <w:r>
              <w:rPr>
                <w:rFonts w:eastAsia="等线" w:ascii="Arial" w:cs="Arial" w:hAnsi="Arial"/>
                <w:sz w:val="22"/>
              </w:rPr>
              <w:t>建立《核心企业推荐激励制度》（推荐佣金+质量奖金+协同催收奖励），制定《推荐质量评估标准》（通过率、首贷率、逾期率加权计分），S级享特权、C级受限制，系统支持自动计算并每季度输出评估报告。</w:t>
            </w:r>
          </w:p>
          <w:p>
            <w:pPr>
              <w:numPr>
                <w:numId w:val="209"/>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系统提供统一的客户信息管理平台，支持在线准入申请和自动化审核流程，系统自动监控证照有效期、授信额度等关键信息并到期预警。系统集成核心企业的推荐确认接口，经销商准入时必须获得核心企业的</w:t>
            </w:r>
            <w:r>
              <w:rPr>
                <w:rFonts w:eastAsia="等线" w:ascii="Arial" w:cs="Arial" w:hAnsi="Arial"/>
                <w:b w:val="true"/>
                <w:sz w:val="22"/>
              </w:rPr>
              <w:t>推荐码</w:t>
            </w:r>
            <w:r>
              <w:rPr>
                <w:rFonts w:eastAsia="等线" w:ascii="Arial" w:cs="Arial" w:hAnsi="Arial"/>
                <w:sz w:val="22"/>
              </w:rPr>
              <w:t>或在线确认，系统自动调取核心企业提供的经销商供货记录、销售额、信用评级等数据自动导入客户档案。系统与核心企业建立信息推送机制，经销商出现异常时核心企业主动推送预警信息到平台，系统自动关联该经销商所有业务并评估风险。系统提供标准化的在线资料上传界面，内置资料完整性校验规则，资料不完整时系统自动提示并拒绝提交。通过客户分级管理（A/B/C级）和授信动态调整机制，实现客户结构的持续优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执行层：</w:t>
            </w:r>
          </w:p>
          <w:p>
            <w:pPr>
              <w:numPr>
                <w:numId w:val="210"/>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客户资料来自多渠道需手工整理录入，完整性需逐项核对并反复沟通（平均2-3轮），证照到期需手工逐个通知。经销商准入时需电话或邮件联系核心企业确认合作关系，耗时长且无法留存证据，供货合同、销售数据等需逐一核验真伪。</w:t>
            </w:r>
          </w:p>
          <w:p>
            <w:pPr>
              <w:numPr>
                <w:numId w:val="211"/>
              </w:numPr>
              <w:spacing w:before="120" w:after="120" w:line="288" w:lineRule="auto"/>
              <w:ind w:left="0"/>
              <w:jc w:val="left"/>
            </w:pPr>
            <w:r>
              <w:rPr>
                <w:rFonts w:eastAsia="等线" w:ascii="Arial" w:cs="Arial" w:hAnsi="Arial"/>
                <w:b w:val="true"/>
                <w:color w:val="d83931"/>
                <w:sz w:val="22"/>
              </w:rPr>
              <w:t>【期望】</w:t>
            </w:r>
          </w:p>
          <w:p>
            <w:pPr>
              <w:numPr>
                <w:numId w:val="212"/>
              </w:numPr>
              <w:spacing w:before="120" w:after="120" w:line="288" w:lineRule="auto"/>
              <w:ind w:left="453"/>
              <w:jc w:val="left"/>
            </w:pPr>
            <w:r>
              <w:rPr>
                <w:rFonts w:eastAsia="等线" w:ascii="Arial" w:cs="Arial" w:hAnsi="Arial"/>
                <w:b w:val="true"/>
                <w:sz w:val="22"/>
              </w:rPr>
              <w:t>操作规范</w:t>
            </w:r>
            <w:r>
              <w:rPr>
                <w:rFonts w:eastAsia="等线" w:ascii="Arial" w:cs="Arial" w:hAnsi="Arial"/>
                <w:sz w:val="22"/>
              </w:rPr>
              <w:t>：按《客户准入资料清单》指引客户一次性提交完整资料，按《核心企业推荐确认制度》在线获取推荐确认</w:t>
            </w:r>
          </w:p>
          <w:p>
            <w:pPr>
              <w:numPr>
                <w:numId w:val="213"/>
              </w:numPr>
              <w:spacing w:before="120" w:after="120" w:line="288" w:lineRule="auto"/>
              <w:ind w:left="453"/>
              <w:jc w:val="left"/>
            </w:pPr>
            <w:r>
              <w:rPr>
                <w:rFonts w:eastAsia="等线" w:ascii="Arial" w:cs="Arial" w:hAnsi="Arial"/>
                <w:b w:val="true"/>
                <w:sz w:val="22"/>
              </w:rPr>
              <w:t>系统支持</w:t>
            </w:r>
            <w:r>
              <w:rPr>
                <w:rFonts w:eastAsia="等线" w:ascii="Arial" w:cs="Arial" w:hAnsi="Arial"/>
                <w:sz w:val="22"/>
              </w:rPr>
              <w:t>：提供便捷的在线资料上传工具并自动检查完整性，证照到期自动提醒推送；准入时系统自动调取核心企业提供的经销商供货记录和信用评级，减少人工核验</w:t>
            </w:r>
          </w:p>
          <w:p>
            <w:pPr>
              <w:numPr>
                <w:numId w:val="214"/>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提供标准化的在线资料上传界面，内置资料完整性校验规则，系统自动监控证照有效期并提前预警，支持常规信息的快速审批或预授权修改。经销商提交准入申请时填写推荐码或选择推荐机构，系统自动向核心企业发起确认请求并实时反馈确认结果，系统与核心企业对接获取经销商的供货记录、销售额、信用评级等数据自动导入客户档案。</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3.1.3 </w:t>
      </w:r>
      <w:r>
        <w:rPr>
          <w:rFonts w:eastAsia="等线" w:ascii="Arial" w:cs="Arial" w:hAnsi="Arial"/>
          <w:b w:val="true"/>
          <w:sz w:val="30"/>
        </w:rPr>
        <w:t>功能架构</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子模块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客户准入审核</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重点功能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涉及核心企业推荐、多方协同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企业客户管理</w:t>
            </w:r>
          </w:p>
        </w:tc>
        <w:tc>
          <w:tcPr>
            <w:tcW w:w="27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基础功能</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档案维护、分级管理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核心企业管理</w:t>
            </w:r>
          </w:p>
        </w:tc>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推荐质量评估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银行机构管理</w:t>
            </w:r>
          </w:p>
        </w:tc>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仓储合作方管理</w:t>
            </w:r>
          </w:p>
        </w:tc>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3.1.4 </w:t>
      </w:r>
      <w:r>
        <w:rPr>
          <w:rFonts w:eastAsia="等线" w:ascii="Arial" w:cs="Arial" w:hAnsi="Arial"/>
          <w:b w:val="true"/>
          <w:sz w:val="30"/>
        </w:rPr>
        <w:t>核心功能详解</w:t>
      </w:r>
      <w:bookmarkEnd w:id="17"/>
    </w:p>
    <w:p>
      <w:pPr>
        <w:pStyle w:val="4"/>
        <w:spacing w:before="260" w:after="120" w:line="288" w:lineRule="auto"/>
        <w:ind w:left="0"/>
        <w:jc w:val="left"/>
        <w:outlineLvl w:val="3"/>
      </w:pPr>
      <w:bookmarkStart w:name="heading_18" w:id="18"/>
      <w:r>
        <w:rPr>
          <w:rFonts w:eastAsia="等线" w:ascii="Arial" w:cs="Arial" w:hAnsi="Arial"/>
          <w:color w:val="3370ff"/>
          <w:sz w:val="28"/>
        </w:rPr>
        <w:t xml:space="preserve">3.1.4.1 </w:t>
      </w:r>
      <w:r>
        <w:rPr>
          <w:rFonts w:eastAsia="等线" w:ascii="Arial" w:cs="Arial" w:hAnsi="Arial"/>
          <w:b w:val="true"/>
          <w:sz w:val="28"/>
        </w:rPr>
        <w:t>客户准入审核（重点功能）</w:t>
      </w:r>
      <w:bookmarkEnd w:id="18"/>
    </w:p>
    <w:p>
      <w:pPr>
        <w:pStyle w:val="5"/>
        <w:spacing w:before="240" w:after="120" w:line="288" w:lineRule="auto"/>
        <w:ind w:left="0"/>
        <w:jc w:val="left"/>
        <w:outlineLvl w:val="4"/>
      </w:pPr>
      <w:bookmarkStart w:name="heading_19" w:id="19"/>
      <w:r>
        <w:rPr>
          <w:rFonts w:eastAsia="等线" w:ascii="Arial" w:cs="Arial" w:hAnsi="Arial"/>
          <w:color w:val="3370ff"/>
          <w:sz w:val="24"/>
        </w:rPr>
        <w:t xml:space="preserve">3.1.4.1.1 </w:t>
      </w:r>
      <w:r>
        <w:rPr>
          <w:rFonts w:eastAsia="等线" w:ascii="Arial" w:cs="Arial" w:hAnsi="Arial"/>
          <w:b w:val="true"/>
          <w:sz w:val="24"/>
        </w:rPr>
        <w:t>解决的核心问题</w:t>
      </w:r>
      <w:bookmarkEnd w:id="19"/>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2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20" w:id="20"/>
      <w:r>
        <w:rPr>
          <w:rFonts w:eastAsia="等线" w:ascii="Arial" w:cs="Arial" w:hAnsi="Arial"/>
          <w:color w:val="3370ff"/>
          <w:sz w:val="24"/>
        </w:rPr>
        <w:t xml:space="preserve">3.1.4.1.2 </w:t>
      </w:r>
      <w:r>
        <w:rPr>
          <w:rFonts w:eastAsia="等线" w:ascii="Arial" w:cs="Arial" w:hAnsi="Arial"/>
          <w:b w:val="true"/>
          <w:sz w:val="24"/>
        </w:rPr>
        <w:t>业务流程</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xml:space="preserve">    participant E as 经销商</w:t>
              <w:br/>
              <w:t xml:space="preserve">    participant P as 平台</w:t>
              <w:br/>
              <w:t xml:space="preserve">    participant C as 核心企业</w:t>
              <w:br/>
              <w:t xml:space="preserve">    </w:t>
              <w:br/>
              <w:t xml:space="preserve">    E-&gt;&gt;P: 1.在线申请(基本信息+推荐码)</w:t>
              <w:br/>
              <w:t xml:space="preserve">    P-&gt;&gt;C: 2.验证推荐码</w:t>
              <w:br/>
              <w:t xml:space="preserve">    C-&gt;&gt;P: 3.确认推荐+提供经销商数据&lt;br/&gt;(合作年限/信用评级/供货额)</w:t>
              <w:br/>
              <w:t xml:space="preserve">    P-&gt;&gt;P: 4.系统自动校验&lt;br/&gt;(完整性/黑名单/证照)</w:t>
              <w:br/>
              <w:t xml:space="preserve">    P-&gt;&gt;P: 5.平台审核&lt;br/&gt;(参考核心企业数据)</w:t>
              <w:br/>
              <w:t xml:space="preserve">    alt 需尽调</w:t>
              <w:br/>
              <w:t xml:space="preserve">        P-&gt;&gt;P: 6.尽职调查</w:t>
              <w:br/>
              <w:t xml:space="preserve">    end</w:t>
              <w:br/>
              <w:t xml:space="preserve">    P-&gt;&gt;E: 7.审批结果</w:t>
              <w:br/>
              <w:t xml:space="preserve">    alt 通过</w:t>
              <w:br/>
              <w:t xml:space="preserve">        P-&gt;&gt;E: 开通账号+授信额度</w:t>
              <w:br/>
              <w:t xml:space="preserve">        P-&gt;&gt;C: 通知核心企业推荐成功</w:t>
              <w:br/>
              <w:t xml:space="preserve">    end</w:t>
            </w:r>
          </w:p>
        </w:tc>
      </w:tr>
    </w:tbl>
    <w:p>
      <w:pPr>
        <w:spacing w:before="120" w:after="120" w:line="288" w:lineRule="auto"/>
        <w:ind w:left="0"/>
        <w:jc w:val="left"/>
      </w:pPr>
      <w:r>
        <w:rPr>
          <w:rFonts w:eastAsia="等线" w:ascii="Arial" w:cs="Arial" w:hAnsi="Arial"/>
          <w:b w:val="true"/>
          <w:sz w:val="22"/>
        </w:rPr>
        <w:t>关键环节设计亮点</w:t>
      </w:r>
      <w:r>
        <w:rPr>
          <w:rFonts w:eastAsia="等线" w:ascii="Arial" w:cs="Arial" w:hAnsi="Arial"/>
          <w:sz w:val="22"/>
        </w:rPr>
        <w:t>：</w:t>
      </w:r>
    </w:p>
    <w:p>
      <w:pPr>
        <w:numPr>
          <w:numId w:val="215"/>
        </w:numPr>
        <w:spacing w:before="120" w:after="120" w:line="288" w:lineRule="auto"/>
        <w:ind w:left="0"/>
        <w:jc w:val="left"/>
      </w:pPr>
      <w:r>
        <w:rPr>
          <w:rFonts w:eastAsia="等线" w:ascii="Arial" w:cs="Arial" w:hAnsi="Arial"/>
          <w:b w:val="true"/>
          <w:color w:val="d83931"/>
          <w:sz w:val="22"/>
          <w:shd w:fill="fff67a"/>
        </w:rPr>
        <w:t>推荐码机制</w:t>
      </w:r>
      <w:r>
        <w:rPr>
          <w:rFonts w:eastAsia="等线" w:ascii="Arial" w:cs="Arial" w:hAnsi="Arial"/>
          <w:color w:val="d83931"/>
          <w:sz w:val="22"/>
          <w:shd w:fill="fff67a"/>
        </w:rPr>
        <w:t>：核心企业预先生成推荐码并提供给经销商，确保推荐关系可验证、可追溯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满足期望：充分利用核心企业数据，减少平台独立调查成本</w:t>
            </w:r>
          </w:p>
        </w:tc>
      </w:tr>
    </w:tbl>
    <w:p>
      <w:pPr>
        <w:numPr>
          <w:numId w:val="216"/>
        </w:numPr>
        <w:spacing w:before="120" w:after="120" w:line="288" w:lineRule="auto"/>
        <w:ind w:left="0"/>
        <w:jc w:val="left"/>
      </w:pPr>
      <w:r>
        <w:rPr>
          <w:rFonts w:eastAsia="等线" w:ascii="Arial" w:cs="Arial" w:hAnsi="Arial"/>
          <w:b w:val="true"/>
          <w:sz w:val="22"/>
        </w:rPr>
        <w:t>数据联动</w:t>
      </w:r>
      <w:r>
        <w:rPr>
          <w:rFonts w:eastAsia="等线" w:ascii="Arial" w:cs="Arial" w:hAnsi="Arial"/>
          <w:sz w:val="22"/>
        </w:rPr>
        <w:t>：验证通过后自动获取核心企业对该经销商的评价数据，作为审批重要参考</w:t>
      </w:r>
    </w:p>
    <w:p>
      <w:pPr>
        <w:numPr>
          <w:numId w:val="217"/>
        </w:numPr>
        <w:spacing w:before="120" w:after="120" w:line="288" w:lineRule="auto"/>
        <w:ind w:left="0"/>
        <w:jc w:val="left"/>
      </w:pPr>
      <w:r>
        <w:rPr>
          <w:rFonts w:eastAsia="等线" w:ascii="Arial" w:cs="Arial" w:hAnsi="Arial"/>
          <w:b w:val="true"/>
          <w:color w:val="d83931"/>
          <w:sz w:val="22"/>
          <w:shd w:fill="fff67a"/>
        </w:rPr>
        <w:t>差异化审批</w:t>
      </w:r>
      <w:r>
        <w:rPr>
          <w:rFonts w:eastAsia="等线" w:ascii="Arial" w:cs="Arial" w:hAnsi="Arial"/>
          <w:color w:val="d83931"/>
          <w:sz w:val="22"/>
          <w:shd w:fill="fff67a"/>
        </w:rPr>
        <w:t>：根据核心企业等级+经销商信用等级，自动匹配不同的审批流程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 xml:space="preserve">满足期望：差异化准入策略，S级核心企业推荐可简化审批 </w:t>
            </w:r>
          </w:p>
        </w:tc>
      </w:tr>
    </w:tbl>
    <w:p>
      <w:pPr>
        <w:numPr>
          <w:numId w:val="218"/>
        </w:numPr>
        <w:spacing w:before="120" w:after="120" w:line="288" w:lineRule="auto"/>
        <w:ind w:left="0"/>
        <w:jc w:val="left"/>
      </w:pPr>
      <w:r>
        <w:rPr>
          <w:rFonts w:eastAsia="等线" w:ascii="Arial" w:cs="Arial" w:hAnsi="Arial"/>
          <w:b w:val="true"/>
          <w:sz w:val="22"/>
        </w:rPr>
        <w:t>结果闭环</w:t>
      </w:r>
      <w:r>
        <w:rPr>
          <w:rFonts w:eastAsia="等线" w:ascii="Arial" w:cs="Arial" w:hAnsi="Arial"/>
          <w:sz w:val="22"/>
        </w:rPr>
        <w:t>：审批结果自动反馈给核心企业，纳入推荐质量评估</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21" w:id="21"/>
      <w:r>
        <w:rPr>
          <w:rFonts w:eastAsia="等线" w:ascii="Arial" w:cs="Arial" w:hAnsi="Arial"/>
          <w:color w:val="3370ff"/>
          <w:sz w:val="24"/>
        </w:rPr>
        <w:t xml:space="preserve">3.1.4.1.3 </w:t>
      </w:r>
      <w:r>
        <w:rPr>
          <w:rFonts w:eastAsia="等线" w:ascii="Arial" w:cs="Arial" w:hAnsi="Arial"/>
          <w:b w:val="true"/>
          <w:sz w:val="24"/>
        </w:rPr>
        <w:t>关键页面原型</w:t>
      </w:r>
      <w:bookmarkEnd w:id="21"/>
    </w:p>
    <w:p>
      <w:pPr>
        <w:spacing w:before="120" w:after="120" w:line="288" w:lineRule="auto"/>
        <w:ind w:left="0"/>
        <w:jc w:val="left"/>
      </w:pPr>
      <w:r>
        <w:rPr>
          <w:rFonts w:eastAsia="等线" w:ascii="Arial" w:cs="Arial" w:hAnsi="Arial"/>
          <w:b w:val="true"/>
          <w:sz w:val="22"/>
        </w:rPr>
        <w:t>【平台审核页】</w:t>
      </w:r>
      <w:r>
        <w:rPr>
          <w:rFonts w:eastAsia="等线" w:ascii="Arial" w:cs="Arial" w:hAnsi="Arial"/>
          <w:sz w:val="22"/>
        </w:rPr>
        <w:t xml:space="preserve"> </w:t>
      </w:r>
    </w:p>
    <w:p>
      <w:pPr>
        <w:spacing w:before="120" w:after="120" w:line="288" w:lineRule="auto"/>
        <w:ind w:left="0"/>
        <w:jc w:val="center"/>
      </w:pPr>
      <w:r>
        <w:drawing>
          <wp:inline distT="0" distR="0" distB="0" distL="0">
            <wp:extent cx="5257800" cy="48196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4819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页面作用：风控专员审核经销商准入申请的核心决策页面。</w:t>
      </w:r>
    </w:p>
    <w:p>
      <w:pPr>
        <w:spacing w:before="120" w:after="120" w:line="288" w:lineRule="auto"/>
        <w:ind w:left="0"/>
        <w:jc w:val="left"/>
      </w:pPr>
      <w:r>
        <w:rPr>
          <w:rFonts w:eastAsia="等线" w:ascii="Arial" w:cs="Arial" w:hAnsi="Arial"/>
          <w:sz w:val="22"/>
        </w:rPr>
        <w:t>重点设计：</w:t>
      </w:r>
    </w:p>
    <w:p>
      <w:pPr>
        <w:numPr>
          <w:numId w:val="219"/>
        </w:numPr>
        <w:spacing w:before="120" w:after="120" w:line="288" w:lineRule="auto"/>
        <w:ind w:left="0"/>
        <w:jc w:val="left"/>
      </w:pPr>
      <w:r>
        <w:rPr>
          <w:rFonts w:eastAsia="等线" w:ascii="Arial" w:cs="Arial" w:hAnsi="Arial"/>
          <w:b w:val="true"/>
          <w:sz w:val="22"/>
        </w:rPr>
        <w:t>核心企业推荐信息置顶</w:t>
      </w:r>
      <w:r>
        <w:rPr>
          <w:rFonts w:eastAsia="等线" w:ascii="Arial" w:cs="Arial" w:hAnsi="Arial"/>
          <w:sz w:val="22"/>
        </w:rPr>
        <w:t>：紫色高亮区块展示推荐核心企业等级、推荐质量（历史通过率、逾期率）、对该经销商的信用评价，作为审批首要参考</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核心企业分级策略见</w:t>
            </w:r>
            <w:hyperlink r:id="rId10">
              <w:r>
                <w:rPr>
                  <w:rFonts w:eastAsia="等线" w:ascii="Arial" w:cs="Arial" w:hAnsi="Arial"/>
                  <w:color w:val="3370ff"/>
                  <w:sz w:val="22"/>
                </w:rPr>
                <w:t>3.1.4.1.4 差异化准入策略</w:t>
              </w:r>
            </w:hyperlink>
            <w:r>
              <w:rPr>
                <w:rFonts w:eastAsia="等线" w:ascii="Arial" w:cs="Arial" w:hAnsi="Arial"/>
                <w:color w:val="646a73"/>
                <w:sz w:val="22"/>
              </w:rPr>
              <w:t>，推荐质量见</w:t>
            </w:r>
            <w:hyperlink r:id="rId11">
              <w:r>
                <w:rPr>
                  <w:rFonts w:eastAsia="等线" w:ascii="Arial" w:cs="Arial" w:hAnsi="Arial"/>
                  <w:color w:val="3370ff"/>
                  <w:sz w:val="22"/>
                </w:rPr>
                <w:t>3.1.4.1.5 核心企业推荐机制--质量评估</w:t>
              </w:r>
            </w:hyperlink>
          </w:p>
        </w:tc>
      </w:tr>
    </w:tbl>
    <w:p>
      <w:pPr>
        <w:numPr>
          <w:numId w:val="220"/>
        </w:numPr>
        <w:spacing w:before="120" w:after="120" w:line="288" w:lineRule="auto"/>
        <w:ind w:left="0"/>
        <w:jc w:val="left"/>
      </w:pPr>
      <w:r>
        <w:rPr>
          <w:rFonts w:eastAsia="等线" w:ascii="Arial" w:cs="Arial" w:hAnsi="Arial"/>
          <w:b w:val="true"/>
          <w:sz w:val="22"/>
        </w:rPr>
        <w:t>经销商评价联动</w:t>
      </w:r>
      <w:r>
        <w:rPr>
          <w:rFonts w:eastAsia="等线" w:ascii="Arial" w:cs="Arial" w:hAnsi="Arial"/>
          <w:sz w:val="22"/>
        </w:rPr>
        <w:t>：展示核心企业提供的经销商数据（信用评级、合作年限、年采购额、付款记录），减少平台独立调查成本</w:t>
      </w:r>
    </w:p>
    <w:p>
      <w:pPr>
        <w:numPr>
          <w:numId w:val="221"/>
        </w:numPr>
        <w:spacing w:before="120" w:after="120" w:line="288" w:lineRule="auto"/>
        <w:ind w:left="0"/>
        <w:jc w:val="left"/>
      </w:pPr>
      <w:r>
        <w:rPr>
          <w:rFonts w:eastAsia="等线" w:ascii="Arial" w:cs="Arial" w:hAnsi="Arial"/>
          <w:b w:val="true"/>
          <w:sz w:val="22"/>
        </w:rPr>
        <w:t>系统智能建议</w:t>
      </w:r>
      <w:r>
        <w:rPr>
          <w:rFonts w:eastAsia="等线" w:ascii="Arial" w:cs="Arial" w:hAnsi="Arial"/>
          <w:sz w:val="22"/>
        </w:rPr>
        <w:t>：根据准入矩阵自动计算建议结果（通过/驳回）和建议授信额度范围，展示计算依据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准入矩阵见</w:t>
            </w:r>
            <w:hyperlink r:id="rId12">
              <w:r>
                <w:rPr>
                  <w:rFonts w:eastAsia="等线" w:ascii="Arial" w:cs="Arial" w:hAnsi="Arial"/>
                  <w:color w:val="3370ff"/>
                  <w:sz w:val="22"/>
                </w:rPr>
                <w:t>3.1.4.1.4 差异化准入策略--差异化准入矩阵</w:t>
              </w:r>
            </w:hyperlink>
          </w:p>
        </w:tc>
      </w:tr>
    </w:tbl>
    <w:p>
      <w:pPr>
        <w:numPr>
          <w:numId w:val="222"/>
        </w:numPr>
        <w:spacing w:before="120" w:after="120" w:line="288" w:lineRule="auto"/>
        <w:ind w:left="0"/>
        <w:jc w:val="left"/>
      </w:pPr>
      <w:r>
        <w:rPr>
          <w:rFonts w:eastAsia="等线" w:ascii="Arial" w:cs="Arial" w:hAnsi="Arial"/>
          <w:b w:val="true"/>
          <w:color w:val="d83931"/>
          <w:sz w:val="22"/>
          <w:shd w:fill="fff67a"/>
        </w:rPr>
        <w:t>资料完整性校验</w:t>
      </w:r>
      <w:r>
        <w:rPr>
          <w:rFonts w:eastAsia="等线" w:ascii="Arial" w:cs="Arial" w:hAnsi="Arial"/>
          <w:color w:val="d83931"/>
          <w:sz w:val="22"/>
          <w:shd w:fill="fff67a"/>
        </w:rPr>
        <w:t>：自动标记缺失或异常资料项，提示需补充内容</w:t>
      </w:r>
    </w:p>
    <w:p>
      <w:pPr>
        <w:numPr>
          <w:numId w:val="223"/>
        </w:numPr>
        <w:spacing w:before="120" w:after="120" w:line="288" w:lineRule="auto"/>
        <w:ind w:left="0"/>
        <w:jc w:val="left"/>
      </w:pPr>
      <w:r>
        <w:rPr>
          <w:rFonts w:eastAsia="等线" w:ascii="Arial" w:cs="Arial" w:hAnsi="Arial"/>
          <w:b w:val="true"/>
          <w:sz w:val="22"/>
        </w:rPr>
        <w:t>差异化审批提示</w:t>
      </w:r>
      <w:r>
        <w:rPr>
          <w:rFonts w:eastAsia="等线" w:ascii="Arial" w:cs="Arial" w:hAnsi="Arial"/>
          <w:sz w:val="22"/>
        </w:rPr>
        <w:t>：S级核心企业推荐的A+经销商显示"快速通道"标签，可简化审批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满足期望：核心企业推荐是平台获客的核心渠道，其提供的经销商评价数据是重要风控依据；一次性资料完整率从50%提升至90%，一页式设计将审核时效从3天缩短至1天。</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22" w:id="22"/>
      <w:r>
        <w:rPr>
          <w:rFonts w:eastAsia="等线" w:ascii="Arial" w:cs="Arial" w:hAnsi="Arial"/>
          <w:color w:val="3370ff"/>
          <w:sz w:val="24"/>
        </w:rPr>
        <w:t xml:space="preserve">3.1.4.1.4 </w:t>
      </w:r>
      <w:r>
        <w:rPr>
          <w:rFonts w:eastAsia="等线" w:ascii="Arial" w:cs="Arial" w:hAnsi="Arial"/>
          <w:b w:val="true"/>
          <w:color w:val="d83931"/>
          <w:sz w:val="24"/>
          <w:shd w:fill="fff67a"/>
        </w:rPr>
        <w:t>差异化准入策略</w:t>
      </w:r>
      <w:bookmarkEnd w:id="22"/>
    </w:p>
    <w:p>
      <w:pPr>
        <w:spacing w:before="120" w:after="120" w:line="288" w:lineRule="auto"/>
        <w:ind w:left="0"/>
        <w:jc w:val="left"/>
      </w:pPr>
      <w:r>
        <w:rPr>
          <w:rFonts w:eastAsia="等线" w:ascii="Arial" w:cs="Arial" w:hAnsi="Arial"/>
          <w:b w:val="true"/>
          <w:sz w:val="22"/>
        </w:rPr>
        <w:t>策略思路</w:t>
      </w:r>
      <w:r>
        <w:rPr>
          <w:rFonts w:eastAsia="等线" w:ascii="Arial" w:cs="Arial" w:hAnsi="Arial"/>
          <w:sz w:val="22"/>
        </w:rPr>
        <w:t>：根据核心企业质量和经销商信用，实施差异化准入标准，平衡业务拓展和风险控制。</w:t>
      </w:r>
    </w:p>
    <w:p>
      <w:pPr>
        <w:spacing w:before="120" w:after="120" w:line="288" w:lineRule="auto"/>
        <w:ind w:left="0"/>
        <w:jc w:val="left"/>
      </w:pPr>
      <w:r>
        <w:rPr>
          <w:rFonts w:eastAsia="等线" w:ascii="Arial" w:cs="Arial" w:hAnsi="Arial"/>
          <w:b w:val="true"/>
          <w:sz w:val="22"/>
        </w:rPr>
        <w:t>核心企业分级</w:t>
      </w:r>
      <w:r>
        <w:rPr>
          <w:rFonts w:eastAsia="等线" w:ascii="Arial" w:cs="Arial" w:hAnsi="Arial"/>
          <w:sz w:val="22"/>
        </w:rPr>
        <w:t>：</w:t>
      </w:r>
    </w:p>
    <w:p>
      <w:pPr>
        <w:numPr>
          <w:numId w:val="224"/>
        </w:numPr>
        <w:spacing w:before="120" w:after="120" w:line="288" w:lineRule="auto"/>
        <w:ind w:left="0"/>
        <w:jc w:val="left"/>
      </w:pPr>
      <w:r>
        <w:rPr>
          <w:rFonts w:eastAsia="等线" w:ascii="Arial" w:cs="Arial" w:hAnsi="Arial"/>
          <w:b w:val="true"/>
          <w:sz w:val="22"/>
        </w:rPr>
        <w:t>S级</w:t>
      </w:r>
      <w:r>
        <w:rPr>
          <w:rFonts w:eastAsia="等线" w:ascii="Arial" w:cs="Arial" w:hAnsi="Arial"/>
          <w:sz w:val="22"/>
        </w:rPr>
        <w:t>（10%）：合作≥3年 + 推荐质量≥90分 + 年融资≥5000万</w:t>
      </w:r>
    </w:p>
    <w:p>
      <w:pPr>
        <w:numPr>
          <w:numId w:val="225"/>
        </w:numPr>
        <w:spacing w:before="120" w:after="120" w:line="288" w:lineRule="auto"/>
        <w:ind w:left="0"/>
        <w:jc w:val="left"/>
      </w:pPr>
      <w:r>
        <w:rPr>
          <w:rFonts w:eastAsia="等线" w:ascii="Arial" w:cs="Arial" w:hAnsi="Arial"/>
          <w:b w:val="true"/>
          <w:sz w:val="22"/>
        </w:rPr>
        <w:t>A级</w:t>
      </w:r>
      <w:r>
        <w:rPr>
          <w:rFonts w:eastAsia="等线" w:ascii="Arial" w:cs="Arial" w:hAnsi="Arial"/>
          <w:sz w:val="22"/>
        </w:rPr>
        <w:t>（30%）：合作≥2年 + 推荐质量≥80分 + 年融资≥2000万</w:t>
      </w:r>
    </w:p>
    <w:p>
      <w:pPr>
        <w:numPr>
          <w:numId w:val="226"/>
        </w:numPr>
        <w:spacing w:before="120" w:after="120" w:line="288" w:lineRule="auto"/>
        <w:ind w:left="0"/>
        <w:jc w:val="left"/>
      </w:pPr>
      <w:r>
        <w:rPr>
          <w:rFonts w:eastAsia="等线" w:ascii="Arial" w:cs="Arial" w:hAnsi="Arial"/>
          <w:b w:val="true"/>
          <w:sz w:val="22"/>
        </w:rPr>
        <w:t>B级</w:t>
      </w:r>
      <w:r>
        <w:rPr>
          <w:rFonts w:eastAsia="等线" w:ascii="Arial" w:cs="Arial" w:hAnsi="Arial"/>
          <w:sz w:val="22"/>
        </w:rPr>
        <w:t>（50%）：合作≥1年 + 推荐质量≥70分</w:t>
      </w:r>
    </w:p>
    <w:p>
      <w:pPr>
        <w:numPr>
          <w:numId w:val="227"/>
        </w:numPr>
        <w:spacing w:before="120" w:after="120" w:line="288" w:lineRule="auto"/>
        <w:ind w:left="0"/>
        <w:jc w:val="left"/>
      </w:pPr>
      <w:r>
        <w:rPr>
          <w:rFonts w:eastAsia="等线" w:ascii="Arial" w:cs="Arial" w:hAnsi="Arial"/>
          <w:b w:val="true"/>
          <w:sz w:val="22"/>
        </w:rPr>
        <w:t>C级</w:t>
      </w:r>
      <w:r>
        <w:rPr>
          <w:rFonts w:eastAsia="等线" w:ascii="Arial" w:cs="Arial" w:hAnsi="Arial"/>
          <w:sz w:val="22"/>
        </w:rPr>
        <w:t>（10%）：新合作或质量&lt;70分</w:t>
      </w:r>
    </w:p>
    <w:p>
      <w:pPr>
        <w:spacing w:before="120" w:after="120" w:line="288" w:lineRule="auto"/>
        <w:ind w:left="0"/>
        <w:jc w:val="left"/>
      </w:pPr>
      <w:r>
        <w:rPr>
          <w:rFonts w:eastAsia="等线" w:ascii="Arial" w:cs="Arial" w:hAnsi="Arial"/>
          <w:b w:val="true"/>
          <w:sz w:val="22"/>
        </w:rPr>
        <w:t>差异化准入矩阵</w:t>
      </w:r>
      <w:r>
        <w:rPr>
          <w:rFonts w:eastAsia="等线" w:ascii="Arial" w:cs="Arial" w:hAnsi="Arial"/>
          <w:sz w:val="22"/>
        </w:rPr>
        <w:t>：</w:t>
      </w:r>
    </w:p>
    <w:p>
      <w:pPr>
        <w:spacing w:before="120" w:after="120" w:line="288" w:lineRule="auto"/>
        <w:ind w:left="0"/>
      </w:pPr>
      <w:r>
        <w:object>
          <v:shape id="_x0000_i1026" style="width:414pt;height:90pt;mso-width-percent:0;mso-height-percent:0;mso-width-percent:0;mso-height-percent:0" type="#_x0000_t75" o:ole="">
            <v:imagedata r:id="rId14" o:title=""/>
          </v:shape>
          <o:OLEObject DrawAspect="Icon" ObjectID="_1718471220" ProgID="Excel.Sheet.12" ShapeID="_x0000_i1026"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动态调整机制</w:t>
      </w:r>
      <w:r>
        <w:rPr>
          <w:rFonts w:eastAsia="等线" w:ascii="Arial" w:cs="Arial" w:hAnsi="Arial"/>
          <w:sz w:val="22"/>
        </w:rPr>
        <w:t>：</w:t>
      </w:r>
    </w:p>
    <w:p>
      <w:pPr>
        <w:numPr>
          <w:numId w:val="228"/>
        </w:numPr>
        <w:spacing w:before="120" w:after="120" w:line="288" w:lineRule="auto"/>
        <w:ind w:left="0"/>
        <w:jc w:val="left"/>
      </w:pPr>
      <w:r>
        <w:rPr>
          <w:rFonts w:eastAsia="等线" w:ascii="Arial" w:cs="Arial" w:hAnsi="Arial"/>
          <w:sz w:val="22"/>
        </w:rPr>
        <w:t>系统每季度评估核心企业推荐质量并调整等级</w:t>
      </w:r>
    </w:p>
    <w:p>
      <w:pPr>
        <w:numPr>
          <w:numId w:val="229"/>
        </w:numPr>
        <w:spacing w:before="120" w:after="120" w:line="288" w:lineRule="auto"/>
        <w:ind w:left="0"/>
        <w:jc w:val="left"/>
      </w:pPr>
      <w:r>
        <w:rPr>
          <w:rFonts w:eastAsia="等线" w:ascii="Arial" w:cs="Arial" w:hAnsi="Arial"/>
          <w:sz w:val="22"/>
        </w:rPr>
        <w:t>从核心企业同步经销商最新信用评级，动态调整授信政策</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23" w:id="23"/>
      <w:r>
        <w:rPr>
          <w:rFonts w:eastAsia="等线" w:ascii="Arial" w:cs="Arial" w:hAnsi="Arial"/>
          <w:color w:val="3370ff"/>
          <w:sz w:val="24"/>
        </w:rPr>
        <w:t xml:space="preserve">3.1.4.1.5 </w:t>
      </w:r>
      <w:r>
        <w:rPr>
          <w:rFonts w:eastAsia="等线" w:ascii="Arial" w:cs="Arial" w:hAnsi="Arial"/>
          <w:b w:val="true"/>
          <w:color w:val="d83931"/>
          <w:sz w:val="24"/>
          <w:shd w:fill="fff67a"/>
        </w:rPr>
        <w:t>核心企业推荐激励机制</w:t>
      </w:r>
      <w:bookmarkEnd w:id="23"/>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：调动核心企业推荐积极性，提高推荐质量</w:t>
      </w:r>
    </w:p>
    <w:p>
      <w:pPr>
        <w:spacing w:before="120" w:after="120" w:line="288" w:lineRule="auto"/>
        <w:ind w:left="0"/>
        <w:jc w:val="left"/>
      </w:pPr>
      <w:r>
        <w:rPr>
          <w:rFonts w:eastAsia="等线" w:ascii="Arial" w:cs="Arial" w:hAnsi="Arial"/>
          <w:b w:val="true"/>
          <w:sz w:val="22"/>
        </w:rPr>
        <w:t>激励方式</w:t>
      </w:r>
      <w:r>
        <w:rPr>
          <w:rFonts w:eastAsia="等线" w:ascii="Arial" w:cs="Arial" w:hAnsi="Arial"/>
          <w:sz w:val="22"/>
        </w:rPr>
        <w:t>：</w:t>
      </w:r>
    </w:p>
    <w:p>
      <w:pPr>
        <w:spacing w:before="120" w:after="120" w:line="288" w:lineRule="auto"/>
        <w:ind w:left="0"/>
      </w:pPr>
      <w:r>
        <w:object>
          <v:shape id="_x0000_i1027" style="width:414pt;height:131pt;mso-width-percent:0;mso-height-percent:0;mso-width-percent:0;mso-height-percent:0" type="#_x0000_t75" o:ole="">
            <v:imagedata r:id="rId16" o:title=""/>
          </v:shape>
          <o:OLEObject DrawAspect="Icon" ObjectID="_1718471221" ProgID="Excel.Sheet.12" ShapeID="_x0000_i1027"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质量评估</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LaTeX</w:t>
              <w:br w:type="textWrapping"/>
            </w:r>
            <w:r>
              <w:rPr>
                <w:rFonts w:eastAsia="Consolas" w:ascii="Consolas" w:cs="Consolas" w:hAnsi="Consolas"/>
                <w:sz w:val="22"/>
              </w:rPr>
              <w:t xml:space="preserve">推荐质量得分 = </w:t>
              <w:br/>
              <w:t xml:space="preserve">  准入通过率×30% + </w:t>
              <w:br/>
              <w:t xml:space="preserve">  首贷率×20% + </w:t>
              <w:br/>
              <w:t xml:space="preserve">  (1-逾期率)×30% + </w:t>
              <w:br/>
            </w:r>
            <w:r>
              <w:rPr>
                <w:rFonts w:eastAsia="Consolas" w:ascii="Consolas" w:cs="Consolas" w:hAnsi="Consolas"/>
                <w:sz w:val="22"/>
              </w:rPr>
              <w:t xml:space="preserve">  平均融资规模占比×20%</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S级特权：授信额度上浮20%、推荐码有效期60天</w:t>
              <w:br/>
            </w:r>
            <w:r>
              <w:rPr>
                <w:rFonts w:eastAsia="等线" w:ascii="Arial" w:cs="Arial" w:hAnsi="Arial"/>
                <w:sz w:val="22"/>
              </w:rPr>
              <w:t>C级限制：连续2季度C级暂停推荐资格</w:t>
            </w:r>
          </w:p>
        </w:tc>
      </w:tr>
    </w:tbl>
    <w:p>
      <w:pPr>
        <w:spacing w:before="120" w:after="120" w:line="288" w:lineRule="auto"/>
        <w:ind w:left="0"/>
        <w:jc w:val="left"/>
      </w:pPr>
      <w:r>
        <w:rPr>
          <w:rFonts w:eastAsia="等线" w:ascii="Arial" w:cs="Arial" w:hAnsi="Arial"/>
          <w:b w:val="true"/>
          <w:sz w:val="22"/>
        </w:rPr>
        <w:t>约束机制</w:t>
      </w:r>
      <w:r>
        <w:rPr>
          <w:rFonts w:eastAsia="等线" w:ascii="Arial" w:cs="Arial" w:hAnsi="Arial"/>
          <w:sz w:val="22"/>
        </w:rPr>
        <w:t>：</w:t>
      </w:r>
    </w:p>
    <w:p>
      <w:pPr>
        <w:numPr>
          <w:numId w:val="230"/>
        </w:numPr>
        <w:spacing w:before="120" w:after="120" w:line="288" w:lineRule="auto"/>
        <w:ind w:left="0"/>
        <w:jc w:val="left"/>
      </w:pPr>
      <w:r>
        <w:rPr>
          <w:rFonts w:eastAsia="等线" w:ascii="Arial" w:cs="Arial" w:hAnsi="Arial"/>
          <w:sz w:val="22"/>
        </w:rPr>
        <w:t>B级连续2季度：限制单月推荐上限为10家</w:t>
      </w:r>
    </w:p>
    <w:p>
      <w:pPr>
        <w:numPr>
          <w:numId w:val="231"/>
        </w:numPr>
        <w:spacing w:before="120" w:after="120" w:line="288" w:lineRule="auto"/>
        <w:ind w:left="0"/>
        <w:jc w:val="left"/>
      </w:pPr>
      <w:r>
        <w:rPr>
          <w:rFonts w:eastAsia="等线" w:ascii="Arial" w:cs="Arial" w:hAnsi="Arial"/>
          <w:sz w:val="22"/>
        </w:rPr>
        <w:t>C级连续2季度：暂停推荐资格，需重新申请合作评估</w:t>
      </w:r>
    </w:p>
    <w:p>
      <w:pPr>
        <w:numPr>
          <w:numId w:val="232"/>
        </w:numPr>
        <w:spacing w:before="120" w:after="120" w:line="288" w:lineRule="auto"/>
        <w:ind w:left="0"/>
        <w:jc w:val="left"/>
      </w:pPr>
      <w:r>
        <w:rPr>
          <w:rFonts w:eastAsia="等线" w:ascii="Arial" w:cs="Arial" w:hAnsi="Arial"/>
          <w:sz w:val="22"/>
        </w:rPr>
        <w:t>推荐客户发生重大逾期（M3+）：扣减对应推荐佣金</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3.1.5 </w:t>
      </w:r>
      <w:r>
        <w:rPr>
          <w:rFonts w:eastAsia="等线" w:ascii="Arial" w:cs="Arial" w:hAnsi="Arial"/>
          <w:b w:val="true"/>
          <w:sz w:val="30"/>
        </w:rPr>
        <w:t>其他客户管理功能</w:t>
      </w:r>
      <w:r>
        <w:rPr>
          <w:rFonts w:eastAsia="等线" w:ascii="Arial" w:cs="Arial" w:hAnsi="Arial"/>
          <w:b w:val="true"/>
          <w:sz w:val="30"/>
        </w:rPr>
        <w:t>（基础功能简述）</w:t>
      </w:r>
      <w:bookmarkEnd w:id="24"/>
    </w:p>
    <w:p>
      <w:pPr>
        <w:pStyle w:val="4"/>
        <w:spacing w:before="260" w:after="120" w:line="288" w:lineRule="auto"/>
        <w:ind w:left="0"/>
        <w:jc w:val="left"/>
        <w:outlineLvl w:val="3"/>
      </w:pPr>
      <w:bookmarkStart w:name="heading_25" w:id="25"/>
      <w:r>
        <w:rPr>
          <w:rFonts w:eastAsia="等线" w:ascii="Arial" w:cs="Arial" w:hAnsi="Arial"/>
          <w:color w:val="3370ff"/>
          <w:sz w:val="28"/>
        </w:rPr>
        <w:t xml:space="preserve">3.1.5.1 </w:t>
      </w:r>
      <w:r>
        <w:rPr>
          <w:rFonts w:eastAsia="等线" w:ascii="Arial" w:cs="Arial" w:hAnsi="Arial"/>
          <w:b w:val="true"/>
          <w:sz w:val="28"/>
        </w:rPr>
        <w:t>企业客户管理</w:t>
      </w:r>
      <w:bookmarkEnd w:id="25"/>
    </w:p>
    <w:p>
      <w:pPr>
        <w:numPr>
          <w:numId w:val="233"/>
        </w:num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：已准入客户的档案维护和日常管理</w:t>
      </w:r>
    </w:p>
    <w:p>
      <w:pPr>
        <w:numPr>
          <w:numId w:val="234"/>
        </w:num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：客户分级、授信额度管理、风险标签、自动监控（证照到期、额度预警）</w:t>
      </w:r>
    </w:p>
    <w:p>
      <w:pPr>
        <w:numPr>
          <w:numId w:val="235"/>
        </w:numPr>
        <w:spacing w:before="120" w:after="120" w:line="288" w:lineRule="auto"/>
        <w:ind w:left="0"/>
        <w:jc w:val="left"/>
      </w:pPr>
      <w:r>
        <w:rPr>
          <w:rFonts w:eastAsia="等线" w:ascii="Arial" w:cs="Arial" w:hAnsi="Arial"/>
          <w:b w:val="true"/>
          <w:sz w:val="22"/>
        </w:rPr>
        <w:t>自动化亮点</w:t>
      </w:r>
      <w:r>
        <w:rPr>
          <w:rFonts w:eastAsia="等线" w:ascii="Arial" w:cs="Arial" w:hAnsi="Arial"/>
          <w:sz w:val="22"/>
        </w:rPr>
        <w:t>：系统每日自动检查证照有效期、额度使用率、业务活跃度，自动预警</w:t>
      </w:r>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3.1.5.2 </w:t>
      </w:r>
      <w:r>
        <w:rPr>
          <w:rFonts w:eastAsia="等线" w:ascii="Arial" w:cs="Arial" w:hAnsi="Arial"/>
          <w:b w:val="true"/>
          <w:sz w:val="28"/>
        </w:rPr>
        <w:t>核心企业管理</w:t>
      </w:r>
      <w:bookmarkEnd w:id="26"/>
    </w:p>
    <w:p>
      <w:pPr>
        <w:numPr>
          <w:numId w:val="236"/>
        </w:num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：管理与核心企业的合作关系，评估推荐质量</w:t>
      </w:r>
    </w:p>
    <w:p>
      <w:pPr>
        <w:numPr>
          <w:numId w:val="237"/>
        </w:num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：推荐经销商清单、推荐质量评估、核心企业分级、数据对接配置</w:t>
      </w:r>
    </w:p>
    <w:p>
      <w:pPr>
        <w:numPr>
          <w:numId w:val="238"/>
        </w:numPr>
        <w:spacing w:before="120" w:after="120" w:line="288" w:lineRule="auto"/>
        <w:ind w:left="0"/>
        <w:jc w:val="left"/>
      </w:pPr>
      <w:r>
        <w:rPr>
          <w:rFonts w:eastAsia="等线" w:ascii="Arial" w:cs="Arial" w:hAnsi="Arial"/>
          <w:b w:val="true"/>
          <w:sz w:val="22"/>
        </w:rPr>
        <w:t>评估维度</w:t>
      </w:r>
      <w:r>
        <w:rPr>
          <w:rFonts w:eastAsia="等线" w:ascii="Arial" w:cs="Arial" w:hAnsi="Arial"/>
          <w:sz w:val="22"/>
        </w:rPr>
        <w:t>：准入通过率、首贷率、逾期率、融资规模</w:t>
      </w:r>
    </w:p>
    <w:p>
      <w:pPr>
        <w:pStyle w:val="4"/>
        <w:spacing w:before="260" w:after="120" w:line="288" w:lineRule="auto"/>
        <w:ind w:left="0"/>
        <w:jc w:val="left"/>
        <w:outlineLvl w:val="3"/>
      </w:pPr>
      <w:bookmarkStart w:name="heading_27" w:id="27"/>
      <w:r>
        <w:rPr>
          <w:rFonts w:eastAsia="等线" w:ascii="Arial" w:cs="Arial" w:hAnsi="Arial"/>
          <w:color w:val="3370ff"/>
          <w:sz w:val="28"/>
        </w:rPr>
        <w:t xml:space="preserve">3.1.5.3 </w:t>
      </w:r>
      <w:r>
        <w:rPr>
          <w:rFonts w:eastAsia="等线" w:ascii="Arial" w:cs="Arial" w:hAnsi="Arial"/>
          <w:b w:val="true"/>
          <w:sz w:val="28"/>
        </w:rPr>
        <w:t>银行机构管理</w:t>
      </w:r>
      <w:bookmarkEnd w:id="27"/>
    </w:p>
    <w:p>
      <w:pPr>
        <w:numPr>
          <w:numId w:val="239"/>
        </w:num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：多银行资源的统一调度</w:t>
      </w:r>
    </w:p>
    <w:p>
      <w:pPr>
        <w:numPr>
          <w:numId w:val="240"/>
        </w:num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：机构档案、产品管理、额度分配、业务统计</w:t>
      </w:r>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3.1.5.4 </w:t>
      </w:r>
      <w:r>
        <w:rPr>
          <w:rFonts w:eastAsia="等线" w:ascii="Arial" w:cs="Arial" w:hAnsi="Arial"/>
          <w:b w:val="true"/>
          <w:sz w:val="28"/>
        </w:rPr>
        <w:t>仓储合作方管理</w:t>
      </w:r>
      <w:bookmarkEnd w:id="28"/>
    </w:p>
    <w:p>
      <w:pPr>
        <w:numPr>
          <w:numId w:val="241"/>
        </w:num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：评估仓储方资质和监管能力</w:t>
      </w:r>
    </w:p>
    <w:p>
      <w:pPr>
        <w:numPr>
          <w:numId w:val="242"/>
        </w:num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：企业档案、监管能力评估、仓库管理、在库质押物跟踪</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3.1.6 </w:t>
      </w:r>
      <w:r>
        <w:rPr>
          <w:rFonts w:eastAsia="等线" w:ascii="Arial" w:cs="Arial" w:hAnsi="Arial"/>
          <w:b w:val="true"/>
          <w:sz w:val="30"/>
        </w:rPr>
        <w:t>上线效果</w:t>
      </w:r>
      <w:bookmarkEnd w:id="29"/>
    </w:p>
    <w:p>
      <w:pPr>
        <w:spacing w:before="120" w:after="120" w:line="288" w:lineRule="auto"/>
        <w:ind w:left="0"/>
        <w:jc w:val="left"/>
      </w:pPr>
      <w:r>
        <w:rPr>
          <w:rFonts w:eastAsia="等线" w:ascii="Arial" w:cs="Arial" w:hAnsi="Arial"/>
          <w:b w:val="true"/>
          <w:sz w:val="22"/>
        </w:rPr>
        <w:t>核心数据</w:t>
      </w:r>
    </w:p>
    <w:p>
      <w:pPr>
        <w:spacing w:before="120" w:after="120" w:line="288" w:lineRule="auto"/>
        <w:ind w:left="0"/>
      </w:pPr>
      <w:r>
        <w:object>
          <v:shape id="_x0000_i1028" style="width:414pt;height:109pt;mso-width-percent:0;mso-height-percent:0;mso-width-percent:0;mso-height-percent:0" type="#_x0000_t75" o:ole="">
            <v:imagedata r:id="rId18" o:title=""/>
          </v:shape>
          <o:OLEObject DrawAspect="Icon" ObjectID="_1718471222" ProgID="Excel.Sheet.12" ShapeID="_x0000_i1028" Type="Embed" r:id="rId1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color w:val="d83931"/>
          <w:sz w:val="22"/>
          <w:shd w:fill="fff67a"/>
        </w:rPr>
        <w:t>KPI达成情况</w:t>
      </w:r>
      <w:r>
        <w:rPr>
          <w:rFonts w:eastAsia="等线" w:ascii="Arial" w:cs="Arial" w:hAnsi="Arial"/>
          <w:color w:val="d83931"/>
          <w:sz w:val="22"/>
          <w:shd w:fill="fff67a"/>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10"/>
        <w:gridCol w:w="1500"/>
        <w:gridCol w:w="1500"/>
        <w:gridCol w:w="1500"/>
      </w:tblGrid>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指标</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目标</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实际</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达成</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优质客户占比</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准入时效</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≤2天</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1.8天</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资料一次完整率</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b w:val="true"/>
          <w:sz w:val="22"/>
        </w:rPr>
        <w:t>用户反馈</w:t>
      </w:r>
    </w:p>
    <w:p>
      <w:pPr>
        <w:spacing w:before="120" w:after="120" w:line="288" w:lineRule="auto"/>
        <w:ind w:left="0"/>
        <w:jc w:val="left"/>
      </w:pPr>
      <w:r>
        <w:rPr>
          <w:rFonts w:eastAsia="等线" w:ascii="Arial" w:cs="Arial" w:hAnsi="Arial"/>
          <w:b w:val="true"/>
          <w:sz w:val="22"/>
        </w:rPr>
        <w:t>核心企业</w:t>
      </w:r>
      <w:r>
        <w:rPr>
          <w:rFonts w:eastAsia="等线" w:ascii="Arial" w:cs="Arial" w:hAnsi="Arial"/>
          <w:sz w:val="22"/>
        </w:rPr>
        <w:t>（满意度4.8/5.0）：</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"以前电话邮件确认，现在手机点一下就行，还能看到推荐经销商的融资数据，方便很多。"</w:t>
            </w:r>
          </w:p>
        </w:tc>
      </w:tr>
    </w:tbl>
    <w:p>
      <w:pPr>
        <w:spacing w:before="120" w:after="120" w:line="288" w:lineRule="auto"/>
        <w:ind w:left="0"/>
        <w:jc w:val="left"/>
      </w:pPr>
      <w:r>
        <w:rPr>
          <w:rFonts w:eastAsia="等线" w:ascii="Arial" w:cs="Arial" w:hAnsi="Arial"/>
          <w:b w:val="true"/>
          <w:sz w:val="22"/>
        </w:rPr>
        <w:t>经销商</w:t>
      </w:r>
      <w:r>
        <w:rPr>
          <w:rFonts w:eastAsia="等线" w:ascii="Arial" w:cs="Arial" w:hAnsi="Arial"/>
          <w:sz w:val="22"/>
        </w:rPr>
        <w:t>（满意度4.6/5.0）：</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"申请很方便，手机拍照上传，系统自动识别。有核心企业推荐，3天就通过了。"</w:t>
            </w:r>
          </w:p>
        </w:tc>
      </w:tr>
    </w:tbl>
    <w:p>
      <w:pPr>
        <w:spacing w:before="120" w:after="120" w:line="288" w:lineRule="auto"/>
        <w:ind w:left="0"/>
        <w:jc w:val="left"/>
      </w:pPr>
      <w:r>
        <w:rPr>
          <w:rFonts w:eastAsia="等线" w:ascii="Arial" w:cs="Arial" w:hAnsi="Arial"/>
          <w:b w:val="true"/>
          <w:sz w:val="22"/>
        </w:rPr>
        <w:t>典型案例：某3C品牌试点</w:t>
      </w:r>
    </w:p>
    <w:p>
      <w:pPr>
        <w:numPr>
          <w:numId w:val="243"/>
        </w:numPr>
        <w:spacing w:before="120" w:after="120" w:line="288" w:lineRule="auto"/>
        <w:ind w:left="0"/>
        <w:jc w:val="left"/>
      </w:pPr>
      <w:r>
        <w:rPr>
          <w:rFonts w:eastAsia="等线" w:ascii="Arial" w:cs="Arial" w:hAnsi="Arial"/>
          <w:sz w:val="22"/>
        </w:rPr>
        <w:t>试点周期：3个月</w:t>
      </w:r>
    </w:p>
    <w:p>
      <w:pPr>
        <w:numPr>
          <w:numId w:val="244"/>
        </w:numPr>
        <w:spacing w:before="120" w:after="120" w:line="288" w:lineRule="auto"/>
        <w:ind w:left="0"/>
        <w:jc w:val="left"/>
      </w:pPr>
      <w:r>
        <w:rPr>
          <w:rFonts w:eastAsia="等线" w:ascii="Arial" w:cs="Arial" w:hAnsi="Arial"/>
          <w:sz w:val="22"/>
        </w:rPr>
        <w:t>推荐经销商：128家</w:t>
      </w:r>
    </w:p>
    <w:p>
      <w:pPr>
        <w:numPr>
          <w:numId w:val="245"/>
        </w:numPr>
        <w:spacing w:before="120" w:after="120" w:line="288" w:lineRule="auto"/>
        <w:ind w:left="0"/>
        <w:jc w:val="left"/>
      </w:pPr>
      <w:r>
        <w:rPr>
          <w:rFonts w:eastAsia="等线" w:ascii="Arial" w:cs="Arial" w:hAnsi="Arial"/>
          <w:sz w:val="22"/>
        </w:rPr>
        <w:t>准入通过率：86%（行业平均65%）</w:t>
      </w:r>
    </w:p>
    <w:p>
      <w:pPr>
        <w:numPr>
          <w:numId w:val="246"/>
        </w:numPr>
        <w:spacing w:before="120" w:after="120" w:line="288" w:lineRule="auto"/>
        <w:ind w:left="0"/>
        <w:jc w:val="left"/>
      </w:pPr>
      <w:r>
        <w:rPr>
          <w:rFonts w:eastAsia="等线" w:ascii="Arial" w:cs="Arial" w:hAnsi="Arial"/>
          <w:sz w:val="22"/>
        </w:rPr>
        <w:t>首贷率：94%</w:t>
      </w:r>
    </w:p>
    <w:p>
      <w:pPr>
        <w:numPr>
          <w:numId w:val="247"/>
        </w:numPr>
        <w:spacing w:before="120" w:after="120" w:line="288" w:lineRule="auto"/>
        <w:ind w:left="0"/>
        <w:jc w:val="left"/>
      </w:pPr>
      <w:r>
        <w:rPr>
          <w:rFonts w:eastAsia="等线" w:ascii="Arial" w:cs="Arial" w:hAnsi="Arial"/>
          <w:sz w:val="22"/>
        </w:rPr>
        <w:t>零逾期记录</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3.2 </w:t>
      </w:r>
      <w:r>
        <w:rPr>
          <w:rFonts w:eastAsia="等线" w:ascii="Arial" w:cs="Arial" w:hAnsi="Arial"/>
          <w:b w:val="true"/>
          <w:sz w:val="32"/>
        </w:rPr>
        <w:t>融资业务管理</w:t>
      </w:r>
      <w:bookmarkEnd w:id="30"/>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3.2.1 </w:t>
      </w:r>
      <w:r>
        <w:rPr>
          <w:rFonts w:eastAsia="等线" w:ascii="Arial" w:cs="Arial" w:hAnsi="Arial"/>
          <w:b w:val="true"/>
          <w:sz w:val="30"/>
        </w:rPr>
        <w:t>业务概述</w:t>
      </w:r>
      <w:bookmarkEnd w:id="31"/>
    </w:p>
    <w:p>
      <w:pPr>
        <w:spacing w:before="120" w:after="120" w:line="288" w:lineRule="auto"/>
        <w:ind w:left="0"/>
        <w:jc w:val="left"/>
      </w:pPr>
      <w:r>
        <w:rPr>
          <w:rFonts w:eastAsia="等线" w:ascii="Arial" w:cs="Arial" w:hAnsi="Arial"/>
          <w:sz w:val="22"/>
        </w:rPr>
        <w:t>融资业务管理是平台的核心业务引擎，贯穿融资申请、审批、放款、还款的全生命周期。通过在线化、自动化的业务流程，配合核心企业推荐信息和货权监控数据，实现融资需求的快速响应和风险可控。</w:t>
      </w:r>
    </w:p>
    <w:p>
      <w:pPr>
        <w:spacing w:before="120" w:after="120" w:line="288" w:lineRule="auto"/>
        <w:ind w:left="0"/>
        <w:jc w:val="left"/>
      </w:pPr>
      <w:r>
        <w:rPr>
          <w:rFonts w:eastAsia="等线" w:ascii="Arial" w:cs="Arial" w:hAnsi="Arial"/>
          <w:b w:val="true"/>
          <w:sz w:val="22"/>
        </w:rPr>
        <w:t>核心业务目标</w:t>
      </w:r>
      <w:r>
        <w:rPr>
          <w:rFonts w:eastAsia="等线" w:ascii="Arial" w:cs="Arial" w:hAnsi="Arial"/>
          <w:sz w:val="22"/>
        </w:rPr>
        <w:t>：审批时效≤1天、申请一次通过率≥80%、放款成功率≥98%、资产周转率≥6.5次/年。</w:t>
      </w:r>
    </w:p>
    <w:p>
      <w:pPr>
        <w:spacing w:before="120" w:after="120" w:line="288" w:lineRule="auto"/>
        <w:ind w:left="0"/>
        <w:jc w:val="left"/>
      </w:pPr>
      <w:r>
        <w:rPr>
          <w:rFonts w:eastAsia="等线" w:ascii="Arial" w:cs="Arial" w:hAnsi="Arial"/>
          <w:b w:val="true"/>
          <w:sz w:val="22"/>
        </w:rPr>
        <w:t>核心运营策略</w:t>
      </w:r>
      <w:r>
        <w:rPr>
          <w:rFonts w:eastAsia="等线" w:ascii="Arial" w:cs="Arial" w:hAnsi="Arial"/>
          <w:sz w:val="22"/>
        </w:rPr>
        <w:t>：通过</w:t>
      </w:r>
      <w:r>
        <w:rPr>
          <w:rFonts w:eastAsia="等线" w:ascii="Arial" w:cs="Arial" w:hAnsi="Arial"/>
          <w:b w:val="true"/>
          <w:sz w:val="22"/>
        </w:rPr>
        <w:t>分级授权机制</w:t>
      </w:r>
      <w:r>
        <w:rPr>
          <w:rFonts w:eastAsia="等线" w:ascii="Arial" w:cs="Arial" w:hAnsi="Arial"/>
          <w:sz w:val="22"/>
        </w:rPr>
        <w:t>提升审批效率，通过核心企业数据联动提升风控质量，通过银行系统对接实现数据自动同步。</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3.2.2 </w:t>
      </w:r>
      <w:r>
        <w:rPr>
          <w:rFonts w:eastAsia="等线" w:ascii="Arial" w:cs="Arial" w:hAnsi="Arial"/>
          <w:b w:val="true"/>
          <w:sz w:val="30"/>
        </w:rPr>
        <w:t>核心痛点</w:t>
      </w:r>
      <w:bookmarkEnd w:id="3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决策层：</w:t>
            </w:r>
          </w:p>
          <w:p>
            <w:pPr>
              <w:numPr>
                <w:numId w:val="248"/>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缺乏各环节审批时效、积压量、一次通过率等运营效率数据的实时穿透分析，无法及时定位流程瓶颈。例如资产周转率从6.5次/年下降至5.2次/年，平均融资周期从50天延长至70天，3个月后才发现瓶颈在审批环节（从1天延长至2.5天）。</w:t>
            </w:r>
          </w:p>
          <w:p>
            <w:pPr>
              <w:numPr>
                <w:numId w:val="249"/>
              </w:numPr>
              <w:spacing w:before="120" w:after="120" w:line="288" w:lineRule="auto"/>
              <w:ind w:left="0"/>
              <w:jc w:val="left"/>
            </w:pPr>
            <w:r>
              <w:rPr>
                <w:rFonts w:eastAsia="等线" w:ascii="Arial" w:cs="Arial" w:hAnsi="Arial"/>
                <w:b w:val="true"/>
                <w:color w:val="d83931"/>
                <w:sz w:val="22"/>
              </w:rPr>
              <w:t>【期望】</w:t>
            </w:r>
            <w:r>
              <w:rPr>
                <w:rFonts w:eastAsia="等线" w:ascii="Arial" w:cs="Arial" w:hAnsi="Arial"/>
                <w:sz w:val="22"/>
              </w:rPr>
              <w:t>实时掌握各环节效率指标，支持流程瓶颈定位和资源调配决策。通过自动化审批机制（标准业务系统自动审批）、集成化审批工作台、申请前置校验等措施，推动审批时效恢复至1天以内，资产周转率恢复至6.5次/年。</w:t>
            </w:r>
          </w:p>
          <w:p>
            <w:pPr>
              <w:numPr>
                <w:numId w:val="250"/>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建立端到端的融资业务管理平台，支持在线申请和自动化审批流转，提供多维度业务看板实时展示关键指标，通过业务流程的标准化和全程记录提供流程优化建议。对于核心企业推荐的优质经销商，系统支持简化审批流程或预授信额度快速审批，对于核心企业标注风险的经销商系统自动触发加强审核流程。</w:t>
            </w:r>
          </w:p>
          <w:p>
            <w:pPr>
              <w:spacing w:before="120" w:after="120" w:line="288" w:lineRule="auto"/>
              <w:ind w:left="0"/>
              <w:jc w:val="left"/>
            </w:pPr>
            <w:r>
              <w:rPr>
                <w:rFonts w:eastAsia="等线" w:ascii="Arial" w:cs="Arial" w:hAnsi="Arial"/>
                <w:sz w:val="22"/>
              </w:rPr>
              <w:t>📋</w:t>
            </w:r>
            <w:r>
              <w:rPr>
                <w:rFonts w:eastAsia="等线" w:ascii="Arial" w:cs="Arial" w:hAnsi="Arial"/>
                <w:b w:val="true"/>
                <w:sz w:val="22"/>
              </w:rPr>
              <w:t xml:space="preserve"> 管理层：</w:t>
            </w:r>
          </w:p>
          <w:p>
            <w:pPr>
              <w:numPr>
                <w:numId w:val="251"/>
              </w:numPr>
              <w:spacing w:before="120" w:after="120" w:line="288" w:lineRule="auto"/>
              <w:ind w:left="0"/>
              <w:jc w:val="left"/>
            </w:pPr>
            <w:r>
              <w:rPr>
                <w:rFonts w:eastAsia="等线" w:ascii="Arial" w:cs="Arial" w:hAnsi="Arial"/>
                <w:b w:val="true"/>
                <w:sz w:val="22"/>
              </w:rPr>
              <w:t>融资审批效率</w:t>
            </w:r>
          </w:p>
          <w:p>
            <w:pPr>
              <w:numPr>
                <w:numId w:val="252"/>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将审批时效缩短至1天以内、业务量增长率提升至30%/年</w:t>
            </w:r>
            <w:r>
              <w:rPr>
                <w:rFonts w:eastAsia="等线" w:ascii="Arial" w:cs="Arial" w:hAnsi="Arial"/>
                <w:sz w:val="22"/>
              </w:rPr>
              <w:t>（业务KPI），需要建立高效的审批流转机制。但由于：</w:t>
            </w:r>
          </w:p>
          <w:p>
            <w:pPr>
              <w:numPr>
                <w:numId w:val="253"/>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：业务量增长（月均200笔→500笔）但审批人员未增加，缺乏分级授权机制，所有业务都需人工审批；审批人员缺乏统一的决策标准和质量考核</w:t>
            </w:r>
          </w:p>
          <w:p>
            <w:pPr>
              <w:numPr>
                <w:numId w:val="254"/>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：核心企业风险预警（串货、销售下滑等）无法实时联动审批流程</w:t>
            </w:r>
          </w:p>
          <w:p>
            <w:pPr>
              <w:numPr>
                <w:numId w:val="255"/>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：审批需在多系统间切换查询（客户信息、授信额度、在途业务、质押物等），约40%申请资料不完整需反复沟通</w:t>
            </w:r>
          </w:p>
          <w:p>
            <w:pPr>
              <w:spacing w:before="120" w:after="120" w:line="288" w:lineRule="auto"/>
              <w:ind w:left="453"/>
              <w:jc w:val="left"/>
            </w:pPr>
            <w:r>
              <w:rPr>
                <w:rFonts w:eastAsia="等线" w:ascii="Arial" w:cs="Arial" w:hAnsi="Arial"/>
                <w:sz w:val="22"/>
              </w:rPr>
              <w:t>导致审批时效从1天延长至2.5天，审批积压严重，客户频繁询问进度。</w:t>
            </w:r>
          </w:p>
          <w:p>
            <w:pPr>
              <w:numPr>
                <w:numId w:val="256"/>
              </w:numPr>
              <w:spacing w:before="120" w:after="120" w:line="288" w:lineRule="auto"/>
              <w:ind w:left="453"/>
              <w:jc w:val="left"/>
            </w:pPr>
            <w:r>
              <w:rPr>
                <w:rFonts w:eastAsia="等线" w:ascii="Arial" w:cs="Arial" w:hAnsi="Arial"/>
                <w:b w:val="true"/>
                <w:color w:val="d83931"/>
                <w:sz w:val="22"/>
              </w:rPr>
              <w:t>【期望】</w:t>
            </w:r>
          </w:p>
          <w:p>
            <w:pPr>
              <w:numPr>
                <w:numId w:val="257"/>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分级授权审批制度》（A级客户+≤30万+质押率≤70%走快速通道，仅需2级审批）；制定《审批人员考核办法》（审批及时率≥95%、审批通过后逾期率≤3%）；建立《审批案例库制度》沉淀优秀/问题/争议案例</w:t>
            </w:r>
          </w:p>
          <w:p>
            <w:pPr>
              <w:numPr>
                <w:numId w:val="258"/>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：集成化审批页面一页展示所有决策信息，核心企业预警实时联动并阻断高风险自动审批，标准业务系统自动审批（预计覆盖60%业务量）</w:t>
            </w:r>
          </w:p>
          <w:p>
            <w:pPr>
              <w:spacing w:before="120" w:after="120" w:line="288" w:lineRule="auto"/>
              <w:ind w:left="453"/>
              <w:jc w:val="left"/>
            </w:pPr>
            <w:r>
              <w:rPr>
                <w:rFonts w:eastAsia="等线" w:ascii="Arial" w:cs="Arial" w:hAnsi="Arial"/>
                <w:sz w:val="22"/>
              </w:rPr>
              <w:t>通过以上措施，审批时效从2.5天缩短至1天，人工审批聚焦高风险或大额业务。</w:t>
            </w:r>
          </w:p>
          <w:p>
            <w:pPr>
              <w:numPr>
                <w:numId w:val="259"/>
              </w:numPr>
              <w:spacing w:before="120" w:after="120" w:line="288" w:lineRule="auto"/>
              <w:ind w:left="0"/>
              <w:jc w:val="left"/>
            </w:pPr>
            <w:r>
              <w:rPr>
                <w:rFonts w:eastAsia="等线" w:ascii="Arial" w:cs="Arial" w:hAnsi="Arial"/>
                <w:b w:val="true"/>
                <w:sz w:val="22"/>
              </w:rPr>
              <w:t>申请资料规范</w:t>
            </w:r>
          </w:p>
          <w:p>
            <w:pPr>
              <w:numPr>
                <w:numId w:val="260"/>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将申请一次通过率提升至80%以上</w:t>
            </w:r>
            <w:r>
              <w:rPr>
                <w:rFonts w:eastAsia="等线" w:ascii="Arial" w:cs="Arial" w:hAnsi="Arial"/>
                <w:sz w:val="22"/>
              </w:rPr>
              <w:t>（业务KPI），需要规范融资申请流程。但由于：</w:t>
            </w:r>
          </w:p>
          <w:p>
            <w:pPr>
              <w:numPr>
                <w:numId w:val="261"/>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：缺乏标准化的申请资料清单和填报规范，客户不清楚需准备哪些材料</w:t>
            </w:r>
          </w:p>
          <w:p>
            <w:pPr>
              <w:numPr>
                <w:numId w:val="262"/>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：申请表单缺乏前置校验，约40%申请因资料不完整需补充，平均沟通2-3轮</w:t>
            </w:r>
          </w:p>
          <w:p>
            <w:pPr>
              <w:spacing w:before="120" w:after="120" w:line="288" w:lineRule="auto"/>
              <w:ind w:left="453"/>
              <w:jc w:val="left"/>
            </w:pPr>
            <w:r>
              <w:rPr>
                <w:rFonts w:eastAsia="等线" w:ascii="Arial" w:cs="Arial" w:hAnsi="Arial"/>
                <w:sz w:val="22"/>
              </w:rPr>
              <w:t>导致申请一次通过率仅60%，审批人员大量时间耗费在沟通补资料上。</w:t>
            </w:r>
          </w:p>
          <w:p>
            <w:pPr>
              <w:numPr>
                <w:numId w:val="263"/>
              </w:numPr>
              <w:spacing w:before="120" w:after="120" w:line="288" w:lineRule="auto"/>
              <w:ind w:left="453"/>
              <w:jc w:val="left"/>
            </w:pPr>
            <w:r>
              <w:rPr>
                <w:rFonts w:eastAsia="等线" w:ascii="Arial" w:cs="Arial" w:hAnsi="Arial"/>
                <w:b w:val="true"/>
                <w:color w:val="d83931"/>
                <w:sz w:val="22"/>
              </w:rPr>
              <w:t>【期望】</w:t>
            </w:r>
          </w:p>
          <w:p>
            <w:pPr>
              <w:numPr>
                <w:numId w:val="264"/>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：制定《融资申请资料标准》明确必交材料、格式要求、常见问题说明</w:t>
            </w:r>
          </w:p>
          <w:p>
            <w:pPr>
              <w:numPr>
                <w:numId w:val="265"/>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：标准化在线申请表单，内置必填项校验和格式检查（额度、货值、资质、证照有效期等），不满足条件自动驳回并说明原因</w:t>
            </w:r>
          </w:p>
          <w:p>
            <w:pPr>
              <w:spacing w:before="120" w:after="120" w:line="288" w:lineRule="auto"/>
              <w:ind w:left="453"/>
              <w:jc w:val="left"/>
            </w:pPr>
            <w:r>
              <w:rPr>
                <w:rFonts w:eastAsia="等线" w:ascii="Arial" w:cs="Arial" w:hAnsi="Arial"/>
                <w:sz w:val="22"/>
              </w:rPr>
              <w:t>通过以上措施，申请一次通过率从60%提升至80%以上。</w:t>
            </w:r>
          </w:p>
          <w:p>
            <w:pPr>
              <w:numPr>
                <w:numId w:val="266"/>
              </w:numPr>
              <w:spacing w:before="120" w:after="120" w:line="288" w:lineRule="auto"/>
              <w:ind w:left="0"/>
              <w:jc w:val="left"/>
            </w:pPr>
            <w:r>
              <w:rPr>
                <w:rFonts w:eastAsia="等线" w:ascii="Arial" w:cs="Arial" w:hAnsi="Arial"/>
                <w:b w:val="true"/>
                <w:sz w:val="22"/>
              </w:rPr>
              <w:t>银行数据协同</w:t>
            </w:r>
          </w:p>
          <w:p>
            <w:pPr>
              <w:numPr>
                <w:numId w:val="267"/>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将放款成功率提升至98%、银行对账准确率达100%</w:t>
            </w:r>
            <w:r>
              <w:rPr>
                <w:rFonts w:eastAsia="等线" w:ascii="Arial" w:cs="Arial" w:hAnsi="Arial"/>
                <w:sz w:val="22"/>
              </w:rPr>
              <w:t>（业务KPI），需要实现与银行系统的高效协同。但由于：</w:t>
            </w:r>
          </w:p>
          <w:p>
            <w:pPr>
              <w:numPr>
                <w:numId w:val="268"/>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：银行出库授权通过邮件或传真发送，信息传递慢且易出错</w:t>
            </w:r>
          </w:p>
          <w:p>
            <w:pPr>
              <w:numPr>
                <w:numId w:val="269"/>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：放款、还款数据需手工录入和对账，每日耗时2-4小时，信息同步滞后0.5-1天</w:t>
            </w:r>
          </w:p>
          <w:p>
            <w:pPr>
              <w:spacing w:before="120" w:after="120" w:line="288" w:lineRule="auto"/>
              <w:ind w:left="453"/>
              <w:jc w:val="left"/>
            </w:pPr>
            <w:r>
              <w:rPr>
                <w:rFonts w:eastAsia="等线" w:ascii="Arial" w:cs="Arial" w:hAnsi="Arial"/>
                <w:sz w:val="22"/>
              </w:rPr>
              <w:t>导致放款成功率仅93%，对账繁琐且偶有差异。</w:t>
            </w:r>
          </w:p>
          <w:p>
            <w:pPr>
              <w:numPr>
                <w:numId w:val="270"/>
              </w:numPr>
              <w:spacing w:before="120" w:after="120" w:line="288" w:lineRule="auto"/>
              <w:ind w:left="453"/>
              <w:jc w:val="left"/>
            </w:pPr>
            <w:r>
              <w:rPr>
                <w:rFonts w:eastAsia="等线" w:ascii="Arial" w:cs="Arial" w:hAnsi="Arial"/>
                <w:b w:val="true"/>
                <w:color w:val="d83931"/>
                <w:sz w:val="22"/>
              </w:rPr>
              <w:t>【期望】</w:t>
            </w:r>
          </w:p>
          <w:p>
            <w:pPr>
              <w:numPr>
                <w:numId w:val="271"/>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：与银行建立《数据对接规范》，明确接口标准、同步频率、异常处理流程</w:t>
            </w:r>
          </w:p>
          <w:p>
            <w:pPr>
              <w:numPr>
                <w:numId w:val="272"/>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：系统对接银行接口，放款/还款/出库授权数据自动同步，系统自动对账并标注异常</w:t>
            </w:r>
          </w:p>
          <w:p>
            <w:pPr>
              <w:spacing w:before="120" w:after="120" w:line="288" w:lineRule="auto"/>
              <w:ind w:left="453"/>
              <w:jc w:val="left"/>
            </w:pPr>
            <w:r>
              <w:rPr>
                <w:rFonts w:eastAsia="等线" w:ascii="Arial" w:cs="Arial" w:hAnsi="Arial"/>
                <w:sz w:val="22"/>
              </w:rPr>
              <w:t>通过以上措施，放款成功率提升至98%，对账时效从2-4小时缩短至30分钟。</w:t>
            </w:r>
          </w:p>
          <w:p>
            <w:pPr>
              <w:numPr>
                <w:numId w:val="273"/>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提供标准化的融资申请界面包含智能表单校验，系统内置必填项校验和格式检查，资料不完整时自动提示并拒绝提交。通过可配置的审批流程引擎支持自动流转和在线审批，审批页面采用集成化设计，所有决策信息在一个页面展示，支持一键审批。对于核心企业推荐的优质经销商（A级客户），系统支持简化审批流程或预授信额度快速审批，对于核心企业标注风险的经销商系统自动触发加强审核流程。系统与银行系统对接实现数据自动同步和对账，银行放款、还款后系统自动接收数据并更新业务状态，银行出库授权自动推送到平台并触发出库审批流程。为企业提供全流程进度查询功能，客户可自助查询业务进度。</w:t>
            </w:r>
          </w:p>
          <w:p>
            <w:pPr>
              <w:spacing w:before="120" w:after="120" w:line="288" w:lineRule="auto"/>
              <w:ind w:left="0"/>
              <w:jc w:val="left"/>
            </w:pPr>
            <w:r>
              <w:rPr>
                <w:rFonts w:eastAsia="等线" w:ascii="Arial" w:cs="Arial" w:hAnsi="Arial"/>
                <w:b w:val="true"/>
                <w:sz w:val="22"/>
              </w:rPr>
              <w:t>🔧 执行层：</w:t>
            </w:r>
          </w:p>
          <w:p>
            <w:pPr>
              <w:numPr>
                <w:numId w:val="274"/>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每天处理大量融资申请需逐个查看，申请信息不规范导致多次沟通补资料，审批时需在多个页面查询相关信息，客户频繁打电话询问进度，放款还款数据需手工核对Excel。</w:t>
            </w:r>
          </w:p>
          <w:p>
            <w:pPr>
              <w:numPr>
                <w:numId w:val="275"/>
              </w:numPr>
              <w:spacing w:before="120" w:after="120" w:line="288" w:lineRule="auto"/>
              <w:ind w:left="0"/>
              <w:jc w:val="left"/>
            </w:pPr>
            <w:r>
              <w:rPr>
                <w:rFonts w:eastAsia="等线" w:ascii="Arial" w:cs="Arial" w:hAnsi="Arial"/>
                <w:b w:val="true"/>
                <w:color w:val="d83931"/>
                <w:sz w:val="22"/>
              </w:rPr>
              <w:t>【期望】</w:t>
            </w:r>
          </w:p>
          <w:p>
            <w:pPr>
              <w:numPr>
                <w:numId w:val="276"/>
              </w:numPr>
              <w:spacing w:before="120" w:after="120" w:line="288" w:lineRule="auto"/>
              <w:ind w:left="453"/>
              <w:jc w:val="left"/>
            </w:pPr>
            <w:r>
              <w:rPr>
                <w:rFonts w:eastAsia="等线" w:ascii="Arial" w:cs="Arial" w:hAnsi="Arial"/>
                <w:b w:val="true"/>
                <w:sz w:val="22"/>
              </w:rPr>
              <w:t>操作规范</w:t>
            </w:r>
            <w:r>
              <w:rPr>
                <w:rFonts w:eastAsia="等线" w:ascii="Arial" w:cs="Arial" w:hAnsi="Arial"/>
                <w:sz w:val="22"/>
              </w:rPr>
              <w:t>：按《融资申请资料标准》指引客户一次性提交完整资料，按《分级授权审批制度》快速识别可走快速通道的业务</w:t>
            </w:r>
          </w:p>
          <w:p>
            <w:pPr>
              <w:numPr>
                <w:numId w:val="277"/>
              </w:numPr>
              <w:spacing w:before="120" w:after="120" w:line="288" w:lineRule="auto"/>
              <w:ind w:left="453"/>
              <w:jc w:val="left"/>
            </w:pPr>
            <w:r>
              <w:rPr>
                <w:rFonts w:eastAsia="等线" w:ascii="Arial" w:cs="Arial" w:hAnsi="Arial"/>
                <w:b w:val="true"/>
                <w:sz w:val="22"/>
              </w:rPr>
              <w:t>系统支持</w:t>
            </w:r>
            <w:r>
              <w:rPr>
                <w:rFonts w:eastAsia="等线" w:ascii="Arial" w:cs="Arial" w:hAnsi="Arial"/>
                <w:sz w:val="22"/>
              </w:rPr>
              <w:t>：提供智能待办任务中心（按紧急程度排序、支持批量操作），审批页面集成化设计支持一键审批，客户端提供自助进度查询，系统自动对账并推送异常</w:t>
            </w:r>
          </w:p>
          <w:p>
            <w:pPr>
              <w:numPr>
                <w:numId w:val="278"/>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系统提供智能待办任务中心支持多维度筛选，申请表单内置必填项校验和格式检查，审批页面采用集成化设计一键审批，为企业端提供自助进度查询功能，系统自动完成数据对账并推送异常。</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3.2.3 </w:t>
      </w:r>
      <w:r>
        <w:rPr>
          <w:rFonts w:eastAsia="等线" w:ascii="Arial" w:cs="Arial" w:hAnsi="Arial"/>
          <w:b w:val="true"/>
          <w:sz w:val="30"/>
        </w:rPr>
        <w:t>功能架构</w:t>
      </w:r>
      <w:bookmarkEnd w:id="33"/>
    </w:p>
    <w:p>
      <w:pPr>
        <w:spacing w:before="120" w:after="120" w:line="288" w:lineRule="auto"/>
        <w:ind w:left="0"/>
      </w:pPr>
      <w:r>
        <w:object>
          <v:shape id="_x0000_i1029" style="width:414pt;height:136pt;mso-width-percent:0;mso-height-percent:0;mso-width-percent:0;mso-height-percent:0" type="#_x0000_t75" o:ole="">
            <v:imagedata r:id="rId20" o:title=""/>
          </v:shape>
          <o:OLEObject DrawAspect="Icon" ObjectID="_1718471223" ProgID="Excel.Sheet.12" ShapeID="_x0000_i1029" Type="Embed" r:id="rId1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3.2.4 </w:t>
      </w:r>
      <w:r>
        <w:rPr>
          <w:rFonts w:eastAsia="等线" w:ascii="Arial" w:cs="Arial" w:hAnsi="Arial"/>
          <w:b w:val="true"/>
          <w:sz w:val="30"/>
        </w:rPr>
        <w:t>核心功能详解</w:t>
      </w:r>
      <w:bookmarkEnd w:id="34"/>
    </w:p>
    <w:p>
      <w:pPr>
        <w:pStyle w:val="4"/>
        <w:spacing w:before="260" w:after="120" w:line="288" w:lineRule="auto"/>
        <w:ind w:left="0"/>
        <w:jc w:val="left"/>
        <w:outlineLvl w:val="3"/>
      </w:pPr>
      <w:bookmarkStart w:name="heading_35" w:id="35"/>
      <w:r>
        <w:rPr>
          <w:rFonts w:eastAsia="等线" w:ascii="Arial" w:cs="Arial" w:hAnsi="Arial"/>
          <w:color w:val="3370ff"/>
          <w:sz w:val="28"/>
        </w:rPr>
        <w:t xml:space="preserve">3.2.4.1 </w:t>
      </w:r>
      <w:r>
        <w:rPr>
          <w:rFonts w:eastAsia="等线" w:ascii="Arial" w:cs="Arial" w:hAnsi="Arial"/>
          <w:b w:val="true"/>
          <w:sz w:val="28"/>
        </w:rPr>
        <w:t>审批流转（重点功能）</w:t>
      </w:r>
      <w:bookmarkEnd w:id="35"/>
    </w:p>
    <w:p>
      <w:pPr>
        <w:pStyle w:val="5"/>
        <w:spacing w:before="240" w:after="120" w:line="288" w:lineRule="auto"/>
        <w:ind w:left="0"/>
        <w:jc w:val="left"/>
        <w:outlineLvl w:val="4"/>
      </w:pPr>
      <w:bookmarkStart w:name="heading_36" w:id="36"/>
      <w:r>
        <w:rPr>
          <w:rFonts w:eastAsia="等线" w:ascii="Arial" w:cs="Arial" w:hAnsi="Arial"/>
          <w:color w:val="3370ff"/>
          <w:sz w:val="24"/>
        </w:rPr>
        <w:t xml:space="preserve">3.2.4.1.1 </w:t>
      </w:r>
      <w:r>
        <w:rPr>
          <w:rFonts w:eastAsia="等线" w:ascii="Arial" w:cs="Arial" w:hAnsi="Arial"/>
          <w:b w:val="true"/>
          <w:sz w:val="24"/>
        </w:rPr>
        <w:t>解决的核心问题</w:t>
      </w:r>
      <w:bookmarkEnd w:id="36"/>
    </w:p>
    <w:p>
      <w:pPr>
        <w:spacing w:before="120" w:after="120" w:line="288" w:lineRule="auto"/>
        <w:ind w:left="0"/>
      </w:pPr>
      <w:r>
        <w:object>
          <v:shape id="_x0000_i1030" style="width:414pt;height:182pt;mso-width-percent:0;mso-height-percent:0;mso-width-percent:0;mso-height-percent:0" type="#_x0000_t75" o:ole="">
            <v:imagedata r:id="rId22" o:title=""/>
          </v:shape>
          <o:OLEObject DrawAspect="Icon" ObjectID="_1718471224" ProgID="Excel.Sheet.12" ShapeID="_x0000_i1030" Type="Embed" r:id="rId21"/>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37" w:id="37"/>
      <w:r>
        <w:rPr>
          <w:rFonts w:eastAsia="等线" w:ascii="Arial" w:cs="Arial" w:hAnsi="Arial"/>
          <w:color w:val="3370ff"/>
          <w:sz w:val="24"/>
        </w:rPr>
        <w:t xml:space="preserve">3.2.4.1.2 </w:t>
      </w:r>
      <w:r>
        <w:rPr>
          <w:rFonts w:eastAsia="等线" w:ascii="Arial" w:cs="Arial" w:hAnsi="Arial"/>
          <w:b w:val="true"/>
          <w:sz w:val="24"/>
        </w:rPr>
        <w:t>业务流程</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xml:space="preserve">    participant E as 企业端</w:t>
              <w:br/>
              <w:t xml:space="preserve">    participant S as 系统</w:t>
              <w:br/>
              <w:t xml:space="preserve">    participant A as 审批人</w:t>
              <w:br/>
              <w:t xml:space="preserve">    participant C as 核心企业</w:t>
              <w:br/>
              <w:t xml:space="preserve">    participant B as 银行</w:t>
              <w:br/>
              <w:t xml:space="preserve">    </w:t>
              <w:br/>
              <w:t xml:space="preserve">    E-&gt;&gt;S: 1.提交融资申请</w:t>
              <w:br/>
              <w:t xml:space="preserve">    S-&gt;&gt;S: 2.自动校验&lt;br/&gt;(额度/货物/黑名单)</w:t>
              <w:br/>
              <w:t xml:space="preserve">    S-&gt;&gt;C: 3.获取经销商最新数据&lt;br/&gt;(信用评级/供货情况)</w:t>
              <w:br/>
              <w:t xml:space="preserve">    S-&gt;&gt;S: 4.匹配审批流程&lt;br/&gt;(根据额度/客户等级)</w:t>
              <w:br/>
              <w:t xml:space="preserve">    S-&gt;&gt;A: 5.自动分配审批人</w:t>
              <w:br/>
              <w:t xml:space="preserve">    </w:t>
              <w:br/>
              <w:t xml:space="preserve">    loop 多级审批</w:t>
              <w:br/>
              <w:t xml:space="preserve">        A-&gt;&gt;S: 6.审批决策&lt;br/&gt;(参考核心企业数据)</w:t>
              <w:br/>
              <w:t xml:space="preserve">        alt 通过</w:t>
              <w:br/>
              <w:t xml:space="preserve">            S-&gt;&gt;A: 流转下一审批节点</w:t>
              <w:br/>
              <w:t xml:space="preserve">        else 驳回</w:t>
              <w:br/>
              <w:t xml:space="preserve">            S-&gt;&gt;E: 通知驳回原因</w:t>
              <w:br/>
              <w:t xml:space="preserve">        end</w:t>
              <w:br/>
              <w:t xml:space="preserve">    end</w:t>
              <w:br/>
              <w:t xml:space="preserve">    </w:t>
              <w:br/>
              <w:t xml:space="preserve">    S-&gt;&gt;B: 7.推送放款指令</w:t>
              <w:br/>
              <w:t xml:space="preserve">    B-&gt;&gt;S: 8.放款结果反馈</w:t>
              <w:br/>
              <w:t xml:space="preserve">    S-&gt;&gt;E: 9.通知放款成功</w:t>
            </w:r>
          </w:p>
        </w:tc>
      </w:tr>
    </w:tbl>
    <w:p>
      <w:pPr>
        <w:spacing w:before="120" w:after="120" w:line="288" w:lineRule="auto"/>
        <w:ind w:left="0"/>
        <w:jc w:val="left"/>
      </w:pPr>
      <w:r>
        <w:rPr>
          <w:rFonts w:eastAsia="等线" w:ascii="Arial" w:cs="Arial" w:hAnsi="Arial"/>
          <w:b w:val="true"/>
          <w:sz w:val="22"/>
        </w:rPr>
        <w:t>关键环节设计亮点</w:t>
      </w:r>
      <w:r>
        <w:rPr>
          <w:rFonts w:eastAsia="等线" w:ascii="Arial" w:cs="Arial" w:hAnsi="Arial"/>
          <w:sz w:val="22"/>
        </w:rPr>
        <w:t>：</w:t>
      </w:r>
    </w:p>
    <w:p>
      <w:pPr>
        <w:spacing w:before="120" w:after="120" w:line="288" w:lineRule="auto"/>
        <w:ind w:left="0"/>
        <w:jc w:val="left"/>
      </w:pPr>
      <w:r>
        <w:rPr>
          <w:rFonts w:eastAsia="等线" w:ascii="Arial" w:cs="Arial" w:hAnsi="Arial"/>
          <w:b w:val="true"/>
          <w:color w:val="d83931"/>
          <w:sz w:val="22"/>
          <w:shd w:fill="fff67a"/>
        </w:rPr>
        <w:t>环节3：核心企业数据联动</w:t>
      </w:r>
    </w:p>
    <w:p>
      <w:pPr>
        <w:numPr>
          <w:numId w:val="279"/>
        </w:numPr>
        <w:spacing w:before="120" w:after="120" w:line="288" w:lineRule="auto"/>
        <w:ind w:left="0"/>
        <w:jc w:val="left"/>
      </w:pPr>
      <w:r>
        <w:rPr>
          <w:rFonts w:eastAsia="等线" w:ascii="Arial" w:cs="Arial" w:hAnsi="Arial"/>
          <w:sz w:val="22"/>
        </w:rPr>
        <w:t>申请提交时自动从核心企业获取经销商最新信用评级、近期供货情况</w:t>
      </w:r>
    </w:p>
    <w:p>
      <w:pPr>
        <w:numPr>
          <w:numId w:val="280"/>
        </w:numPr>
        <w:spacing w:before="120" w:after="120" w:line="288" w:lineRule="auto"/>
        <w:ind w:left="0"/>
        <w:jc w:val="left"/>
      </w:pPr>
      <w:r>
        <w:rPr>
          <w:rFonts w:eastAsia="等线" w:ascii="Arial" w:cs="Arial" w:hAnsi="Arial"/>
          <w:sz w:val="22"/>
        </w:rPr>
        <w:t>若核心企业标注风险，自动触发加强审批流程</w:t>
      </w:r>
    </w:p>
    <w:p>
      <w:pPr>
        <w:numPr>
          <w:numId w:val="281"/>
        </w:numPr>
        <w:spacing w:before="120" w:after="120" w:line="288" w:lineRule="auto"/>
        <w:ind w:left="0"/>
        <w:jc w:val="left"/>
      </w:pPr>
      <w:r>
        <w:rPr>
          <w:rFonts w:eastAsia="等线" w:ascii="Arial" w:cs="Arial" w:hAnsi="Arial"/>
          <w:sz w:val="22"/>
        </w:rPr>
        <w:t>审批页面突出展示核心企业评价，作为重要决策依据</w:t>
      </w:r>
    </w:p>
    <w:p>
      <w:pPr>
        <w:spacing w:before="120" w:after="120" w:line="288" w:lineRule="auto"/>
        <w:ind w:left="0"/>
        <w:jc w:val="left"/>
      </w:pPr>
      <w:r>
        <w:rPr>
          <w:rFonts w:eastAsia="等线" w:ascii="Arial" w:cs="Arial" w:hAnsi="Arial"/>
          <w:b w:val="true"/>
          <w:color w:val="d83931"/>
          <w:sz w:val="22"/>
          <w:shd w:fill="fff67a"/>
        </w:rPr>
        <w:t>环节4：智能流程匹配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流程匹配规则</w:t>
              <w:br/>
            </w:r>
            <w:r>
              <w:rPr>
                <w:rFonts w:eastAsia="Consolas" w:ascii="Consolas" w:cs="Consolas" w:hAnsi="Consolas"/>
                <w:sz w:val="22"/>
              </w:rPr>
              <w:t>IF 融资金额 ≤ 30万 AND 客户等级 = A级 THEN</w:t>
              <w:br/>
              <w:t xml:space="preserve">    流程 = "初审 → 终审"（2级）</w:t>
              <w:br/>
              <w:t>ELSE IF 融资金额 ≤ 100万 THEN</w:t>
              <w:br/>
              <w:t xml:space="preserve">    流程 = "初审 → 风控审批 → 终审"（3级）</w:t>
              <w:br/>
              <w:t>ELSE IF 融资金额 &gt; 100万 OR 核心企业标注风险 THEN</w:t>
              <w:br/>
              <w:t xml:space="preserve">    流程 = "初审 → 实地核查 → 风控审批 → 高管审批 → 终审"（5级）</w:t>
              <w:br/>
            </w:r>
            <w:r>
              <w:rPr>
                <w:rFonts w:eastAsia="Consolas" w:ascii="Consolas" w:cs="Consolas" w:hAnsi="Consolas"/>
                <w:sz w:val="22"/>
              </w:rPr>
              <w:t>END IF</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流程分级设计的业务逻辑</w:t>
            </w:r>
          </w:p>
          <w:p>
            <w:pPr>
              <w:spacing w:before="120" w:after="120" w:line="288" w:lineRule="auto"/>
              <w:ind w:left="0"/>
              <w:jc w:val="left"/>
            </w:pPr>
            <w:r>
              <w:rPr>
                <w:rFonts w:eastAsia="等线" w:ascii="Arial" w:cs="Arial" w:hAnsi="Arial"/>
                <w:sz w:val="22"/>
              </w:rPr>
              <w:t>审批流程采用"风险分层、效率优先"的设计原则，根据</w:t>
            </w:r>
            <w:r>
              <w:rPr>
                <w:rFonts w:eastAsia="等线" w:ascii="Arial" w:cs="Arial" w:hAnsi="Arial"/>
                <w:b w:val="true"/>
                <w:sz w:val="22"/>
              </w:rPr>
              <w:t>业务金额</w:t>
            </w:r>
            <w:r>
              <w:rPr>
                <w:rFonts w:eastAsia="等线" w:ascii="Arial" w:cs="Arial" w:hAnsi="Arial"/>
                <w:sz w:val="22"/>
              </w:rPr>
              <w:t>和</w:t>
            </w:r>
            <w:r>
              <w:rPr>
                <w:rFonts w:eastAsia="等线" w:ascii="Arial" w:cs="Arial" w:hAnsi="Arial"/>
                <w:b w:val="true"/>
                <w:sz w:val="22"/>
              </w:rPr>
              <w:t>客户资质</w:t>
            </w:r>
            <w:r>
              <w:rPr>
                <w:rFonts w:eastAsia="等线" w:ascii="Arial" w:cs="Arial" w:hAnsi="Arial"/>
                <w:sz w:val="22"/>
              </w:rPr>
              <w:t>两个核心维度，将融资申请匹配至不同审批流程。</w:t>
            </w:r>
          </w:p>
          <w:p>
            <w:pPr>
              <w:numPr>
                <w:numId w:val="282"/>
              </w:numPr>
              <w:spacing w:before="120" w:after="120" w:line="288" w:lineRule="auto"/>
              <w:ind w:left="0"/>
              <w:jc w:val="left"/>
            </w:pPr>
            <w:r>
              <w:rPr>
                <w:rFonts w:eastAsia="等线" w:ascii="Arial" w:cs="Arial" w:hAnsi="Arial"/>
                <w:b w:val="true"/>
                <w:sz w:val="22"/>
              </w:rPr>
              <w:t>快速通道（2级审批）：初审→终审</w:t>
            </w:r>
          </w:p>
          <w:p>
            <w:pPr>
              <w:spacing w:before="120" w:after="120" w:line="288" w:lineRule="auto"/>
              <w:ind w:left="0"/>
              <w:jc w:val="left"/>
            </w:pPr>
            <w:r>
              <w:rPr>
                <w:rFonts w:eastAsia="等线" w:ascii="Arial" w:cs="Arial" w:hAnsi="Arial"/>
                <w:sz w:val="22"/>
              </w:rPr>
              <w:t>适用条件：融资金额≤30万 且 客户等级为A级</w:t>
            </w:r>
          </w:p>
          <w:p>
            <w:pPr>
              <w:spacing w:before="120" w:after="120" w:line="288" w:lineRule="auto"/>
              <w:ind w:left="0"/>
              <w:jc w:val="left"/>
            </w:pPr>
            <w:r>
              <w:rPr>
                <w:rFonts w:eastAsia="等线" w:ascii="Arial" w:cs="Arial" w:hAnsi="Arial"/>
                <w:sz w:val="22"/>
              </w:rPr>
              <w:t>30万元门槛的设定依据：</w:t>
            </w:r>
          </w:p>
          <w:p>
            <w:pPr>
              <w:numPr>
                <w:numId w:val="283"/>
              </w:numPr>
              <w:spacing w:before="120" w:after="120" w:line="288" w:lineRule="auto"/>
              <w:ind w:left="0"/>
              <w:jc w:val="left"/>
            </w:pPr>
            <w:r>
              <w:rPr>
                <w:rFonts w:eastAsia="等线" w:ascii="Arial" w:cs="Arial" w:hAnsi="Arial"/>
                <w:sz w:val="22"/>
              </w:rPr>
              <w:t>历史数据分析显示，A级客户30万以下融资的逾期率仅为0.8%，显著低于整体平均水平2.5%</w:t>
            </w:r>
          </w:p>
          <w:p>
            <w:pPr>
              <w:numPr>
                <w:numId w:val="284"/>
              </w:numPr>
              <w:spacing w:before="120" w:after="120" w:line="288" w:lineRule="auto"/>
              <w:ind w:left="0"/>
              <w:jc w:val="left"/>
            </w:pPr>
            <w:r>
              <w:rPr>
                <w:rFonts w:eastAsia="等线" w:ascii="Arial" w:cs="Arial" w:hAnsi="Arial"/>
                <w:sz w:val="22"/>
              </w:rPr>
              <w:t>30万约为A级经销商平均单笔融资额（28.6万）的105%，覆盖其80%以上的融资需求</w:t>
            </w:r>
          </w:p>
          <w:p>
            <w:pPr>
              <w:numPr>
                <w:numId w:val="285"/>
              </w:numPr>
              <w:spacing w:before="120" w:after="120" w:line="288" w:lineRule="auto"/>
              <w:ind w:left="0"/>
              <w:jc w:val="left"/>
            </w:pPr>
            <w:r>
              <w:rPr>
                <w:rFonts w:eastAsia="等线" w:ascii="Arial" w:cs="Arial" w:hAnsi="Arial"/>
                <w:sz w:val="22"/>
              </w:rPr>
              <w:t>即使发生坏账，30万在质押物覆盖下的实际损失风险可控（按70%质押率，质押货值至少42.8万）</w:t>
            </w:r>
          </w:p>
          <w:p>
            <w:pPr>
              <w:spacing w:before="120" w:after="120" w:line="288" w:lineRule="auto"/>
              <w:ind w:left="0"/>
              <w:jc w:val="left"/>
            </w:pPr>
            <w:r>
              <w:rPr>
                <w:rFonts w:eastAsia="等线" w:ascii="Arial" w:cs="Arial" w:hAnsi="Arial"/>
                <w:sz w:val="22"/>
              </w:rPr>
              <w:t>A级客户资质要求：</w:t>
            </w:r>
          </w:p>
          <w:p>
            <w:pPr>
              <w:numPr>
                <w:numId w:val="286"/>
              </w:numPr>
              <w:spacing w:before="120" w:after="120" w:line="288" w:lineRule="auto"/>
              <w:ind w:left="0"/>
              <w:jc w:val="left"/>
            </w:pPr>
            <w:r>
              <w:rPr>
                <w:rFonts w:eastAsia="等线" w:ascii="Arial" w:cs="Arial" w:hAnsi="Arial"/>
                <w:sz w:val="22"/>
              </w:rPr>
              <w:t>与核心企业合作满2年以上，累计采购额达到一定规模</w:t>
            </w:r>
          </w:p>
          <w:p>
            <w:pPr>
              <w:numPr>
                <w:numId w:val="287"/>
              </w:numPr>
              <w:spacing w:before="120" w:after="120" w:line="288" w:lineRule="auto"/>
              <w:ind w:left="0"/>
              <w:jc w:val="left"/>
            </w:pPr>
            <w:r>
              <w:rPr>
                <w:rFonts w:eastAsia="等线" w:ascii="Arial" w:cs="Arial" w:hAnsi="Arial"/>
                <w:sz w:val="22"/>
              </w:rPr>
              <w:t>历史融资无逾期记录或逾期率&lt;1%</w:t>
            </w:r>
          </w:p>
          <w:p>
            <w:pPr>
              <w:numPr>
                <w:numId w:val="288"/>
              </w:numPr>
              <w:spacing w:before="120" w:after="120" w:line="288" w:lineRule="auto"/>
              <w:ind w:left="0"/>
              <w:jc w:val="left"/>
            </w:pPr>
            <w:r>
              <w:rPr>
                <w:rFonts w:eastAsia="等线" w:ascii="Arial" w:cs="Arial" w:hAnsi="Arial"/>
                <w:sz w:val="22"/>
              </w:rPr>
              <w:t>核心企业信用评级在B+及以上</w:t>
            </w:r>
          </w:p>
          <w:p>
            <w:pPr>
              <w:spacing w:before="120" w:after="120" w:line="288" w:lineRule="auto"/>
              <w:ind w:left="0"/>
              <w:jc w:val="left"/>
            </w:pPr>
            <w:r>
              <w:rPr>
                <w:rFonts w:eastAsia="等线" w:ascii="Arial" w:cs="Arial" w:hAnsi="Arial"/>
                <w:sz w:val="22"/>
              </w:rPr>
              <w:t>快速通道的业务价值：A级客户贡献约45%的融资业务量，快速通道使其平均审批时效从4.2小时缩短至1.5小时，提升优质客户粘性的同时，释放审批团队产能处理复杂案件。</w:t>
            </w:r>
          </w:p>
          <w:p>
            <w:pPr>
              <w:numPr>
                <w:numId w:val="289"/>
              </w:numPr>
              <w:spacing w:before="120" w:after="120" w:line="288" w:lineRule="auto"/>
              <w:ind w:left="0"/>
              <w:jc w:val="left"/>
            </w:pPr>
            <w:r>
              <w:rPr>
                <w:rFonts w:eastAsia="等线" w:ascii="Arial" w:cs="Arial" w:hAnsi="Arial"/>
                <w:b w:val="true"/>
                <w:sz w:val="22"/>
              </w:rPr>
              <w:t>标准流程（3级审批）：初审→风控审批→终审</w:t>
            </w:r>
          </w:p>
          <w:p>
            <w:pPr>
              <w:spacing w:before="120" w:after="120" w:line="288" w:lineRule="auto"/>
              <w:ind w:left="0"/>
              <w:jc w:val="left"/>
            </w:pPr>
            <w:r>
              <w:rPr>
                <w:rFonts w:eastAsia="等线" w:ascii="Arial" w:cs="Arial" w:hAnsi="Arial"/>
                <w:sz w:val="22"/>
              </w:rPr>
              <w:t>适用条件：融资金额≤100万（不满足快速通道条件）</w:t>
            </w:r>
          </w:p>
          <w:p>
            <w:pPr>
              <w:spacing w:before="120" w:after="120" w:line="288" w:lineRule="auto"/>
              <w:ind w:left="0"/>
              <w:jc w:val="left"/>
            </w:pPr>
            <w:r>
              <w:rPr>
                <w:rFonts w:eastAsia="等线" w:ascii="Arial" w:cs="Arial" w:hAnsi="Arial"/>
                <w:sz w:val="22"/>
              </w:rPr>
              <w:t>100万元门槛的设定依据：</w:t>
            </w:r>
          </w:p>
          <w:p>
            <w:pPr>
              <w:numPr>
                <w:numId w:val="290"/>
              </w:numPr>
              <w:spacing w:before="120" w:after="120" w:line="288" w:lineRule="auto"/>
              <w:ind w:left="0"/>
              <w:jc w:val="left"/>
            </w:pPr>
            <w:r>
              <w:rPr>
                <w:rFonts w:eastAsia="等线" w:ascii="Arial" w:cs="Arial" w:hAnsi="Arial"/>
                <w:sz w:val="22"/>
              </w:rPr>
              <w:t>100万是中小经销商单笔融资的常见上限，覆盖约85%的融资申请</w:t>
            </w:r>
          </w:p>
          <w:p>
            <w:pPr>
              <w:numPr>
                <w:numId w:val="291"/>
              </w:numPr>
              <w:spacing w:before="120" w:after="120" w:line="288" w:lineRule="auto"/>
              <w:ind w:left="0"/>
              <w:jc w:val="left"/>
            </w:pPr>
            <w:r>
              <w:rPr>
                <w:rFonts w:eastAsia="等线" w:ascii="Arial" w:cs="Arial" w:hAnsi="Arial"/>
                <w:sz w:val="22"/>
              </w:rPr>
              <w:t>行业对标：京东供应链金融、平安银行存货融资的标准审批流程上限均在80-120万区间</w:t>
            </w:r>
          </w:p>
          <w:p>
            <w:pPr>
              <w:numPr>
                <w:numId w:val="292"/>
              </w:numPr>
              <w:spacing w:before="120" w:after="120" w:line="288" w:lineRule="auto"/>
              <w:ind w:left="0"/>
              <w:jc w:val="left"/>
            </w:pPr>
            <w:r>
              <w:rPr>
                <w:rFonts w:eastAsia="等线" w:ascii="Arial" w:cs="Arial" w:hAnsi="Arial"/>
                <w:sz w:val="22"/>
              </w:rPr>
              <w:t>3级流程增加风控审批环节，由专职风控人员对质押物估值、客户征信进行复核，在效率与风险间取得平衡</w:t>
            </w:r>
          </w:p>
          <w:p>
            <w:pPr>
              <w:spacing w:before="120" w:after="120" w:line="288" w:lineRule="auto"/>
              <w:ind w:left="0"/>
              <w:jc w:val="left"/>
            </w:pPr>
            <w:r>
              <w:rPr>
                <w:rFonts w:eastAsia="等线" w:ascii="Arial" w:cs="Arial" w:hAnsi="Arial"/>
                <w:sz w:val="22"/>
              </w:rPr>
              <w:t>风控审批环节的核心职责：</w:t>
            </w:r>
          </w:p>
          <w:p>
            <w:pPr>
              <w:numPr>
                <w:numId w:val="293"/>
              </w:numPr>
              <w:spacing w:before="120" w:after="120" w:line="288" w:lineRule="auto"/>
              <w:ind w:left="0"/>
              <w:jc w:val="left"/>
            </w:pPr>
            <w:r>
              <w:rPr>
                <w:rFonts w:eastAsia="等线" w:ascii="Arial" w:cs="Arial" w:hAnsi="Arial"/>
                <w:sz w:val="22"/>
              </w:rPr>
              <w:t>质押物估值复核：确认价格计算是否准确，品类风险是否充分考量</w:t>
            </w:r>
          </w:p>
          <w:p>
            <w:pPr>
              <w:numPr>
                <w:numId w:val="294"/>
              </w:numPr>
              <w:spacing w:before="120" w:after="120" w:line="288" w:lineRule="auto"/>
              <w:ind w:left="0"/>
              <w:jc w:val="left"/>
            </w:pPr>
            <w:r>
              <w:rPr>
                <w:rFonts w:eastAsia="等线" w:ascii="Arial" w:cs="Arial" w:hAnsi="Arial"/>
                <w:sz w:val="22"/>
              </w:rPr>
              <w:t>客户资质交叉验证：核对征信报告、核心企业评价、历史表现的一致性</w:t>
            </w:r>
          </w:p>
          <w:p>
            <w:pPr>
              <w:numPr>
                <w:numId w:val="295"/>
              </w:numPr>
              <w:spacing w:before="120" w:after="120" w:line="288" w:lineRule="auto"/>
              <w:ind w:left="0"/>
              <w:jc w:val="left"/>
            </w:pPr>
            <w:r>
              <w:rPr>
                <w:rFonts w:eastAsia="等线" w:ascii="Arial" w:cs="Arial" w:hAnsi="Arial"/>
                <w:sz w:val="22"/>
              </w:rPr>
              <w:t>授信余额检查：确认本笔融资不超过客户总授信额度</w:t>
            </w:r>
          </w:p>
          <w:p>
            <w:pPr>
              <w:numPr>
                <w:numId w:val="296"/>
              </w:numPr>
              <w:spacing w:before="120" w:after="120" w:line="288" w:lineRule="auto"/>
              <w:ind w:left="0"/>
              <w:jc w:val="left"/>
            </w:pPr>
            <w:r>
              <w:rPr>
                <w:rFonts w:eastAsia="等线" w:ascii="Arial" w:cs="Arial" w:hAnsi="Arial"/>
                <w:b w:val="true"/>
                <w:sz w:val="22"/>
              </w:rPr>
              <w:t>加强流程（5级审批）：初审→实地核查→风控审批→高管审批→终审</w:t>
            </w:r>
          </w:p>
          <w:p>
            <w:pPr>
              <w:spacing w:before="120" w:after="120" w:line="288" w:lineRule="auto"/>
              <w:ind w:left="0"/>
              <w:jc w:val="left"/>
            </w:pPr>
            <w:r>
              <w:rPr>
                <w:rFonts w:eastAsia="等线" w:ascii="Arial" w:cs="Arial" w:hAnsi="Arial"/>
                <w:sz w:val="22"/>
              </w:rPr>
              <w:t xml:space="preserve">适用条件：融资金额&gt;100万 </w:t>
            </w:r>
            <w:r>
              <w:rPr>
                <w:rFonts w:eastAsia="等线" w:ascii="Arial" w:cs="Arial" w:hAnsi="Arial"/>
                <w:b w:val="true"/>
                <w:sz w:val="22"/>
              </w:rPr>
              <w:t>或</w:t>
            </w:r>
            <w:r>
              <w:rPr>
                <w:rFonts w:eastAsia="等线" w:ascii="Arial" w:cs="Arial" w:hAnsi="Arial"/>
                <w:sz w:val="22"/>
              </w:rPr>
              <w:t xml:space="preserve"> 核心企业标注风险</w:t>
            </w:r>
          </w:p>
          <w:p>
            <w:pPr>
              <w:spacing w:before="120" w:after="120" w:line="288" w:lineRule="auto"/>
              <w:ind w:left="0"/>
              <w:jc w:val="left"/>
            </w:pPr>
            <w:r>
              <w:rPr>
                <w:rFonts w:eastAsia="等线" w:ascii="Arial" w:cs="Arial" w:hAnsi="Arial"/>
                <w:sz w:val="22"/>
              </w:rPr>
              <w:t>大额业务（&gt;100万）强化控制的原因：</w:t>
            </w:r>
          </w:p>
          <w:p>
            <w:pPr>
              <w:numPr>
                <w:numId w:val="297"/>
              </w:numPr>
              <w:spacing w:before="120" w:after="120" w:line="288" w:lineRule="auto"/>
              <w:ind w:left="0"/>
              <w:jc w:val="left"/>
            </w:pPr>
            <w:r>
              <w:rPr>
                <w:rFonts w:eastAsia="等线" w:ascii="Arial" w:cs="Arial" w:hAnsi="Arial"/>
                <w:sz w:val="22"/>
              </w:rPr>
              <w:t>100万以上融资占比约15%，但金额占比达40%，单笔风险敞口大</w:t>
            </w:r>
          </w:p>
          <w:p>
            <w:pPr>
              <w:numPr>
                <w:numId w:val="298"/>
              </w:numPr>
              <w:spacing w:before="120" w:after="120" w:line="288" w:lineRule="auto"/>
              <w:ind w:left="0"/>
              <w:jc w:val="left"/>
            </w:pPr>
            <w:r>
              <w:rPr>
                <w:rFonts w:eastAsia="等线" w:ascii="Arial" w:cs="Arial" w:hAnsi="Arial"/>
                <w:sz w:val="22"/>
              </w:rPr>
              <w:t>历史数据显示，100万以上融资逾期率为3.2%，高于整体平均水平，需更严格把控</w:t>
            </w:r>
          </w:p>
          <w:p>
            <w:pPr>
              <w:numPr>
                <w:numId w:val="299"/>
              </w:numPr>
              <w:spacing w:before="120" w:after="120" w:line="288" w:lineRule="auto"/>
              <w:ind w:left="0"/>
              <w:jc w:val="left"/>
            </w:pPr>
            <w:r>
              <w:rPr>
                <w:rFonts w:eastAsia="等线" w:ascii="Arial" w:cs="Arial" w:hAnsi="Arial"/>
                <w:sz w:val="22"/>
              </w:rPr>
              <w:t>实地核查确保质押物真实存在、状态与申报一致，防范虚假融资</w:t>
            </w:r>
          </w:p>
          <w:p>
            <w:pPr>
              <w:spacing w:before="120" w:after="120" w:line="288" w:lineRule="auto"/>
              <w:ind w:left="0"/>
              <w:jc w:val="left"/>
            </w:pPr>
            <w:r>
              <w:rPr>
                <w:rFonts w:eastAsia="等线" w:ascii="Arial" w:cs="Arial" w:hAnsi="Arial"/>
                <w:sz w:val="22"/>
              </w:rPr>
              <w:t>核心企业标注风险触发加强流程的原因：</w:t>
            </w:r>
          </w:p>
          <w:p>
            <w:pPr>
              <w:numPr>
                <w:numId w:val="300"/>
              </w:numPr>
              <w:spacing w:before="120" w:after="120" w:line="288" w:lineRule="auto"/>
              <w:ind w:left="0"/>
              <w:jc w:val="left"/>
            </w:pPr>
            <w:r>
              <w:rPr>
                <w:rFonts w:eastAsia="等线" w:ascii="Arial" w:cs="Arial" w:hAnsi="Arial"/>
                <w:sz w:val="22"/>
              </w:rPr>
              <w:t>核心企业掌握经销商真实经营状况的第一手信息（回款异常、串货、销售下滑等）</w:t>
            </w:r>
          </w:p>
          <w:p>
            <w:pPr>
              <w:numPr>
                <w:numId w:val="301"/>
              </w:numPr>
              <w:spacing w:before="120" w:after="120" w:line="288" w:lineRule="auto"/>
              <w:ind w:left="0"/>
              <w:jc w:val="left"/>
            </w:pPr>
            <w:r>
              <w:rPr>
                <w:rFonts w:eastAsia="等线" w:ascii="Arial" w:cs="Arial" w:hAnsi="Arial"/>
                <w:sz w:val="22"/>
              </w:rPr>
              <w:t>核心企业主动预警意味着其对该经销商的信心下降，信用背书效力减弱</w:t>
            </w:r>
          </w:p>
          <w:p>
            <w:pPr>
              <w:numPr>
                <w:numId w:val="302"/>
              </w:numPr>
              <w:spacing w:before="120" w:after="120" w:line="288" w:lineRule="auto"/>
              <w:ind w:left="0"/>
              <w:jc w:val="left"/>
            </w:pPr>
            <w:r>
              <w:rPr>
                <w:rFonts w:eastAsia="等线" w:ascii="Arial" w:cs="Arial" w:hAnsi="Arial"/>
                <w:sz w:val="22"/>
              </w:rPr>
              <w:t>即使金额较小，风险信号已明确，必须谨慎处理</w:t>
            </w:r>
          </w:p>
        </w:tc>
      </w:tr>
    </w:tbl>
    <w:p>
      <w:pPr>
        <w:spacing w:before="120" w:after="120" w:line="288" w:lineRule="auto"/>
        <w:ind w:left="0"/>
        <w:jc w:val="left"/>
      </w:pPr>
      <w:r>
        <w:rPr>
          <w:rFonts w:eastAsia="等线" w:ascii="Arial" w:cs="Arial" w:hAnsi="Arial"/>
          <w:sz w:val="22"/>
        </w:rPr>
        <w:t>各环节设置的必要性：</w:t>
      </w:r>
    </w:p>
    <w:p>
      <w:pPr>
        <w:spacing w:before="120" w:after="120" w:line="288" w:lineRule="auto"/>
        <w:ind w:left="0"/>
      </w:pPr>
      <w:r>
        <w:object>
          <v:shape id="_x0000_i1031" style="width:414pt;height:197pt;mso-width-percent:0;mso-height-percent:0;mso-width-percent:0;mso-height-percent:0" type="#_x0000_t75" o:ole="">
            <v:imagedata r:id="rId24" o:title=""/>
          </v:shape>
          <o:OLEObject DrawAspect="Icon" ObjectID="_1718471225" ProgID="Excel.Sheet.12" ShapeID="_x0000_i1031"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设计原则总结</w:t>
      </w:r>
    </w:p>
    <w:p>
      <w:pPr>
        <w:spacing w:before="120" w:after="120" w:line="288" w:lineRule="auto"/>
        <w:ind w:left="0"/>
        <w:jc w:val="left"/>
      </w:pPr>
      <w:r>
        <w:rPr>
          <w:rFonts w:eastAsia="等线" w:ascii="Arial" w:cs="Arial" w:hAnsi="Arial"/>
          <w:sz w:val="22"/>
        </w:rPr>
        <w:t>平台审批流程遵循"信任分层、动态适配"原则：</w:t>
      </w:r>
    </w:p>
    <w:p>
      <w:pPr>
        <w:numPr>
          <w:numId w:val="303"/>
        </w:numPr>
        <w:spacing w:before="120" w:after="120" w:line="288" w:lineRule="auto"/>
        <w:ind w:left="0"/>
        <w:jc w:val="left"/>
      </w:pPr>
      <w:r>
        <w:rPr>
          <w:rFonts w:eastAsia="等线" w:ascii="Arial" w:cs="Arial" w:hAnsi="Arial"/>
          <w:b w:val="true"/>
          <w:sz w:val="22"/>
        </w:rPr>
        <w:t>对优质客户给予信任</w:t>
      </w:r>
      <w:r>
        <w:rPr>
          <w:rFonts w:eastAsia="等线" w:ascii="Arial" w:cs="Arial" w:hAnsi="Arial"/>
          <w:sz w:val="22"/>
        </w:rPr>
        <w:t>：A级客户用历史良好表现换取审批便利，形成正向激励</w:t>
      </w:r>
    </w:p>
    <w:p>
      <w:pPr>
        <w:numPr>
          <w:numId w:val="304"/>
        </w:numPr>
        <w:spacing w:before="120" w:after="120" w:line="288" w:lineRule="auto"/>
        <w:ind w:left="0"/>
        <w:jc w:val="left"/>
      </w:pPr>
      <w:r>
        <w:rPr>
          <w:rFonts w:eastAsia="等线" w:ascii="Arial" w:cs="Arial" w:hAnsi="Arial"/>
          <w:b w:val="true"/>
          <w:sz w:val="22"/>
        </w:rPr>
        <w:t>对大额业务保持审慎</w:t>
      </w:r>
      <w:r>
        <w:rPr>
          <w:rFonts w:eastAsia="等线" w:ascii="Arial" w:cs="Arial" w:hAnsi="Arial"/>
          <w:sz w:val="22"/>
        </w:rPr>
        <w:t>：金额越大，审批越严格，风险敞口与控制力度匹配</w:t>
      </w:r>
    </w:p>
    <w:p>
      <w:pPr>
        <w:numPr>
          <w:numId w:val="305"/>
        </w:numPr>
        <w:spacing w:before="120" w:after="120" w:line="288" w:lineRule="auto"/>
        <w:ind w:left="0"/>
        <w:jc w:val="left"/>
      </w:pPr>
      <w:r>
        <w:rPr>
          <w:rFonts w:eastAsia="等线" w:ascii="Arial" w:cs="Arial" w:hAnsi="Arial"/>
          <w:b w:val="true"/>
          <w:sz w:val="22"/>
        </w:rPr>
        <w:t>对风险信号快速响应</w:t>
      </w:r>
      <w:r>
        <w:rPr>
          <w:rFonts w:eastAsia="等线" w:ascii="Arial" w:cs="Arial" w:hAnsi="Arial"/>
          <w:sz w:val="22"/>
        </w:rPr>
        <w:t>：核心企业预警直接触发最高级别审批，体现"信息驱动风控"理念</w:t>
      </w:r>
    </w:p>
    <w:p>
      <w:pPr>
        <w:spacing w:before="120" w:after="120" w:line="288" w:lineRule="auto"/>
        <w:ind w:left="0"/>
        <w:jc w:val="left"/>
      </w:pPr>
      <w:r>
        <w:rPr>
          <w:rFonts w:eastAsia="等线" w:ascii="Arial" w:cs="Arial" w:hAnsi="Arial"/>
          <w:b w:val="true"/>
          <w:color w:val="d83931"/>
          <w:sz w:val="22"/>
          <w:shd w:fill="fff67a"/>
        </w:rPr>
        <w:t>环节5：智能分配</w:t>
      </w:r>
    </w:p>
    <w:p>
      <w:pPr>
        <w:numPr>
          <w:numId w:val="306"/>
        </w:numPr>
        <w:spacing w:before="120" w:after="120" w:line="288" w:lineRule="auto"/>
        <w:ind w:left="0"/>
        <w:jc w:val="left"/>
      </w:pPr>
      <w:r>
        <w:rPr>
          <w:rFonts w:eastAsia="等线" w:ascii="Arial" w:cs="Arial" w:hAnsi="Arial"/>
          <w:sz w:val="22"/>
        </w:rPr>
        <w:t>根据审批人员的业务负载、专业领域自动分配</w:t>
      </w:r>
    </w:p>
    <w:p>
      <w:pPr>
        <w:numPr>
          <w:numId w:val="307"/>
        </w:numPr>
        <w:spacing w:before="120" w:after="120" w:line="288" w:lineRule="auto"/>
        <w:ind w:left="0"/>
        <w:jc w:val="left"/>
      </w:pPr>
      <w:r>
        <w:rPr>
          <w:rFonts w:eastAsia="等线" w:ascii="Arial" w:cs="Arial" w:hAnsi="Arial"/>
          <w:sz w:val="22"/>
        </w:rPr>
        <w:t>支持轮询、按客户归属、按品类归属等多种分配策略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满足期望：核心企业风险预警及时联动，高风险业务自动强管控</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38" w:id="38"/>
      <w:r>
        <w:rPr>
          <w:rFonts w:eastAsia="等线" w:ascii="Arial" w:cs="Arial" w:hAnsi="Arial"/>
          <w:color w:val="3370ff"/>
          <w:sz w:val="24"/>
        </w:rPr>
        <w:t xml:space="preserve">3.2.4.1.3 </w:t>
      </w:r>
      <w:r>
        <w:rPr>
          <w:rFonts w:eastAsia="等线" w:ascii="Arial" w:cs="Arial" w:hAnsi="Arial"/>
          <w:b w:val="true"/>
          <w:sz w:val="24"/>
        </w:rPr>
        <w:t>关键页面原型</w:t>
      </w:r>
      <w:bookmarkEnd w:id="38"/>
    </w:p>
    <w:p>
      <w:pPr>
        <w:spacing w:before="120" w:after="120" w:line="288" w:lineRule="auto"/>
        <w:ind w:left="0"/>
        <w:jc w:val="left"/>
      </w:pPr>
      <w:r>
        <w:rPr>
          <w:rFonts w:eastAsia="等线" w:ascii="Arial" w:cs="Arial" w:hAnsi="Arial"/>
          <w:b w:val="true"/>
          <w:sz w:val="22"/>
        </w:rPr>
        <w:t>【页面1：集成化审批页】</w:t>
      </w:r>
    </w:p>
    <w:p>
      <w:pPr>
        <w:spacing w:before="120" w:after="120" w:line="288" w:lineRule="auto"/>
        <w:ind w:left="0"/>
        <w:jc w:val="center"/>
      </w:pPr>
      <w:r>
        <w:drawing>
          <wp:inline distT="0" distR="0" distB="0" distL="0">
            <wp:extent cx="5257800" cy="31146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25"/>
                    <a:stretch>
                      <a:fillRect/>
                    </a:stretch>
                  </pic:blipFill>
                  <pic:spPr>
                    <a:xfrm>
                      <a:off x="0" y="0"/>
                      <a:ext cx="5257800" cy="3114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页面作用：审批人员进行融资终审的核心决策页面，所有信息一页集成。</w:t>
      </w:r>
    </w:p>
    <w:p>
      <w:pPr>
        <w:spacing w:before="120" w:after="120" w:line="288" w:lineRule="auto"/>
        <w:ind w:left="0"/>
        <w:jc w:val="left"/>
      </w:pPr>
      <w:r>
        <w:rPr>
          <w:rFonts w:eastAsia="等线" w:ascii="Arial" w:cs="Arial" w:hAnsi="Arial"/>
          <w:sz w:val="22"/>
        </w:rPr>
        <w:t>重点设计：</w:t>
      </w:r>
    </w:p>
    <w:p>
      <w:pPr>
        <w:numPr>
          <w:numId w:val="308"/>
        </w:numPr>
        <w:spacing w:before="120" w:after="120" w:line="288" w:lineRule="auto"/>
        <w:ind w:left="0"/>
        <w:jc w:val="left"/>
      </w:pPr>
      <w:r>
        <w:rPr>
          <w:rFonts w:eastAsia="等线" w:ascii="Arial" w:cs="Arial" w:hAnsi="Arial"/>
          <w:b w:val="true"/>
          <w:sz w:val="22"/>
        </w:rPr>
        <w:t>核心企业信息突出展示</w:t>
      </w:r>
      <w:r>
        <w:rPr>
          <w:rFonts w:eastAsia="等线" w:ascii="Arial" w:cs="Arial" w:hAnsi="Arial"/>
          <w:sz w:val="22"/>
        </w:rPr>
        <w:t>：紫色高亮区块置于页面上部，展示核心企业等级、推荐质量、对经销商的信用评价、风险预警状态</w:t>
      </w:r>
    </w:p>
    <w:p>
      <w:pPr>
        <w:numPr>
          <w:numId w:val="309"/>
        </w:numPr>
        <w:spacing w:before="120" w:after="120" w:line="288" w:lineRule="auto"/>
        <w:ind w:left="453"/>
        <w:jc w:val="left"/>
      </w:pPr>
      <w:r>
        <w:rPr>
          <w:rFonts w:eastAsia="等线" w:ascii="Arial" w:cs="Arial" w:hAnsi="Arial"/>
          <w:b w:val="true"/>
          <w:sz w:val="22"/>
        </w:rPr>
        <w:t>推荐等级（S/A/B/C）</w:t>
      </w:r>
      <w:r>
        <w:rPr>
          <w:rFonts w:eastAsia="等线" w:ascii="Arial" w:cs="Arial" w:hAnsi="Arial"/>
          <w:sz w:val="22"/>
        </w:rPr>
        <w:t>：S/A级推荐可信度高，B/C级需谨慎</w:t>
      </w:r>
    </w:p>
    <w:p>
      <w:pPr>
        <w:numPr>
          <w:numId w:val="310"/>
        </w:numPr>
        <w:spacing w:before="120" w:after="120" w:line="288" w:lineRule="auto"/>
        <w:ind w:left="453"/>
        <w:jc w:val="left"/>
      </w:pPr>
      <w:r>
        <w:rPr>
          <w:rFonts w:eastAsia="等线" w:ascii="Arial" w:cs="Arial" w:hAnsi="Arial"/>
          <w:b w:val="true"/>
          <w:sz w:val="22"/>
        </w:rPr>
        <w:t>推荐质量（通过率/逾期率）</w:t>
      </w:r>
      <w:r>
        <w:rPr>
          <w:rFonts w:eastAsia="等线" w:ascii="Arial" w:cs="Arial" w:hAnsi="Arial"/>
          <w:sz w:val="22"/>
        </w:rPr>
        <w:t>：通过率&lt;80%或逾期率&gt;3%时黄色预警</w:t>
      </w:r>
    </w:p>
    <w:p>
      <w:pPr>
        <w:numPr>
          <w:numId w:val="311"/>
        </w:numPr>
        <w:spacing w:before="120" w:after="120" w:line="288" w:lineRule="auto"/>
        <w:ind w:left="453"/>
        <w:jc w:val="left"/>
      </w:pPr>
      <w:r>
        <w:rPr>
          <w:rFonts w:eastAsia="等线" w:ascii="Arial" w:cs="Arial" w:hAnsi="Arial"/>
          <w:b w:val="true"/>
          <w:sz w:val="22"/>
        </w:rPr>
        <w:t>经销商信用评级（核心企业评定）</w:t>
      </w:r>
      <w:r>
        <w:rPr>
          <w:rFonts w:eastAsia="等线" w:ascii="Arial" w:cs="Arial" w:hAnsi="Arial"/>
          <w:sz w:val="22"/>
        </w:rPr>
        <w:t>：A+/A/B/C四档，低于B时系统提示"核心企业评价较低，建议谨慎"</w:t>
      </w:r>
    </w:p>
    <w:p>
      <w:pPr>
        <w:numPr>
          <w:numId w:val="312"/>
        </w:numPr>
        <w:spacing w:before="120" w:after="120" w:line="288" w:lineRule="auto"/>
        <w:ind w:left="453"/>
        <w:jc w:val="left"/>
      </w:pPr>
      <w:r>
        <w:rPr>
          <w:rFonts w:eastAsia="等线" w:ascii="Arial" w:cs="Arial" w:hAnsi="Arial"/>
          <w:b w:val="true"/>
          <w:sz w:val="22"/>
        </w:rPr>
        <w:t>风险预警状态</w:t>
      </w:r>
      <w:r>
        <w:rPr>
          <w:rFonts w:eastAsia="等线" w:ascii="Arial" w:cs="Arial" w:hAnsi="Arial"/>
          <w:sz w:val="22"/>
        </w:rPr>
        <w:t>：展示核心企业推送的实时预警（串货、销售下滑、付款异常等），有预警时红色高亮并阻断自动审批</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决策权重建议：核心企业信息占决策权重约40%（历史数据显示，S级核心企业推荐的A+经销商逾期率仅0.8%，而C级核心企业推荐的B级经销商逾期率达6.2%）</w:t>
            </w:r>
          </w:p>
        </w:tc>
      </w:tr>
    </w:tbl>
    <w:p>
      <w:pPr>
        <w:numPr>
          <w:numId w:val="313"/>
        </w:numPr>
        <w:spacing w:before="120" w:after="120" w:line="288" w:lineRule="auto"/>
        <w:ind w:left="0"/>
        <w:jc w:val="left"/>
      </w:pPr>
      <w:r>
        <w:rPr>
          <w:rFonts w:eastAsia="等线" w:ascii="Arial" w:cs="Arial" w:hAnsi="Arial"/>
          <w:b w:val="true"/>
          <w:sz w:val="22"/>
        </w:rPr>
        <w:t>风险预警联动</w:t>
      </w:r>
      <w:r>
        <w:rPr>
          <w:rFonts w:eastAsia="等线" w:ascii="Arial" w:cs="Arial" w:hAnsi="Arial"/>
          <w:sz w:val="22"/>
        </w:rPr>
        <w:t>：实时显示核心企业推送的经销商异常预警（串货、销售下滑等），有预警时红色高亮提示</w:t>
      </w:r>
    </w:p>
    <w:p>
      <w:pPr>
        <w:numPr>
          <w:numId w:val="314"/>
        </w:numPr>
        <w:spacing w:before="120" w:after="120" w:line="288" w:lineRule="auto"/>
        <w:ind w:left="0"/>
        <w:jc w:val="left"/>
      </w:pPr>
      <w:r>
        <w:rPr>
          <w:rFonts w:eastAsia="等线" w:ascii="Arial" w:cs="Arial" w:hAnsi="Arial"/>
          <w:b w:val="true"/>
          <w:sz w:val="22"/>
        </w:rPr>
        <w:t>历史表现可视化</w:t>
      </w:r>
      <w:r>
        <w:rPr>
          <w:rFonts w:eastAsia="等线" w:ascii="Arial" w:cs="Arial" w:hAnsi="Arial"/>
          <w:sz w:val="22"/>
        </w:rPr>
        <w:t>：融资笔数、累计金额、逾期率一目了然，零逾期客户绿色标签突出</w:t>
      </w:r>
    </w:p>
    <w:p>
      <w:pPr>
        <w:numPr>
          <w:numId w:val="315"/>
        </w:numPr>
        <w:spacing w:before="120" w:after="120" w:line="288" w:lineRule="auto"/>
        <w:ind w:left="0"/>
        <w:jc w:val="left"/>
      </w:pPr>
      <w:r>
        <w:rPr>
          <w:rFonts w:eastAsia="等线" w:ascii="Arial" w:cs="Arial" w:hAnsi="Arial"/>
          <w:b w:val="true"/>
          <w:sz w:val="22"/>
        </w:rPr>
        <w:t>综合风险评分</w:t>
      </w:r>
      <w:r>
        <w:rPr>
          <w:rFonts w:eastAsia="等线" w:ascii="Arial" w:cs="Arial" w:hAnsi="Arial"/>
          <w:sz w:val="22"/>
        </w:rPr>
        <w:t>：多维度评估可视化（客户资质、核心企业背书、历史表现、质押物、市场风险），自动计算综合评分</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风险评分见</w:t>
            </w:r>
            <w:hyperlink r:id="rId26">
              <w:r>
                <w:rPr>
                  <w:rFonts w:eastAsia="等线" w:ascii="Arial" w:cs="Arial" w:hAnsi="Arial"/>
                  <w:color w:val="3370ff"/>
                  <w:sz w:val="22"/>
                </w:rPr>
                <w:t>3.2.4.1.5 综合风险评分模型</w:t>
              </w:r>
            </w:hyperlink>
          </w:p>
        </w:tc>
      </w:tr>
    </w:tbl>
    <w:p>
      <w:pPr>
        <w:numPr>
          <w:numId w:val="316"/>
        </w:numPr>
        <w:spacing w:before="120" w:after="120" w:line="288" w:lineRule="auto"/>
        <w:ind w:left="0"/>
        <w:jc w:val="left"/>
      </w:pPr>
      <w:r>
        <w:rPr>
          <w:rFonts w:eastAsia="等线" w:ascii="Arial" w:cs="Arial" w:hAnsi="Arial"/>
          <w:b w:val="true"/>
          <w:sz w:val="22"/>
        </w:rPr>
        <w:t>系统智能建议</w:t>
      </w:r>
      <w:r>
        <w:rPr>
          <w:rFonts w:eastAsia="等线" w:ascii="Arial" w:cs="Arial" w:hAnsi="Arial"/>
          <w:sz w:val="22"/>
        </w:rPr>
        <w:t>：基于风险评分和业务规则，自动给出"通过/驳回"建议及理由</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满足期望：核心企业推荐是平台差异化优势，审批时需重点参考；一页式设计避免在多系统间切换，将审批时效从2.5天缩短至1天；审批决策质量提升，审批通过后逾期率从3.2%降至1.5%</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39" w:id="39"/>
      <w:r>
        <w:rPr>
          <w:rFonts w:eastAsia="等线" w:ascii="Arial" w:cs="Arial" w:hAnsi="Arial"/>
          <w:color w:val="3370ff"/>
          <w:sz w:val="24"/>
        </w:rPr>
        <w:t xml:space="preserve">3.2.4.1.4 </w:t>
      </w:r>
      <w:r>
        <w:rPr>
          <w:rFonts w:eastAsia="等线" w:ascii="Arial" w:cs="Arial" w:hAnsi="Arial"/>
          <w:b w:val="true"/>
          <w:sz w:val="24"/>
        </w:rPr>
        <w:t>审批效率提升策略</w:t>
      </w:r>
      <w:bookmarkEnd w:id="39"/>
    </w:p>
    <w:p>
      <w:pPr>
        <w:spacing w:before="120" w:after="120" w:line="288" w:lineRule="auto"/>
        <w:ind w:left="0"/>
        <w:jc w:val="left"/>
      </w:pPr>
      <w:r>
        <w:rPr>
          <w:rFonts w:eastAsia="等线" w:ascii="Arial" w:cs="Arial" w:hAnsi="Arial"/>
          <w:b w:val="true"/>
          <w:sz w:val="22"/>
        </w:rPr>
        <w:t>策略1：分级授权，快速响应</w:t>
      </w:r>
    </w:p>
    <w:p>
      <w:pPr>
        <w:spacing w:before="120" w:after="120" w:line="288" w:lineRule="auto"/>
        <w:ind w:left="0"/>
      </w:pPr>
      <w:r>
        <w:object>
          <v:shape id="_x0000_i1032" style="width:414pt;height:123pt;mso-width-percent:0;mso-height-percent:0;mso-width-percent:0;mso-height-percent:0" type="#_x0000_t75" o:ole="">
            <v:imagedata r:id="rId28" o:title=""/>
          </v:shape>
          <o:OLEObject DrawAspect="Icon" ObjectID="_1718471226" ProgID="Excel.Sheet.12" ShapeID="_x0000_i1032" Type="Embed" r:id="rId2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策略2：审批质量管理制度</w:t>
      </w:r>
    </w:p>
    <w:p>
      <w:pPr>
        <w:spacing w:before="120" w:after="120" w:line="288" w:lineRule="auto"/>
        <w:ind w:left="0"/>
        <w:jc w:val="left"/>
      </w:pPr>
      <w:r>
        <w:rPr>
          <w:rFonts w:eastAsia="等线" w:ascii="Arial" w:cs="Arial" w:hAnsi="Arial"/>
          <w:b w:val="true"/>
          <w:sz w:val="22"/>
        </w:rPr>
        <w:t>审批人员考核指标</w:t>
      </w:r>
      <w:r>
        <w:rPr>
          <w:rFonts w:eastAsia="等线" w:ascii="Arial" w:cs="Arial" w:hAnsi="Arial"/>
          <w:sz w:val="22"/>
        </w:rPr>
        <w:t>：</w:t>
      </w:r>
    </w:p>
    <w:p>
      <w:pPr>
        <w:numPr>
          <w:numId w:val="317"/>
        </w:numPr>
        <w:spacing w:before="120" w:after="120" w:line="288" w:lineRule="auto"/>
        <w:ind w:left="0"/>
        <w:jc w:val="left"/>
      </w:pPr>
      <w:r>
        <w:rPr>
          <w:rFonts w:eastAsia="等线" w:ascii="Arial" w:cs="Arial" w:hAnsi="Arial"/>
          <w:sz w:val="22"/>
        </w:rPr>
        <w:t>审批及时率（≥95%）</w:t>
      </w:r>
    </w:p>
    <w:p>
      <w:pPr>
        <w:numPr>
          <w:numId w:val="318"/>
        </w:numPr>
        <w:spacing w:before="120" w:after="120" w:line="288" w:lineRule="auto"/>
        <w:ind w:left="0"/>
        <w:jc w:val="left"/>
      </w:pPr>
      <w:r>
        <w:rPr>
          <w:rFonts w:eastAsia="等线" w:ascii="Arial" w:cs="Arial" w:hAnsi="Arial"/>
          <w:sz w:val="22"/>
        </w:rPr>
        <w:t>审批准确率（驳回后重新通过率≤5%）</w:t>
      </w:r>
    </w:p>
    <w:p>
      <w:pPr>
        <w:numPr>
          <w:numId w:val="319"/>
        </w:numPr>
        <w:spacing w:before="120" w:after="120" w:line="288" w:lineRule="auto"/>
        <w:ind w:left="0"/>
        <w:jc w:val="left"/>
      </w:pPr>
      <w:r>
        <w:rPr>
          <w:rFonts w:eastAsia="等线" w:ascii="Arial" w:cs="Arial" w:hAnsi="Arial"/>
          <w:sz w:val="22"/>
        </w:rPr>
        <w:t>审批通过后逾期率（≤3%）</w:t>
      </w:r>
    </w:p>
    <w:p>
      <w:pPr>
        <w:spacing w:before="120" w:after="120" w:line="288" w:lineRule="auto"/>
        <w:ind w:left="0"/>
        <w:jc w:val="left"/>
      </w:pPr>
      <w:r>
        <w:rPr>
          <w:rFonts w:eastAsia="等线" w:ascii="Arial" w:cs="Arial" w:hAnsi="Arial"/>
          <w:b w:val="true"/>
          <w:sz w:val="22"/>
        </w:rPr>
        <w:t>审批质量追溯</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IF 审批通过的业务发生逾期 THEN</w:t>
              <w:br/>
              <w:t xml:space="preserve">    系统自动关联原审批记录</w:t>
              <w:br/>
              <w:t xml:space="preserve">    标注审批人员和审批时决策依据</w:t>
              <w:br/>
              <w:t xml:space="preserve">    纳入审批人员质量评估</w:t>
              <w:br/>
              <w:t xml:space="preserve">    连续3笔逾期 → 触发审批权限复核</w:t>
              <w:br/>
            </w:r>
            <w:r>
              <w:rPr>
                <w:rFonts w:eastAsia="Consolas" w:ascii="Consolas" w:cs="Consolas" w:hAnsi="Consolas"/>
                <w:sz w:val="22"/>
              </w:rPr>
              <w:t>END IF</w:t>
            </w:r>
          </w:p>
        </w:tc>
      </w:tr>
    </w:tbl>
    <w:p>
      <w:pPr>
        <w:spacing w:before="120" w:after="120" w:line="288" w:lineRule="auto"/>
        <w:ind w:left="0"/>
        <w:jc w:val="left"/>
      </w:pPr>
      <w:r>
        <w:rPr>
          <w:rFonts w:eastAsia="等线" w:ascii="Arial" w:cs="Arial" w:hAnsi="Arial"/>
          <w:b w:val="true"/>
          <w:sz w:val="22"/>
        </w:rPr>
        <w:t>策略3：审批经验沉淀</w:t>
      </w:r>
    </w:p>
    <w:p>
      <w:pPr>
        <w:spacing w:before="120" w:after="120" w:line="288" w:lineRule="auto"/>
        <w:ind w:left="0"/>
        <w:jc w:val="left"/>
      </w:pPr>
      <w:r>
        <w:rPr>
          <w:rFonts w:eastAsia="等线" w:ascii="Arial" w:cs="Arial" w:hAnsi="Arial"/>
          <w:sz w:val="22"/>
        </w:rPr>
        <w:t>建立审批案例库：</w:t>
      </w:r>
    </w:p>
    <w:p>
      <w:pPr>
        <w:numPr>
          <w:numId w:val="320"/>
        </w:numPr>
        <w:spacing w:before="120" w:after="120" w:line="288" w:lineRule="auto"/>
        <w:ind w:left="0"/>
        <w:jc w:val="left"/>
      </w:pPr>
      <w:r>
        <w:rPr>
          <w:rFonts w:eastAsia="等线" w:ascii="Arial" w:cs="Arial" w:hAnsi="Arial"/>
          <w:b w:val="true"/>
          <w:sz w:val="22"/>
        </w:rPr>
        <w:t>优秀案例</w:t>
      </w:r>
      <w:r>
        <w:rPr>
          <w:rFonts w:eastAsia="等线" w:ascii="Arial" w:cs="Arial" w:hAnsi="Arial"/>
          <w:sz w:val="22"/>
        </w:rPr>
        <w:t>：审批通过且还款良好的业务，提炼决策要点</w:t>
      </w:r>
    </w:p>
    <w:p>
      <w:pPr>
        <w:numPr>
          <w:numId w:val="321"/>
        </w:numPr>
        <w:spacing w:before="120" w:after="120" w:line="288" w:lineRule="auto"/>
        <w:ind w:left="0"/>
        <w:jc w:val="left"/>
      </w:pPr>
      <w:r>
        <w:rPr>
          <w:rFonts w:eastAsia="等线" w:ascii="Arial" w:cs="Arial" w:hAnsi="Arial"/>
          <w:b w:val="true"/>
          <w:sz w:val="22"/>
        </w:rPr>
        <w:t>问题案例</w:t>
      </w:r>
      <w:r>
        <w:rPr>
          <w:rFonts w:eastAsia="等线" w:ascii="Arial" w:cs="Arial" w:hAnsi="Arial"/>
          <w:sz w:val="22"/>
        </w:rPr>
        <w:t>：审批通过但后续逾期的业务，分析决策失误</w:t>
      </w:r>
    </w:p>
    <w:p>
      <w:pPr>
        <w:numPr>
          <w:numId w:val="322"/>
        </w:numPr>
        <w:spacing w:before="120" w:after="120" w:line="288" w:lineRule="auto"/>
        <w:ind w:left="0"/>
        <w:jc w:val="left"/>
      </w:pPr>
      <w:r>
        <w:rPr>
          <w:rFonts w:eastAsia="等线" w:ascii="Arial" w:cs="Arial" w:hAnsi="Arial"/>
          <w:b w:val="true"/>
          <w:sz w:val="22"/>
        </w:rPr>
        <w:t>争议案例</w:t>
      </w:r>
      <w:r>
        <w:rPr>
          <w:rFonts w:eastAsia="等线" w:ascii="Arial" w:cs="Arial" w:hAnsi="Arial"/>
          <w:sz w:val="22"/>
        </w:rPr>
        <w:t>：多次退回或意见不一致的业务，形成标准</w:t>
      </w:r>
    </w:p>
    <w:p>
      <w:pPr>
        <w:spacing w:before="120" w:after="120" w:line="288" w:lineRule="auto"/>
        <w:ind w:left="0"/>
        <w:jc w:val="left"/>
      </w:pPr>
      <w:r>
        <w:rPr>
          <w:rFonts w:eastAsia="等线" w:ascii="Arial" w:cs="Arial" w:hAnsi="Arial"/>
          <w:sz w:val="22"/>
        </w:rPr>
        <w:t>新审批员培训：</w:t>
      </w:r>
    </w:p>
    <w:p>
      <w:pPr>
        <w:numPr>
          <w:numId w:val="323"/>
        </w:numPr>
        <w:spacing w:before="120" w:after="120" w:line="288" w:lineRule="auto"/>
        <w:ind w:left="0"/>
        <w:jc w:val="left"/>
      </w:pPr>
      <w:r>
        <w:rPr>
          <w:rFonts w:eastAsia="等线" w:ascii="Arial" w:cs="Arial" w:hAnsi="Arial"/>
          <w:sz w:val="22"/>
        </w:rPr>
        <w:t>学习典型案例</w:t>
      </w:r>
    </w:p>
    <w:p>
      <w:pPr>
        <w:numPr>
          <w:numId w:val="324"/>
        </w:numPr>
        <w:spacing w:before="120" w:after="120" w:line="288" w:lineRule="auto"/>
        <w:ind w:left="0"/>
        <w:jc w:val="left"/>
      </w:pPr>
      <w:r>
        <w:rPr>
          <w:rFonts w:eastAsia="等线" w:ascii="Arial" w:cs="Arial" w:hAnsi="Arial"/>
          <w:sz w:val="22"/>
        </w:rPr>
        <w:t>模拟审批考核</w:t>
      </w:r>
    </w:p>
    <w:p>
      <w:pPr>
        <w:numPr>
          <w:numId w:val="325"/>
        </w:numPr>
        <w:spacing w:before="120" w:after="120" w:line="288" w:lineRule="auto"/>
        <w:ind w:left="0"/>
        <w:jc w:val="left"/>
      </w:pPr>
      <w:r>
        <w:rPr>
          <w:rFonts w:eastAsia="等线" w:ascii="Arial" w:cs="Arial" w:hAnsi="Arial"/>
          <w:sz w:val="22"/>
        </w:rPr>
        <w:t>前3个月"双人审核"（资深审批员复核）</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40" w:id="40"/>
      <w:r>
        <w:rPr>
          <w:rFonts w:eastAsia="等线" w:ascii="Arial" w:cs="Arial" w:hAnsi="Arial"/>
          <w:color w:val="3370ff"/>
          <w:sz w:val="24"/>
        </w:rPr>
        <w:t xml:space="preserve">3.2.4.1.5 </w:t>
      </w:r>
      <w:r>
        <w:rPr>
          <w:rFonts w:eastAsia="等线" w:ascii="Arial" w:cs="Arial" w:hAnsi="Arial"/>
          <w:b w:val="true"/>
          <w:sz w:val="24"/>
        </w:rPr>
        <w:t>综合风险评分模型</w:t>
      </w:r>
      <w:bookmarkEnd w:id="40"/>
    </w:p>
    <w:p>
      <w:pPr>
        <w:spacing w:before="120" w:after="120" w:line="288" w:lineRule="auto"/>
        <w:ind w:left="0"/>
        <w:jc w:val="left"/>
      </w:pPr>
      <w:r>
        <w:rPr>
          <w:rFonts w:eastAsia="等线" w:ascii="Arial" w:cs="Arial" w:hAnsi="Arial"/>
          <w:sz w:val="22"/>
        </w:rPr>
        <w:t>评分维度及权重：</w:t>
      </w:r>
    </w:p>
    <w:p>
      <w:pPr>
        <w:numPr>
          <w:numId w:val="326"/>
        </w:numPr>
        <w:spacing w:before="120" w:after="120" w:line="288" w:lineRule="auto"/>
        <w:ind w:left="0"/>
        <w:jc w:val="left"/>
      </w:pPr>
      <w:r>
        <w:rPr>
          <w:rFonts w:eastAsia="等线" w:ascii="Arial" w:cs="Arial" w:hAnsi="Arial"/>
          <w:b w:val="true"/>
          <w:sz w:val="22"/>
        </w:rPr>
        <w:t>客户资质（20%）</w:t>
      </w:r>
      <w:r>
        <w:rPr>
          <w:rFonts w:eastAsia="等线" w:ascii="Arial" w:cs="Arial" w:hAnsi="Arial"/>
          <w:sz w:val="22"/>
        </w:rPr>
        <w:t>：征信评级、经营年限、注册资本</w:t>
      </w:r>
    </w:p>
    <w:p>
      <w:pPr>
        <w:numPr>
          <w:numId w:val="327"/>
        </w:numPr>
        <w:spacing w:before="120" w:after="120" w:line="288" w:lineRule="auto"/>
        <w:ind w:left="0"/>
        <w:jc w:val="left"/>
      </w:pPr>
      <w:r>
        <w:rPr>
          <w:rFonts w:eastAsia="等线" w:ascii="Arial" w:cs="Arial" w:hAnsi="Arial"/>
          <w:b w:val="true"/>
          <w:sz w:val="22"/>
        </w:rPr>
        <w:t>核心企业背书（25%）</w:t>
      </w:r>
      <w:r>
        <w:rPr>
          <w:rFonts w:eastAsia="等线" w:ascii="Arial" w:cs="Arial" w:hAnsi="Arial"/>
          <w:sz w:val="22"/>
        </w:rPr>
        <w:t>：推荐等级、推荐质量、经销商信用评级</w:t>
      </w:r>
    </w:p>
    <w:p>
      <w:pPr>
        <w:numPr>
          <w:numId w:val="328"/>
        </w:numPr>
        <w:spacing w:before="120" w:after="120" w:line="288" w:lineRule="auto"/>
        <w:ind w:left="0"/>
        <w:jc w:val="left"/>
      </w:pPr>
      <w:r>
        <w:rPr>
          <w:rFonts w:eastAsia="等线" w:ascii="Arial" w:cs="Arial" w:hAnsi="Arial"/>
          <w:b w:val="true"/>
          <w:sz w:val="22"/>
        </w:rPr>
        <w:t>历史表现（25%）</w:t>
      </w:r>
      <w:r>
        <w:rPr>
          <w:rFonts w:eastAsia="等线" w:ascii="Arial" w:cs="Arial" w:hAnsi="Arial"/>
          <w:sz w:val="22"/>
        </w:rPr>
        <w:t>：历史融资笔数、累计金额、逾期率</w:t>
      </w:r>
    </w:p>
    <w:p>
      <w:pPr>
        <w:numPr>
          <w:numId w:val="329"/>
        </w:numPr>
        <w:spacing w:before="120" w:after="120" w:line="288" w:lineRule="auto"/>
        <w:ind w:left="0"/>
        <w:jc w:val="left"/>
      </w:pPr>
      <w:r>
        <w:rPr>
          <w:rFonts w:eastAsia="等线" w:ascii="Arial" w:cs="Arial" w:hAnsi="Arial"/>
          <w:b w:val="true"/>
          <w:sz w:val="22"/>
        </w:rPr>
        <w:t>质押物评估（20%）</w:t>
      </w:r>
      <w:r>
        <w:rPr>
          <w:rFonts w:eastAsia="等线" w:ascii="Arial" w:cs="Arial" w:hAnsi="Arial"/>
          <w:sz w:val="22"/>
        </w:rPr>
        <w:t>：品类风险、质押率、货值稳定性</w:t>
      </w:r>
    </w:p>
    <w:p>
      <w:pPr>
        <w:numPr>
          <w:numId w:val="330"/>
        </w:numPr>
        <w:spacing w:before="120" w:after="120" w:line="288" w:lineRule="auto"/>
        <w:ind w:left="0"/>
        <w:jc w:val="left"/>
      </w:pPr>
      <w:r>
        <w:rPr>
          <w:rFonts w:eastAsia="等线" w:ascii="Arial" w:cs="Arial" w:hAnsi="Arial"/>
          <w:b w:val="true"/>
          <w:sz w:val="22"/>
        </w:rPr>
        <w:t>市场风险（10%）</w:t>
      </w:r>
      <w:r>
        <w:rPr>
          <w:rFonts w:eastAsia="等线" w:ascii="Arial" w:cs="Arial" w:hAnsi="Arial"/>
          <w:sz w:val="22"/>
        </w:rPr>
        <w:t>：品类价格波动率、新品发布周期</w:t>
      </w:r>
    </w:p>
    <w:p>
      <w:pPr>
        <w:spacing w:before="120" w:after="120" w:line="288" w:lineRule="auto"/>
        <w:ind w:left="0"/>
        <w:jc w:val="left"/>
      </w:pPr>
      <w:r>
        <w:rPr>
          <w:rFonts w:eastAsia="等线" w:ascii="Arial" w:cs="Arial" w:hAnsi="Arial"/>
          <w:sz w:val="22"/>
        </w:rPr>
        <w:t>评分结果及建议：</w:t>
      </w:r>
    </w:p>
    <w:p>
      <w:pPr>
        <w:numPr>
          <w:numId w:val="331"/>
        </w:numPr>
        <w:spacing w:before="120" w:after="120" w:line="288" w:lineRule="auto"/>
        <w:ind w:left="0"/>
        <w:jc w:val="left"/>
      </w:pPr>
      <w:r>
        <w:rPr>
          <w:rFonts w:eastAsia="等线" w:ascii="Arial" w:cs="Arial" w:hAnsi="Arial"/>
          <w:b w:val="true"/>
          <w:sz w:val="22"/>
        </w:rPr>
        <w:t>85-100分（低风险）</w:t>
      </w:r>
      <w:r>
        <w:rPr>
          <w:rFonts w:eastAsia="等线" w:ascii="Arial" w:cs="Arial" w:hAnsi="Arial"/>
          <w:sz w:val="22"/>
        </w:rPr>
        <w:t>：系统建议通过，可适用快速审批通道</w:t>
      </w:r>
    </w:p>
    <w:p>
      <w:pPr>
        <w:numPr>
          <w:numId w:val="332"/>
        </w:numPr>
        <w:spacing w:before="120" w:after="120" w:line="288" w:lineRule="auto"/>
        <w:ind w:left="0"/>
        <w:jc w:val="left"/>
      </w:pPr>
      <w:r>
        <w:rPr>
          <w:rFonts w:eastAsia="等线" w:ascii="Arial" w:cs="Arial" w:hAnsi="Arial"/>
          <w:b w:val="true"/>
          <w:sz w:val="22"/>
        </w:rPr>
        <w:t>70-84分（中风险）</w:t>
      </w:r>
      <w:r>
        <w:rPr>
          <w:rFonts w:eastAsia="等线" w:ascii="Arial" w:cs="Arial" w:hAnsi="Arial"/>
          <w:sz w:val="22"/>
        </w:rPr>
        <w:t>：系统建议通过，需审批人确认风险点</w:t>
      </w:r>
    </w:p>
    <w:p>
      <w:pPr>
        <w:numPr>
          <w:numId w:val="333"/>
        </w:numPr>
        <w:spacing w:before="120" w:after="120" w:line="288" w:lineRule="auto"/>
        <w:ind w:left="0"/>
        <w:jc w:val="left"/>
      </w:pPr>
      <w:r>
        <w:rPr>
          <w:rFonts w:eastAsia="等线" w:ascii="Arial" w:cs="Arial" w:hAnsi="Arial"/>
          <w:b w:val="true"/>
          <w:sz w:val="22"/>
        </w:rPr>
        <w:t>60-69分（较高风险）</w:t>
      </w:r>
      <w:r>
        <w:rPr>
          <w:rFonts w:eastAsia="等线" w:ascii="Arial" w:cs="Arial" w:hAnsi="Arial"/>
          <w:sz w:val="22"/>
        </w:rPr>
        <w:t>：系统建议谨慎，需上级复核</w:t>
      </w:r>
    </w:p>
    <w:p>
      <w:pPr>
        <w:numPr>
          <w:numId w:val="334"/>
        </w:numPr>
        <w:spacing w:before="120" w:after="120" w:line="288" w:lineRule="auto"/>
        <w:ind w:left="0"/>
        <w:jc w:val="left"/>
      </w:pPr>
      <w:r>
        <w:rPr>
          <w:rFonts w:eastAsia="等线" w:ascii="Arial" w:cs="Arial" w:hAnsi="Arial"/>
          <w:b w:val="true"/>
          <w:sz w:val="22"/>
        </w:rPr>
        <w:t>&lt;60分（高风险）</w:t>
      </w:r>
      <w:r>
        <w:rPr>
          <w:rFonts w:eastAsia="等线" w:ascii="Arial" w:cs="Arial" w:hAnsi="Arial"/>
          <w:sz w:val="22"/>
        </w:rPr>
        <w:t>：系统建议驳回，如需通过须风控总监审批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3.2.5 </w:t>
      </w:r>
      <w:r>
        <w:rPr>
          <w:rFonts w:eastAsia="等线" w:ascii="Arial" w:cs="Arial" w:hAnsi="Arial"/>
          <w:b w:val="true"/>
          <w:sz w:val="30"/>
        </w:rPr>
        <w:t>其他融资业务功能</w:t>
      </w:r>
      <w:r>
        <w:rPr>
          <w:rFonts w:eastAsia="等线" w:ascii="Arial" w:cs="Arial" w:hAnsi="Arial"/>
          <w:b w:val="true"/>
          <w:sz w:val="30"/>
        </w:rPr>
        <w:t>（基础功能简述）</w:t>
      </w:r>
      <w:bookmarkEnd w:id="41"/>
    </w:p>
    <w:p>
      <w:pPr>
        <w:pStyle w:val="4"/>
        <w:spacing w:before="260" w:after="120" w:line="288" w:lineRule="auto"/>
        <w:ind w:left="0"/>
        <w:jc w:val="left"/>
        <w:outlineLvl w:val="3"/>
      </w:pPr>
      <w:bookmarkStart w:name="heading_42" w:id="42"/>
      <w:r>
        <w:rPr>
          <w:rFonts w:eastAsia="等线" w:ascii="Arial" w:cs="Arial" w:hAnsi="Arial"/>
          <w:color w:val="3370ff"/>
          <w:sz w:val="28"/>
        </w:rPr>
        <w:t xml:space="preserve">3.2.5.1 </w:t>
      </w:r>
      <w:r>
        <w:rPr>
          <w:rFonts w:eastAsia="等线" w:ascii="Arial" w:cs="Arial" w:hAnsi="Arial"/>
          <w:b w:val="true"/>
          <w:sz w:val="28"/>
        </w:rPr>
        <w:t>业务看板</w:t>
      </w:r>
      <w:bookmarkEnd w:id="42"/>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：为决策层和管理层提供融资业务的实时监控</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335"/>
        </w:numPr>
        <w:spacing w:before="120" w:after="120" w:line="288" w:lineRule="auto"/>
        <w:ind w:left="0"/>
        <w:jc w:val="left"/>
      </w:pPr>
      <w:r>
        <w:rPr>
          <w:rFonts w:eastAsia="等线" w:ascii="Arial" w:cs="Arial" w:hAnsi="Arial"/>
          <w:sz w:val="22"/>
        </w:rPr>
        <w:t>融资规模统计（日/周/月维度）</w:t>
      </w:r>
    </w:p>
    <w:p>
      <w:pPr>
        <w:numPr>
          <w:numId w:val="336"/>
        </w:numPr>
        <w:spacing w:before="120" w:after="120" w:line="288" w:lineRule="auto"/>
        <w:ind w:left="0"/>
        <w:jc w:val="left"/>
      </w:pPr>
      <w:r>
        <w:rPr>
          <w:rFonts w:eastAsia="等线" w:ascii="Arial" w:cs="Arial" w:hAnsi="Arial"/>
          <w:sz w:val="22"/>
        </w:rPr>
        <w:t>放款趋势分析（折线图）</w:t>
      </w:r>
    </w:p>
    <w:p>
      <w:pPr>
        <w:numPr>
          <w:numId w:val="337"/>
        </w:numPr>
        <w:spacing w:before="120" w:after="120" w:line="288" w:lineRule="auto"/>
        <w:ind w:left="0"/>
        <w:jc w:val="left"/>
      </w:pPr>
      <w:r>
        <w:rPr>
          <w:rFonts w:eastAsia="等线" w:ascii="Arial" w:cs="Arial" w:hAnsi="Arial"/>
          <w:sz w:val="22"/>
        </w:rPr>
        <w:t>还款进度跟踪（按到期日统计）</w:t>
      </w:r>
    </w:p>
    <w:p>
      <w:pPr>
        <w:numPr>
          <w:numId w:val="338"/>
        </w:numPr>
        <w:spacing w:before="120" w:after="120" w:line="288" w:lineRule="auto"/>
        <w:ind w:left="0"/>
        <w:jc w:val="left"/>
      </w:pPr>
      <w:r>
        <w:rPr>
          <w:rFonts w:eastAsia="等线" w:ascii="Arial" w:cs="Arial" w:hAnsi="Arial"/>
          <w:sz w:val="22"/>
        </w:rPr>
        <w:t>逾期预警提示（红色高亮）</w:t>
      </w:r>
    </w:p>
    <w:p>
      <w:pPr>
        <w:numPr>
          <w:numId w:val="339"/>
        </w:numPr>
        <w:spacing w:before="120" w:after="120" w:line="288" w:lineRule="auto"/>
        <w:ind w:left="0"/>
        <w:jc w:val="left"/>
      </w:pPr>
      <w:r>
        <w:rPr>
          <w:rFonts w:eastAsia="等线" w:ascii="Arial" w:cs="Arial" w:hAnsi="Arial"/>
          <w:sz w:val="22"/>
        </w:rPr>
        <w:t>多维度分析（按行业、核心企业、品类、区域）</w:t>
      </w:r>
    </w:p>
    <w:p>
      <w:pPr>
        <w:spacing w:before="120" w:after="120" w:line="288" w:lineRule="auto"/>
        <w:ind w:left="0"/>
        <w:jc w:val="left"/>
      </w:pPr>
      <w:r>
        <w:rPr>
          <w:rFonts w:eastAsia="等线" w:ascii="Arial" w:cs="Arial" w:hAnsi="Arial"/>
          <w:b w:val="true"/>
          <w:sz w:val="22"/>
        </w:rPr>
        <w:t>设计亮点</w:t>
      </w:r>
      <w:r>
        <w:rPr>
          <w:rFonts w:eastAsia="等线" w:ascii="Arial" w:cs="Arial" w:hAnsi="Arial"/>
          <w:sz w:val="22"/>
        </w:rPr>
        <w:t>：</w:t>
      </w:r>
    </w:p>
    <w:p>
      <w:pPr>
        <w:numPr>
          <w:numId w:val="340"/>
        </w:numPr>
        <w:spacing w:before="120" w:after="120" w:line="288" w:lineRule="auto"/>
        <w:ind w:left="0"/>
        <w:jc w:val="left"/>
      </w:pPr>
      <w:r>
        <w:rPr>
          <w:rFonts w:eastAsia="等线" w:ascii="Arial" w:cs="Arial" w:hAnsi="Arial"/>
          <w:sz w:val="22"/>
        </w:rPr>
        <w:t>支持自定义看板（不同角色关注不同指标）</w:t>
      </w:r>
    </w:p>
    <w:p>
      <w:pPr>
        <w:numPr>
          <w:numId w:val="341"/>
        </w:numPr>
        <w:spacing w:before="120" w:after="120" w:line="288" w:lineRule="auto"/>
        <w:ind w:left="0"/>
        <w:jc w:val="left"/>
      </w:pPr>
      <w:r>
        <w:rPr>
          <w:rFonts w:eastAsia="等线" w:ascii="Arial" w:cs="Arial" w:hAnsi="Arial"/>
          <w:sz w:val="22"/>
        </w:rPr>
        <w:t>数据实时刷新（5分钟）</w:t>
      </w:r>
    </w:p>
    <w:p>
      <w:pPr>
        <w:numPr>
          <w:numId w:val="342"/>
        </w:numPr>
        <w:spacing w:before="120" w:after="120" w:line="288" w:lineRule="auto"/>
        <w:ind w:left="0"/>
        <w:jc w:val="left"/>
      </w:pPr>
      <w:r>
        <w:rPr>
          <w:rFonts w:eastAsia="等线" w:ascii="Arial" w:cs="Arial" w:hAnsi="Arial"/>
          <w:sz w:val="22"/>
        </w:rPr>
        <w:t>一键钻取到明细数据</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3" w:id="43"/>
      <w:r>
        <w:rPr>
          <w:rFonts w:eastAsia="等线" w:ascii="Arial" w:cs="Arial" w:hAnsi="Arial"/>
          <w:color w:val="3370ff"/>
          <w:sz w:val="28"/>
        </w:rPr>
        <w:t xml:space="preserve">3.2.5.2 </w:t>
      </w:r>
      <w:r>
        <w:rPr>
          <w:rFonts w:eastAsia="等线" w:ascii="Arial" w:cs="Arial" w:hAnsi="Arial"/>
          <w:b w:val="true"/>
          <w:sz w:val="28"/>
        </w:rPr>
        <w:t>融资申请处理</w:t>
      </w:r>
      <w:bookmarkEnd w:id="43"/>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：规范融资申请录入，提升申请效率和质量</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343"/>
        </w:numPr>
        <w:spacing w:before="120" w:after="120" w:line="288" w:lineRule="auto"/>
        <w:ind w:left="0"/>
        <w:jc w:val="left"/>
      </w:pPr>
      <w:r>
        <w:rPr>
          <w:rFonts w:eastAsia="等线" w:ascii="Arial" w:cs="Arial" w:hAnsi="Arial"/>
          <w:sz w:val="22"/>
        </w:rPr>
        <w:t>在线融资申请（支持企业端自助申请）</w:t>
      </w:r>
    </w:p>
    <w:p>
      <w:pPr>
        <w:numPr>
          <w:numId w:val="344"/>
        </w:numPr>
        <w:spacing w:before="120" w:after="120" w:line="288" w:lineRule="auto"/>
        <w:ind w:left="0"/>
        <w:jc w:val="left"/>
      </w:pPr>
      <w:r>
        <w:rPr>
          <w:rFonts w:eastAsia="等线" w:ascii="Arial" w:cs="Arial" w:hAnsi="Arial"/>
          <w:sz w:val="22"/>
        </w:rPr>
        <w:t>申请信息自动校验（额度、货物、资质）</w:t>
      </w:r>
    </w:p>
    <w:p>
      <w:pPr>
        <w:numPr>
          <w:numId w:val="345"/>
        </w:numPr>
        <w:spacing w:before="120" w:after="120" w:line="288" w:lineRule="auto"/>
        <w:ind w:left="0"/>
        <w:jc w:val="left"/>
      </w:pPr>
      <w:r>
        <w:rPr>
          <w:rFonts w:eastAsia="等线" w:ascii="Arial" w:cs="Arial" w:hAnsi="Arial"/>
          <w:sz w:val="22"/>
        </w:rPr>
        <w:t>智能待办任务中心（按紧急程度排序）</w:t>
      </w:r>
    </w:p>
    <w:p>
      <w:pPr>
        <w:numPr>
          <w:numId w:val="346"/>
        </w:numPr>
        <w:spacing w:before="120" w:after="120" w:line="288" w:lineRule="auto"/>
        <w:ind w:left="0"/>
        <w:jc w:val="left"/>
      </w:pPr>
      <w:r>
        <w:rPr>
          <w:rFonts w:eastAsia="等线" w:ascii="Arial" w:cs="Arial" w:hAnsi="Arial"/>
          <w:sz w:val="22"/>
        </w:rPr>
        <w:t>批量操作（批量分配、批量初审）</w:t>
      </w:r>
    </w:p>
    <w:p>
      <w:pPr>
        <w:spacing w:before="120" w:after="120" w:line="288" w:lineRule="auto"/>
        <w:ind w:left="0"/>
        <w:jc w:val="left"/>
      </w:pPr>
      <w:r>
        <w:rPr>
          <w:rFonts w:eastAsia="等线" w:ascii="Arial" w:cs="Arial" w:hAnsi="Arial"/>
          <w:b w:val="true"/>
          <w:sz w:val="22"/>
        </w:rPr>
        <w:t>自动校验规则</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校验项：</w:t>
              <w:br/>
              <w:t>✓ 申请金额 ≤ 可用授信额度</w:t>
              <w:br/>
              <w:t>✓ 质押物货值 × 质押率 ≥ 申请金额</w:t>
              <w:br/>
              <w:t>✓ 质押物品类 = 客户主营品类</w:t>
              <w:br/>
              <w:t>✓ 客户状态 = "正常"（非冻结/预警）</w:t>
              <w:br/>
              <w:t>✓ 客户证照在有效期内</w:t>
              <w:br/>
              <w:t>✓ 无未结清的逾期业务</w:t>
              <w:br/>
              <w:br/>
            </w:r>
            <w:r>
              <w:rPr>
                <w:rFonts w:eastAsia="Consolas" w:ascii="Consolas" w:cs="Consolas" w:hAnsi="Consolas"/>
                <w:sz w:val="22"/>
              </w:rPr>
              <w:t>不通过校验 → 自动驳回 + 说明原因</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4" w:id="44"/>
      <w:r>
        <w:rPr>
          <w:rFonts w:eastAsia="等线" w:ascii="Arial" w:cs="Arial" w:hAnsi="Arial"/>
          <w:color w:val="3370ff"/>
          <w:sz w:val="28"/>
        </w:rPr>
        <w:t xml:space="preserve">3.2.5.3 </w:t>
      </w:r>
      <w:r>
        <w:rPr>
          <w:rFonts w:eastAsia="等线" w:ascii="Arial" w:cs="Arial" w:hAnsi="Arial"/>
          <w:b w:val="true"/>
          <w:sz w:val="28"/>
        </w:rPr>
        <w:t>放款管理</w:t>
      </w:r>
      <w:bookmarkEnd w:id="44"/>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：确保放款准确、及时，实现与银行系统数据同步</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347"/>
        </w:numPr>
        <w:spacing w:before="120" w:after="120" w:line="288" w:lineRule="auto"/>
        <w:ind w:left="0"/>
        <w:jc w:val="left"/>
      </w:pPr>
      <w:r>
        <w:rPr>
          <w:rFonts w:eastAsia="等线" w:ascii="Arial" w:cs="Arial" w:hAnsi="Arial"/>
          <w:sz w:val="22"/>
        </w:rPr>
        <w:t>放款申请审核（终审通过后自动生成）</w:t>
      </w:r>
    </w:p>
    <w:p>
      <w:pPr>
        <w:numPr>
          <w:numId w:val="348"/>
        </w:numPr>
        <w:spacing w:before="120" w:after="120" w:line="288" w:lineRule="auto"/>
        <w:ind w:left="0"/>
        <w:jc w:val="left"/>
      </w:pPr>
      <w:r>
        <w:rPr>
          <w:rFonts w:eastAsia="等线" w:ascii="Arial" w:cs="Arial" w:hAnsi="Arial"/>
          <w:sz w:val="22"/>
        </w:rPr>
        <w:t>放款指令生成和发送（对接银行接口）</w:t>
      </w:r>
    </w:p>
    <w:p>
      <w:pPr>
        <w:numPr>
          <w:numId w:val="349"/>
        </w:numPr>
        <w:spacing w:before="120" w:after="120" w:line="288" w:lineRule="auto"/>
        <w:ind w:left="0"/>
        <w:jc w:val="left"/>
      </w:pPr>
      <w:r>
        <w:rPr>
          <w:rFonts w:eastAsia="等线" w:ascii="Arial" w:cs="Arial" w:hAnsi="Arial"/>
          <w:sz w:val="22"/>
        </w:rPr>
        <w:t>放款数据自动同步和对账</w:t>
      </w:r>
    </w:p>
    <w:p>
      <w:pPr>
        <w:numPr>
          <w:numId w:val="350"/>
        </w:numPr>
        <w:spacing w:before="120" w:after="120" w:line="288" w:lineRule="auto"/>
        <w:ind w:left="0"/>
        <w:jc w:val="left"/>
      </w:pPr>
      <w:r>
        <w:rPr>
          <w:rFonts w:eastAsia="等线" w:ascii="Arial" w:cs="Arial" w:hAnsi="Arial"/>
          <w:sz w:val="22"/>
        </w:rPr>
        <w:t>放款失败处理（自动通知和重试）</w:t>
      </w:r>
    </w:p>
    <w:p>
      <w:pPr>
        <w:spacing w:before="120" w:after="120" w:line="288" w:lineRule="auto"/>
        <w:ind w:left="0"/>
        <w:jc w:val="left"/>
      </w:pPr>
      <w:r>
        <w:rPr>
          <w:rFonts w:eastAsia="等线" w:ascii="Arial" w:cs="Arial" w:hAnsi="Arial"/>
          <w:b w:val="true"/>
          <w:sz w:val="22"/>
        </w:rPr>
        <w:t>业务流程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终审通过 </w:t>
              <w:br/>
              <w:t>→ 系统自动生成放款申请</w:t>
              <w:br/>
              <w:t>→ 财务确认放款信息（账户/金额）</w:t>
              <w:br/>
              <w:t>→ 推送放款指令给银行</w:t>
              <w:br/>
              <w:t>→ 银行放款</w:t>
              <w:br/>
              <w:t>→ 银行反馈放款结果</w:t>
              <w:br/>
              <w:t>→ 系统自动更新业务状态</w:t>
              <w:br/>
            </w:r>
            <w:r>
              <w:rPr>
                <w:rFonts w:eastAsia="Consolas" w:ascii="Consolas" w:cs="Consolas" w:hAnsi="Consolas"/>
                <w:sz w:val="22"/>
              </w:rPr>
              <w:t>→ 通知企业放款成功</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5" w:id="45"/>
      <w:r>
        <w:rPr>
          <w:rFonts w:eastAsia="等线" w:ascii="Arial" w:cs="Arial" w:hAnsi="Arial"/>
          <w:color w:val="3370ff"/>
          <w:sz w:val="28"/>
        </w:rPr>
        <w:t xml:space="preserve">3.2.5.4 </w:t>
      </w:r>
      <w:r>
        <w:rPr>
          <w:rFonts w:eastAsia="等线" w:ascii="Arial" w:cs="Arial" w:hAnsi="Arial"/>
          <w:b w:val="true"/>
          <w:sz w:val="28"/>
        </w:rPr>
        <w:t>还款管理</w:t>
      </w:r>
      <w:bookmarkEnd w:id="45"/>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：跟踪还款进度，及时预警逾期风险</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351"/>
        </w:numPr>
        <w:spacing w:before="120" w:after="120" w:line="288" w:lineRule="auto"/>
        <w:ind w:left="0"/>
        <w:jc w:val="left"/>
      </w:pPr>
      <w:r>
        <w:rPr>
          <w:rFonts w:eastAsia="等线" w:ascii="Arial" w:cs="Arial" w:hAnsi="Arial"/>
          <w:sz w:val="22"/>
        </w:rPr>
        <w:t>还款计划自动生成（根据融资期限）</w:t>
      </w:r>
    </w:p>
    <w:p>
      <w:pPr>
        <w:numPr>
          <w:numId w:val="352"/>
        </w:numPr>
        <w:spacing w:before="120" w:after="120" w:line="288" w:lineRule="auto"/>
        <w:ind w:left="0"/>
        <w:jc w:val="left"/>
      </w:pPr>
      <w:r>
        <w:rPr>
          <w:rFonts w:eastAsia="等线" w:ascii="Arial" w:cs="Arial" w:hAnsi="Arial"/>
          <w:sz w:val="22"/>
        </w:rPr>
        <w:t>还款提醒自动发送（到期前3天）</w:t>
      </w:r>
    </w:p>
    <w:p>
      <w:pPr>
        <w:numPr>
          <w:numId w:val="353"/>
        </w:numPr>
        <w:spacing w:before="120" w:after="120" w:line="288" w:lineRule="auto"/>
        <w:ind w:left="0"/>
        <w:jc w:val="left"/>
      </w:pPr>
      <w:r>
        <w:rPr>
          <w:rFonts w:eastAsia="等线" w:ascii="Arial" w:cs="Arial" w:hAnsi="Arial"/>
          <w:sz w:val="22"/>
        </w:rPr>
        <w:t>还款数据实时记录和对账</w:t>
      </w:r>
    </w:p>
    <w:p>
      <w:pPr>
        <w:numPr>
          <w:numId w:val="354"/>
        </w:numPr>
        <w:spacing w:before="120" w:after="120" w:line="288" w:lineRule="auto"/>
        <w:ind w:left="0"/>
        <w:jc w:val="left"/>
      </w:pPr>
      <w:r>
        <w:rPr>
          <w:rFonts w:eastAsia="等线" w:ascii="Arial" w:cs="Arial" w:hAnsi="Arial"/>
          <w:sz w:val="22"/>
        </w:rPr>
        <w:t>逾期自动预警（到期当天）</w:t>
      </w:r>
    </w:p>
    <w:p>
      <w:pPr>
        <w:spacing w:before="120" w:after="120" w:line="288" w:lineRule="auto"/>
        <w:ind w:left="0"/>
        <w:jc w:val="left"/>
      </w:pPr>
      <w:r>
        <w:rPr>
          <w:rFonts w:eastAsia="等线" w:ascii="Arial" w:cs="Arial" w:hAnsi="Arial"/>
          <w:b w:val="true"/>
          <w:sz w:val="22"/>
        </w:rPr>
        <w:t>自动提醒机制</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还款到期前3天：</w:t>
              <w:br/>
              <w:t xml:space="preserve">  → 发送短信提醒给企业</w:t>
              <w:br/>
              <w:t xml:space="preserve">  → 推送提醒给客户经理</w:t>
              <w:br/>
              <w:t xml:space="preserve">  </w:t>
              <w:br/>
              <w:t>还款到期当天：</w:t>
              <w:br/>
              <w:t xml:space="preserve">  → 系统自动检查还款状态</w:t>
              <w:br/>
              <w:t xml:space="preserve">  → 若未还款 → 标记"逾期"</w:t>
              <w:br/>
              <w:t xml:space="preserve">  → 自动触发贷后管理流程</w:t>
              <w:br/>
              <w:t xml:space="preserve">  → 通知风控部门和客户经理</w:t>
              <w:br/>
            </w:r>
            <w:r>
              <w:rPr>
                <w:rFonts w:eastAsia="Consolas" w:ascii="Consolas" w:cs="Consolas" w:hAnsi="Consolas"/>
                <w:sz w:val="22"/>
              </w:rPr>
              <w:t xml:space="preserve">  → 冻结客户新增融资</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6" w:id="46"/>
      <w:r>
        <w:rPr>
          <w:rFonts w:eastAsia="等线" w:ascii="Arial" w:cs="Arial" w:hAnsi="Arial"/>
          <w:color w:val="3370ff"/>
          <w:sz w:val="30"/>
        </w:rPr>
        <w:t xml:space="preserve">3.2.6 </w:t>
      </w:r>
      <w:r>
        <w:rPr>
          <w:rFonts w:eastAsia="等线" w:ascii="Arial" w:cs="Arial" w:hAnsi="Arial"/>
          <w:b w:val="true"/>
          <w:sz w:val="30"/>
        </w:rPr>
        <w:t>上线效果</w:t>
      </w:r>
      <w:bookmarkEnd w:id="46"/>
    </w:p>
    <w:p>
      <w:pPr>
        <w:spacing w:before="120" w:after="120" w:line="288" w:lineRule="auto"/>
        <w:ind w:left="0"/>
        <w:jc w:val="left"/>
      </w:pPr>
      <w:r>
        <w:rPr>
          <w:rFonts w:eastAsia="等线" w:ascii="Arial" w:cs="Arial" w:hAnsi="Arial"/>
          <w:b w:val="true"/>
          <w:sz w:val="22"/>
        </w:rPr>
        <w:t>核心数据</w:t>
      </w:r>
    </w:p>
    <w:p>
      <w:pPr>
        <w:spacing w:before="120" w:after="120" w:line="288" w:lineRule="auto"/>
        <w:ind w:left="0"/>
      </w:pPr>
      <w:r>
        <w:object>
          <v:shape id="_x0000_i1033" style="width:414pt;height:136pt;mso-width-percent:0;mso-height-percent:0;mso-width-percent:0;mso-height-percent:0" type="#_x0000_t75" o:ole="">
            <v:imagedata r:id="rId30" o:title=""/>
          </v:shape>
          <o:OLEObject DrawAspect="Icon" ObjectID="_1718471227" ProgID="Excel.Sheet.12" ShapeID="_x0000_i1033" Type="Embed" r:id="rId2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color w:val="d83931"/>
          <w:sz w:val="22"/>
          <w:shd w:fill="fff67a"/>
        </w:rPr>
        <w:t>KPI达成情况</w:t>
      </w:r>
    </w:p>
    <w:p>
      <w:pPr>
        <w:spacing w:before="120" w:after="120" w:line="288" w:lineRule="auto"/>
        <w:ind w:left="0"/>
      </w:pPr>
      <w:r>
        <w:object>
          <v:shape id="_x0000_i1034" style="width:414pt;height:90pt;mso-width-percent:0;mso-height-percent:0;mso-width-percent:0;mso-height-percent:0" type="#_x0000_t75" o:ole="">
            <v:imagedata r:id="rId32" o:title=""/>
          </v:shape>
          <o:OLEObject DrawAspect="Icon" ObjectID="_1718471228" ProgID="Excel.Sheet.12" ShapeID="_x0000_i1034" Type="Embed" r:id="rId3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效率提升细节</w:t>
      </w:r>
    </w:p>
    <w:p>
      <w:pPr>
        <w:spacing w:before="120" w:after="120" w:line="288" w:lineRule="auto"/>
        <w:ind w:left="0"/>
        <w:jc w:val="left"/>
      </w:pPr>
      <w:r>
        <w:rPr>
          <w:rFonts w:eastAsia="等线" w:ascii="Arial" w:cs="Arial" w:hAnsi="Arial"/>
          <w:b w:val="true"/>
          <w:sz w:val="22"/>
        </w:rPr>
        <w:t>审批环节优化</w:t>
      </w:r>
      <w:r>
        <w:rPr>
          <w:rFonts w:eastAsia="等线" w:ascii="Arial" w:cs="Arial" w:hAnsi="Arial"/>
          <w:sz w:val="22"/>
        </w:rPr>
        <w:t>：</w:t>
      </w:r>
    </w:p>
    <w:p>
      <w:pPr>
        <w:numPr>
          <w:numId w:val="355"/>
        </w:numPr>
        <w:spacing w:before="120" w:after="120" w:line="288" w:lineRule="auto"/>
        <w:ind w:left="0"/>
        <w:jc w:val="left"/>
      </w:pPr>
      <w:r>
        <w:rPr>
          <w:rFonts w:eastAsia="等线" w:ascii="Arial" w:cs="Arial" w:hAnsi="Arial"/>
          <w:sz w:val="22"/>
        </w:rPr>
        <w:t>集成化审批页面：审批时间从15分钟降至6分钟（-60%）</w:t>
      </w:r>
    </w:p>
    <w:p>
      <w:pPr>
        <w:numPr>
          <w:numId w:val="356"/>
        </w:numPr>
        <w:spacing w:before="120" w:after="120" w:line="288" w:lineRule="auto"/>
        <w:ind w:left="0"/>
        <w:jc w:val="left"/>
      </w:pPr>
      <w:r>
        <w:rPr>
          <w:rFonts w:eastAsia="等线" w:ascii="Arial" w:cs="Arial" w:hAnsi="Arial"/>
          <w:sz w:val="22"/>
        </w:rPr>
        <w:t>自动流程匹配：无需人工判断走哪个流程，零失误</w:t>
      </w:r>
    </w:p>
    <w:p>
      <w:pPr>
        <w:numPr>
          <w:numId w:val="357"/>
        </w:numPr>
        <w:spacing w:before="120" w:after="120" w:line="288" w:lineRule="auto"/>
        <w:ind w:left="0"/>
        <w:jc w:val="left"/>
      </w:pPr>
      <w:r>
        <w:rPr>
          <w:rFonts w:eastAsia="等线" w:ascii="Arial" w:cs="Arial" w:hAnsi="Arial"/>
          <w:sz w:val="22"/>
        </w:rPr>
        <w:t>核心企业数据联动：减少人工调查核实时间</w:t>
      </w:r>
    </w:p>
    <w:p>
      <w:pPr>
        <w:spacing w:before="120" w:after="120" w:line="288" w:lineRule="auto"/>
        <w:ind w:left="0"/>
        <w:jc w:val="left"/>
      </w:pPr>
      <w:r>
        <w:rPr>
          <w:rFonts w:eastAsia="等线" w:ascii="Arial" w:cs="Arial" w:hAnsi="Arial"/>
          <w:b w:val="true"/>
          <w:sz w:val="22"/>
        </w:rPr>
        <w:t>客户体验改善</w:t>
      </w:r>
      <w:r>
        <w:rPr>
          <w:rFonts w:eastAsia="等线" w:ascii="Arial" w:cs="Arial" w:hAnsi="Arial"/>
          <w:sz w:val="22"/>
        </w:rPr>
        <w:t>：</w:t>
      </w:r>
    </w:p>
    <w:p>
      <w:pPr>
        <w:numPr>
          <w:numId w:val="358"/>
        </w:numPr>
        <w:spacing w:before="120" w:after="120" w:line="288" w:lineRule="auto"/>
        <w:ind w:left="0"/>
        <w:jc w:val="left"/>
      </w:pPr>
      <w:r>
        <w:rPr>
          <w:rFonts w:eastAsia="等线" w:ascii="Arial" w:cs="Arial" w:hAnsi="Arial"/>
          <w:sz w:val="22"/>
        </w:rPr>
        <w:t>自助申请+实时进度查询：客户满意度从3.8提升至4.6</w:t>
      </w:r>
    </w:p>
    <w:p>
      <w:pPr>
        <w:numPr>
          <w:numId w:val="359"/>
        </w:numPr>
        <w:spacing w:before="120" w:after="120" w:line="288" w:lineRule="auto"/>
        <w:ind w:left="0"/>
        <w:jc w:val="left"/>
      </w:pPr>
      <w:r>
        <w:rPr>
          <w:rFonts w:eastAsia="等线" w:ascii="Arial" w:cs="Arial" w:hAnsi="Arial"/>
          <w:sz w:val="22"/>
        </w:rPr>
        <w:t>小额快速通道：A级客户30万以下申请4小时内完成</w:t>
      </w:r>
    </w:p>
    <w:p>
      <w:pPr>
        <w:spacing w:before="120" w:after="120" w:line="288" w:lineRule="auto"/>
        <w:ind w:left="0"/>
        <w:jc w:val="left"/>
      </w:pPr>
      <w:r>
        <w:rPr>
          <w:rFonts w:eastAsia="等线" w:ascii="Arial" w:cs="Arial" w:hAnsi="Arial"/>
          <w:b w:val="true"/>
          <w:sz w:val="22"/>
        </w:rPr>
        <w:t>风险控制效果</w:t>
      </w:r>
    </w:p>
    <w:p>
      <w:pPr>
        <w:spacing w:before="120" w:after="120" w:line="288" w:lineRule="auto"/>
        <w:ind w:left="0"/>
      </w:pPr>
      <w:r>
        <w:object>
          <v:shape id="_x0000_i1035" style="width:414pt;height:112pt;mso-width-percent:0;mso-height-percent:0;mso-width-percent:0;mso-height-percent:0" type="#_x0000_t75" o:ole="">
            <v:imagedata r:id="rId34" o:title=""/>
          </v:shape>
          <o:OLEObject DrawAspect="Icon" ObjectID="_1718471229" ProgID="Excel.Sheet.12" ShapeID="_x0000_i1035" Type="Embed" r:id="rId3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原因分析</w:t>
      </w:r>
      <w:r>
        <w:rPr>
          <w:rFonts w:eastAsia="等线" w:ascii="Arial" w:cs="Arial" w:hAnsi="Arial"/>
          <w:sz w:val="22"/>
        </w:rPr>
        <w:t>：</w:t>
      </w:r>
    </w:p>
    <w:p>
      <w:pPr>
        <w:numPr>
          <w:numId w:val="360"/>
        </w:numPr>
        <w:spacing w:before="120" w:after="120" w:line="288" w:lineRule="auto"/>
        <w:ind w:left="0"/>
        <w:jc w:val="left"/>
      </w:pPr>
      <w:r>
        <w:rPr>
          <w:rFonts w:eastAsia="等线" w:ascii="Arial" w:cs="Arial" w:hAnsi="Arial"/>
          <w:sz w:val="22"/>
        </w:rPr>
        <w:t>核心企业风险预警及时联动，高风险业务自动触发加强审批</w:t>
      </w:r>
    </w:p>
    <w:p>
      <w:pPr>
        <w:numPr>
          <w:numId w:val="361"/>
        </w:numPr>
        <w:spacing w:before="120" w:after="120" w:line="288" w:lineRule="auto"/>
        <w:ind w:left="0"/>
        <w:jc w:val="left"/>
      </w:pPr>
      <w:r>
        <w:rPr>
          <w:rFonts w:eastAsia="等线" w:ascii="Arial" w:cs="Arial" w:hAnsi="Arial"/>
          <w:sz w:val="22"/>
        </w:rPr>
        <w:t>集成化审批页面展示更全面信息，决策质量提升</w:t>
      </w:r>
    </w:p>
    <w:p>
      <w:pPr>
        <w:numPr>
          <w:numId w:val="362"/>
        </w:numPr>
        <w:spacing w:before="120" w:after="120" w:line="288" w:lineRule="auto"/>
        <w:ind w:left="0"/>
        <w:jc w:val="left"/>
      </w:pPr>
      <w:r>
        <w:rPr>
          <w:rFonts w:eastAsia="等线" w:ascii="Arial" w:cs="Arial" w:hAnsi="Arial"/>
          <w:sz w:val="22"/>
        </w:rPr>
        <w:t>差异化流程匹配，高风险业务强管控</w:t>
      </w:r>
    </w:p>
    <w:p>
      <w:pPr>
        <w:spacing w:before="120" w:after="120" w:line="288" w:lineRule="auto"/>
        <w:ind w:left="0"/>
        <w:jc w:val="left"/>
      </w:pPr>
      <w:r>
        <w:rPr>
          <w:rFonts w:eastAsia="等线" w:ascii="Arial" w:cs="Arial" w:hAnsi="Arial"/>
          <w:b w:val="true"/>
          <w:sz w:val="22"/>
        </w:rPr>
        <w:t>典型案例</w:t>
      </w:r>
    </w:p>
    <w:p>
      <w:pPr>
        <w:spacing w:before="120" w:after="120" w:line="288" w:lineRule="auto"/>
        <w:ind w:left="0"/>
        <w:jc w:val="left"/>
      </w:pPr>
      <w:r>
        <w:rPr>
          <w:rFonts w:eastAsia="等线" w:ascii="Arial" w:cs="Arial" w:hAnsi="Arial"/>
          <w:b w:val="true"/>
          <w:sz w:val="22"/>
        </w:rPr>
        <w:t>案例：某A级客户紧急融资</w:t>
      </w:r>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w:t>
      </w:r>
    </w:p>
    <w:p>
      <w:pPr>
        <w:numPr>
          <w:numId w:val="363"/>
        </w:numPr>
        <w:spacing w:before="120" w:after="120" w:line="288" w:lineRule="auto"/>
        <w:ind w:left="0"/>
        <w:jc w:val="left"/>
      </w:pPr>
      <w:r>
        <w:rPr>
          <w:rFonts w:eastAsia="等线" w:ascii="Arial" w:cs="Arial" w:hAnsi="Arial"/>
          <w:sz w:val="22"/>
        </w:rPr>
        <w:t>客户：某手机专营店（A级，授信80万）</w:t>
      </w:r>
    </w:p>
    <w:p>
      <w:pPr>
        <w:numPr>
          <w:numId w:val="364"/>
        </w:numPr>
        <w:spacing w:before="120" w:after="120" w:line="288" w:lineRule="auto"/>
        <w:ind w:left="0"/>
        <w:jc w:val="left"/>
      </w:pPr>
      <w:r>
        <w:rPr>
          <w:rFonts w:eastAsia="等线" w:ascii="Arial" w:cs="Arial" w:hAnsi="Arial"/>
          <w:sz w:val="22"/>
        </w:rPr>
        <w:t>需求：临时采购新品，需要25万融资</w:t>
      </w:r>
    </w:p>
    <w:p>
      <w:pPr>
        <w:numPr>
          <w:numId w:val="365"/>
        </w:numPr>
        <w:spacing w:before="120" w:after="120" w:line="288" w:lineRule="auto"/>
        <w:ind w:left="0"/>
        <w:jc w:val="left"/>
      </w:pPr>
      <w:r>
        <w:rPr>
          <w:rFonts w:eastAsia="等线" w:ascii="Arial" w:cs="Arial" w:hAnsi="Arial"/>
          <w:sz w:val="22"/>
        </w:rPr>
        <w:t>时间要求：供应商要求24小时内付款</w:t>
      </w:r>
    </w:p>
    <w:p>
      <w:pPr>
        <w:spacing w:before="120" w:after="120" w:line="288" w:lineRule="auto"/>
        <w:ind w:left="0"/>
        <w:jc w:val="left"/>
      </w:pPr>
      <w:r>
        <w:rPr>
          <w:rFonts w:eastAsia="等线" w:ascii="Arial" w:cs="Arial" w:hAnsi="Arial"/>
          <w:b w:val="true"/>
          <w:sz w:val="22"/>
        </w:rPr>
        <w:t>处理过程</w:t>
      </w:r>
      <w:r>
        <w:rPr>
          <w:rFonts w:eastAsia="等线" w:ascii="Arial" w:cs="Arial" w:hAnsi="Arial"/>
          <w:sz w:val="22"/>
        </w:rPr>
        <w:t>：</w:t>
      </w:r>
    </w:p>
    <w:p>
      <w:pPr>
        <w:numPr>
          <w:numId w:val="366"/>
        </w:numPr>
        <w:spacing w:before="120" w:after="120" w:line="288" w:lineRule="auto"/>
        <w:ind w:left="0"/>
        <w:jc w:val="left"/>
      </w:pPr>
      <w:r>
        <w:rPr>
          <w:rFonts w:eastAsia="等线" w:ascii="Arial" w:cs="Arial" w:hAnsi="Arial"/>
          <w:sz w:val="22"/>
        </w:rPr>
        <w:t>10:00 客户在线提交申请</w:t>
      </w:r>
    </w:p>
    <w:p>
      <w:pPr>
        <w:numPr>
          <w:numId w:val="367"/>
        </w:numPr>
        <w:spacing w:before="120" w:after="120" w:line="288" w:lineRule="auto"/>
        <w:ind w:left="0"/>
        <w:jc w:val="left"/>
      </w:pPr>
      <w:r>
        <w:rPr>
          <w:rFonts w:eastAsia="等线" w:ascii="Arial" w:cs="Arial" w:hAnsi="Arial"/>
          <w:sz w:val="22"/>
        </w:rPr>
        <w:t>10:15 初审通过（系统自动校验无风险）</w:t>
      </w:r>
    </w:p>
    <w:p>
      <w:pPr>
        <w:numPr>
          <w:numId w:val="368"/>
        </w:numPr>
        <w:spacing w:before="120" w:after="120" w:line="288" w:lineRule="auto"/>
        <w:ind w:left="0"/>
        <w:jc w:val="left"/>
      </w:pPr>
      <w:r>
        <w:rPr>
          <w:rFonts w:eastAsia="等线" w:ascii="Arial" w:cs="Arial" w:hAnsi="Arial"/>
          <w:sz w:val="22"/>
        </w:rPr>
        <w:t>13:30 终审通过（走小额快速通道）</w:t>
      </w:r>
    </w:p>
    <w:p>
      <w:pPr>
        <w:numPr>
          <w:numId w:val="369"/>
        </w:numPr>
        <w:spacing w:before="120" w:after="120" w:line="288" w:lineRule="auto"/>
        <w:ind w:left="0"/>
        <w:jc w:val="left"/>
      </w:pPr>
      <w:r>
        <w:rPr>
          <w:rFonts w:eastAsia="等线" w:ascii="Arial" w:cs="Arial" w:hAnsi="Arial"/>
          <w:sz w:val="22"/>
        </w:rPr>
        <w:t>14:00 银行放款</w:t>
      </w:r>
    </w:p>
    <w:p>
      <w:pPr>
        <w:numPr>
          <w:numId w:val="370"/>
        </w:numPr>
        <w:spacing w:before="120" w:after="120" w:line="288" w:lineRule="auto"/>
        <w:ind w:left="0"/>
        <w:jc w:val="left"/>
      </w:pPr>
      <w:r>
        <w:rPr>
          <w:rFonts w:eastAsia="等线" w:ascii="Arial" w:cs="Arial" w:hAnsi="Arial"/>
          <w:sz w:val="22"/>
        </w:rPr>
        <w:t>总耗时：4小时</w:t>
      </w:r>
    </w:p>
    <w:p>
      <w:pPr>
        <w:spacing w:before="120" w:after="120" w:line="288" w:lineRule="auto"/>
        <w:ind w:left="0"/>
        <w:jc w:val="left"/>
      </w:pPr>
      <w:r>
        <w:rPr>
          <w:rFonts w:eastAsia="等线" w:ascii="Arial" w:cs="Arial" w:hAnsi="Arial"/>
          <w:b w:val="true"/>
          <w:sz w:val="22"/>
        </w:rPr>
        <w:t>客户反馈</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"以前要打好几个电话催审批，现在手机上提交，4小时就到账了，真的很快！"</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3.3 </w:t>
      </w:r>
      <w:r>
        <w:rPr>
          <w:rFonts w:eastAsia="等线" w:ascii="Arial" w:cs="Arial" w:hAnsi="Arial"/>
          <w:b w:val="true"/>
          <w:color w:val="d83931"/>
          <w:sz w:val="32"/>
          <w:shd w:fill="fff67a"/>
        </w:rPr>
        <w:t>货权管理（重点方案）</w:t>
      </w:r>
      <w:bookmarkEnd w:id="47"/>
    </w:p>
    <w:p>
      <w:pPr>
        <w:pStyle w:val="3"/>
        <w:spacing w:before="300" w:after="120" w:line="288" w:lineRule="auto"/>
        <w:ind w:left="0"/>
        <w:jc w:val="left"/>
        <w:outlineLvl w:val="2"/>
      </w:pPr>
      <w:bookmarkStart w:name="heading_48" w:id="48"/>
      <w:r>
        <w:rPr>
          <w:rFonts w:eastAsia="等线" w:ascii="Arial" w:cs="Arial" w:hAnsi="Arial"/>
          <w:color w:val="3370ff"/>
          <w:sz w:val="30"/>
        </w:rPr>
        <w:t xml:space="preserve">3.3.1 </w:t>
      </w:r>
      <w:r>
        <w:rPr>
          <w:rFonts w:eastAsia="等线" w:ascii="Arial" w:cs="Arial" w:hAnsi="Arial"/>
          <w:b w:val="true"/>
          <w:sz w:val="30"/>
        </w:rPr>
        <w:t>业务概述</w:t>
      </w:r>
      <w:bookmarkEnd w:id="48"/>
    </w:p>
    <w:p>
      <w:pPr>
        <w:spacing w:before="120" w:after="120" w:line="288" w:lineRule="auto"/>
        <w:ind w:left="0"/>
        <w:jc w:val="left"/>
      </w:pPr>
      <w:r>
        <w:rPr>
          <w:rFonts w:eastAsia="等线" w:ascii="Arial" w:cs="Arial" w:hAnsi="Arial"/>
          <w:sz w:val="22"/>
        </w:rPr>
        <w:t>货权管理是控货质押模式的核心控制环节，本质是</w:t>
      </w:r>
      <w:r>
        <w:rPr>
          <w:rFonts w:eastAsia="等线" w:ascii="Arial" w:cs="Arial" w:hAnsi="Arial"/>
          <w:b w:val="true"/>
          <w:sz w:val="22"/>
        </w:rPr>
        <w:t>监控与决策</w:t>
      </w:r>
      <w:r>
        <w:rPr>
          <w:rFonts w:eastAsia="等线" w:ascii="Arial" w:cs="Arial" w:hAnsi="Arial"/>
          <w:sz w:val="22"/>
        </w:rPr>
        <w:t>而非执行操作。通过与物流WMS系统的实时对接，平台实时掌握质押物的真实状态、价值变化和异常行为，在出库、货值波动等关键环节做出风险决策，确保质押物真实存在、价值可控、权属清晰，为银行资金安全提供坚实保障。</w:t>
      </w:r>
    </w:p>
    <w:p>
      <w:pPr>
        <w:spacing w:before="120" w:after="120" w:line="288" w:lineRule="auto"/>
        <w:ind w:left="0"/>
        <w:jc w:val="left"/>
      </w:pPr>
      <w:r>
        <w:rPr>
          <w:rFonts w:eastAsia="等线" w:ascii="Arial" w:cs="Arial" w:hAnsi="Arial"/>
          <w:b w:val="true"/>
          <w:sz w:val="22"/>
        </w:rPr>
        <w:t>模块定位</w:t>
      </w:r>
      <w:r>
        <w:rPr>
          <w:rFonts w:eastAsia="等线" w:ascii="Arial" w:cs="Arial" w:hAnsi="Arial"/>
          <w:sz w:val="22"/>
        </w:rPr>
        <w:t>：</w:t>
      </w:r>
    </w:p>
    <w:p>
      <w:pPr>
        <w:numPr>
          <w:numId w:val="371"/>
        </w:numPr>
        <w:spacing w:before="120" w:after="120" w:line="288" w:lineRule="auto"/>
        <w:ind w:left="0"/>
        <w:jc w:val="left"/>
      </w:pPr>
      <w:r>
        <w:rPr>
          <w:rFonts w:eastAsia="等线" w:ascii="Arial" w:cs="Arial" w:hAnsi="Arial"/>
          <w:b w:val="true"/>
          <w:sz w:val="22"/>
        </w:rPr>
        <w:t>监控层面</w:t>
      </w:r>
      <w:r>
        <w:rPr>
          <w:rFonts w:eastAsia="等线" w:ascii="Arial" w:cs="Arial" w:hAnsi="Arial"/>
          <w:sz w:val="22"/>
        </w:rPr>
        <w:t>：实时掌握货物状态（入库、出库、库存、货值）</w:t>
      </w:r>
    </w:p>
    <w:p>
      <w:pPr>
        <w:numPr>
          <w:numId w:val="372"/>
        </w:numPr>
        <w:spacing w:before="120" w:after="120" w:line="288" w:lineRule="auto"/>
        <w:ind w:left="0"/>
        <w:jc w:val="left"/>
      </w:pPr>
      <w:r>
        <w:rPr>
          <w:rFonts w:eastAsia="等线" w:ascii="Arial" w:cs="Arial" w:hAnsi="Arial"/>
          <w:b w:val="true"/>
          <w:sz w:val="22"/>
        </w:rPr>
        <w:t>决策层面</w:t>
      </w:r>
      <w:r>
        <w:rPr>
          <w:rFonts w:eastAsia="等线" w:ascii="Arial" w:cs="Arial" w:hAnsi="Arial"/>
          <w:sz w:val="22"/>
        </w:rPr>
        <w:t>：出库审批、货值预警、质押率控制</w:t>
      </w:r>
    </w:p>
    <w:p>
      <w:pPr>
        <w:numPr>
          <w:numId w:val="373"/>
        </w:numPr>
        <w:spacing w:before="120" w:after="120" w:line="288" w:lineRule="auto"/>
        <w:ind w:left="0"/>
        <w:jc w:val="left"/>
      </w:pPr>
      <w:r>
        <w:rPr>
          <w:rFonts w:eastAsia="等线" w:ascii="Arial" w:cs="Arial" w:hAnsi="Arial"/>
          <w:b w:val="true"/>
          <w:sz w:val="22"/>
        </w:rPr>
        <w:t>权属层面</w:t>
      </w:r>
      <w:r>
        <w:rPr>
          <w:rFonts w:eastAsia="等线" w:ascii="Arial" w:cs="Arial" w:hAnsi="Arial"/>
          <w:sz w:val="22"/>
        </w:rPr>
        <w:t>：仓单开立、质押登记、解押管理</w:t>
      </w:r>
    </w:p>
    <w:p>
      <w:pPr>
        <w:spacing w:before="120" w:after="120" w:line="288" w:lineRule="auto"/>
        <w:ind w:left="0"/>
        <w:jc w:val="left"/>
      </w:pPr>
      <w:r>
        <w:rPr>
          <w:rFonts w:eastAsia="等线" w:ascii="Arial" w:cs="Arial" w:hAnsi="Arial"/>
          <w:b w:val="true"/>
          <w:sz w:val="22"/>
        </w:rPr>
        <w:t>核心业务目标</w:t>
      </w:r>
      <w:r>
        <w:rPr>
          <w:rFonts w:eastAsia="等线" w:ascii="Arial" w:cs="Arial" w:hAnsi="Arial"/>
          <w:sz w:val="22"/>
        </w:rPr>
        <w:t>：质押率超标预警率100%、货权异常率≤2%、出库审批时效≤2小时、盘点差异率≤2%。</w:t>
      </w:r>
    </w:p>
    <w:p>
      <w:pPr>
        <w:spacing w:before="120" w:after="120" w:line="288" w:lineRule="auto"/>
        <w:ind w:left="0"/>
        <w:jc w:val="left"/>
      </w:pPr>
      <w:r>
        <w:rPr>
          <w:rFonts w:eastAsia="等线" w:ascii="Arial" w:cs="Arial" w:hAnsi="Arial"/>
          <w:b w:val="true"/>
          <w:sz w:val="22"/>
        </w:rPr>
        <w:t>核心运营策略</w:t>
      </w:r>
      <w:r>
        <w:rPr>
          <w:rFonts w:eastAsia="等线" w:ascii="Arial" w:cs="Arial" w:hAnsi="Arial"/>
          <w:sz w:val="22"/>
        </w:rPr>
        <w:t>：通过</w:t>
      </w:r>
      <w:r>
        <w:rPr>
          <w:rFonts w:eastAsia="等线" w:ascii="Arial" w:cs="Arial" w:hAnsi="Arial"/>
          <w:b w:val="true"/>
          <w:sz w:val="22"/>
        </w:rPr>
        <w:t>品类差异化监</w:t>
      </w:r>
      <w:r>
        <w:rPr>
          <w:rFonts w:eastAsia="等线" w:ascii="Arial" w:cs="Arial" w:hAnsi="Arial"/>
          <w:sz w:val="22"/>
        </w:rPr>
        <w:t>控实现精准风控，通过</w:t>
      </w:r>
      <w:r>
        <w:rPr>
          <w:rFonts w:eastAsia="等线" w:ascii="Arial" w:cs="Arial" w:hAnsi="Arial"/>
          <w:b w:val="true"/>
          <w:sz w:val="22"/>
        </w:rPr>
        <w:t>分级预警响应机制</w:t>
      </w:r>
      <w:r>
        <w:rPr>
          <w:rFonts w:eastAsia="等线" w:ascii="Arial" w:cs="Arial" w:hAnsi="Arial"/>
          <w:sz w:val="22"/>
        </w:rPr>
        <w:t>确保及时处置，通过出库审批强管控确保货权可控。</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3.3.2 </w:t>
      </w:r>
      <w:r>
        <w:rPr>
          <w:rFonts w:eastAsia="等线" w:ascii="Arial" w:cs="Arial" w:hAnsi="Arial"/>
          <w:b w:val="true"/>
          <w:sz w:val="30"/>
        </w:rPr>
        <w:t>核心痛点</w:t>
      </w:r>
      <w:bookmarkEnd w:id="49"/>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决策层：</w:t>
            </w:r>
          </w:p>
          <w:p>
            <w:pPr>
              <w:numPr>
                <w:numId w:val="374"/>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缺乏各品类质押率分布、货值波动趋势、出库审批时效等数据的实时穿透分析，无法快速调整风控策略。例如整体不良率从2.1%上升至4.8%，3个月后才发现3C电子品类不良率高达7.2%。此外，各品类质押率上限不同（3C电子70%、白酒80%），决策层查看汇总数据时无法直接判断风险优先级——3C电子65%实际已接近红线，白酒65%仍在安全区间，但报表中显示相同。</w:t>
            </w:r>
          </w:p>
          <w:p>
            <w:pPr>
              <w:numPr>
                <w:numId w:val="375"/>
              </w:numPr>
              <w:spacing w:before="120" w:after="120" w:line="288" w:lineRule="auto"/>
              <w:ind w:left="0"/>
              <w:jc w:val="left"/>
            </w:pPr>
            <w:r>
              <w:rPr>
                <w:rFonts w:eastAsia="等线" w:ascii="Arial" w:cs="Arial" w:hAnsi="Arial"/>
                <w:b w:val="true"/>
                <w:color w:val="d83931"/>
                <w:sz w:val="22"/>
              </w:rPr>
              <w:t>【期望】</w:t>
            </w:r>
            <w:r>
              <w:rPr>
                <w:rFonts w:eastAsia="等线" w:ascii="Arial" w:cs="Arial" w:hAnsi="Arial"/>
                <w:sz w:val="22"/>
              </w:rPr>
              <w:t>实时掌握各品类质押率分布、货值波动等核心指标，支持按品类、客户维度穿透分析。采用"相对质押率"统一度量跨品类风险，让决策层无需记忆各品类上限即可快速识别高风险业务。通过差异化质押率设定、每日价格联动重算、分级响应制度等措施，推动3C品类不良率降至3%以下，出库审批时效缩短至2小时。</w:t>
            </w:r>
          </w:p>
          <w:p>
            <w:pPr>
              <w:numPr>
                <w:numId w:val="376"/>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通过与物流WMS的实时对接实现质押物数据的自动同步和智能校验，提供可视化的监控看板实时展示质押物状态和货值变化。建立出库审批的强管控机制，系统接收银行出库授权后自动校验质押率、货值等风控条件，平台掌握出库最终决策权。建立电子仓单管理平台采用唯一编码和电子签章技术，通过与货物监控的实时联动确保仓单记载的货物信息与实际库存一致。系统支持多品类商品的差异化监控配置，对接市场价格数据源实现货值的实时计算和预警。</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管理层</w:t>
            </w:r>
            <w:r>
              <w:rPr>
                <w:rFonts w:eastAsia="等线" w:ascii="Arial" w:cs="Arial" w:hAnsi="Arial"/>
                <w:sz w:val="22"/>
              </w:rPr>
              <w:t>：</w:t>
            </w:r>
          </w:p>
          <w:p>
            <w:pPr>
              <w:numPr>
                <w:numId w:val="377"/>
              </w:numPr>
              <w:spacing w:before="120" w:after="120" w:line="288" w:lineRule="auto"/>
              <w:ind w:left="0"/>
              <w:jc w:val="left"/>
            </w:pPr>
            <w:r>
              <w:rPr>
                <w:rFonts w:eastAsia="等线" w:ascii="Arial" w:cs="Arial" w:hAnsi="Arial"/>
                <w:b w:val="true"/>
                <w:sz w:val="22"/>
              </w:rPr>
              <w:t>货值监控与质押率管理</w:t>
            </w:r>
          </w:p>
          <w:p>
            <w:pPr>
              <w:numPr>
                <w:numId w:val="378"/>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将质押率超标预警率提升至100%、货权异常率降至2%以下</w:t>
            </w:r>
            <w:r>
              <w:rPr>
                <w:rFonts w:eastAsia="等线" w:ascii="Arial" w:cs="Arial" w:hAnsi="Arial"/>
                <w:sz w:val="22"/>
              </w:rPr>
              <w:t>（业务KPI），需要建立动态货值监控和质押率管控机制。但由于：</w:t>
            </w:r>
          </w:p>
          <w:p>
            <w:pPr>
              <w:numPr>
                <w:numId w:val="379"/>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：质押率设定未考虑品类特性（3C产品新品发布后月跌幅10-15%），缺乏分级预警响应制度，质押率超标后平均5天才处置；缺乏价格库管理规范，货值评估与市场价格脱节</w:t>
            </w:r>
          </w:p>
          <w:p>
            <w:pPr>
              <w:numPr>
                <w:numId w:val="380"/>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：仓储方信息报送依赖邮件或电话，滞后且准确性难保证；某业务质押物实际已出库，平台3天后才发现</w:t>
            </w:r>
          </w:p>
          <w:p>
            <w:pPr>
              <w:numPr>
                <w:numId w:val="381"/>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：缺乏与市场价格的动态联动机制，货值下跌后未及时重估；盘点依赖仓储方反馈，平台无法验证真实性，盘点差异率约3%</w:t>
            </w:r>
          </w:p>
          <w:p>
            <w:pPr>
              <w:spacing w:before="120" w:after="120" w:line="288" w:lineRule="auto"/>
              <w:ind w:left="453"/>
              <w:jc w:val="left"/>
            </w:pPr>
            <w:r>
              <w:rPr>
                <w:rFonts w:eastAsia="等线" w:ascii="Arial" w:cs="Arial" w:hAnsi="Arial"/>
                <w:sz w:val="22"/>
              </w:rPr>
              <w:t>导致质押率超标预警率仅70%，货权异常率达5%。例如某3C电子产品单月跌价15%，平台未及时发现，质押率从65%上升至76%。</w:t>
            </w:r>
          </w:p>
          <w:p>
            <w:pPr>
              <w:numPr>
                <w:numId w:val="382"/>
              </w:numPr>
              <w:spacing w:before="120" w:after="120" w:line="288" w:lineRule="auto"/>
              <w:ind w:left="453"/>
              <w:jc w:val="left"/>
            </w:pPr>
            <w:r>
              <w:rPr>
                <w:rFonts w:eastAsia="等线" w:ascii="Arial" w:cs="Arial" w:hAnsi="Arial"/>
                <w:b w:val="true"/>
                <w:color w:val="d83931"/>
                <w:sz w:val="22"/>
              </w:rPr>
              <w:t>【期望】</w:t>
            </w:r>
          </w:p>
          <w:p>
            <w:pPr>
              <w:numPr>
                <w:numId w:val="383"/>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品类差异化质押率标准》（3C电子70%、新品发布前降至60%；白酒80%；食品75%）；制定《分级预警响应制度》（警戒24小时响应、超标4小时响应、紧急立即响应）；制定《价格库管理制度》（明确数据来源、更新频率、审核机制）；建立《仓储方信息报送规范》（异常2小时内必报，延迟问责）</w:t>
            </w:r>
          </w:p>
          <w:p>
            <w:pPr>
              <w:numPr>
                <w:numId w:val="384"/>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：与WMS实时对接（每5分钟刷新），对接市场价格数据源每日自动重算货值和质押率，采用"相对质押率"统一度量跨品类风险，价格波动达阈值自动预警</w:t>
            </w:r>
          </w:p>
          <w:p>
            <w:pPr>
              <w:spacing w:before="120" w:after="120" w:line="288" w:lineRule="auto"/>
              <w:ind w:left="453"/>
              <w:jc w:val="left"/>
            </w:pPr>
            <w:r>
              <w:rPr>
                <w:rFonts w:eastAsia="等线" w:ascii="Arial" w:cs="Arial" w:hAnsi="Arial"/>
                <w:sz w:val="22"/>
              </w:rPr>
              <w:t>通过以上措施，质押率超标预警率达100%，货权异常率降至2%以下。</w:t>
            </w:r>
          </w:p>
          <w:p>
            <w:pPr>
              <w:numPr>
                <w:numId w:val="385"/>
              </w:numPr>
              <w:spacing w:before="120" w:after="120" w:line="288" w:lineRule="auto"/>
              <w:ind w:left="0"/>
              <w:jc w:val="left"/>
            </w:pPr>
            <w:r>
              <w:rPr>
                <w:rFonts w:eastAsia="等线" w:ascii="Arial" w:cs="Arial" w:hAnsi="Arial"/>
                <w:b w:val="true"/>
                <w:sz w:val="22"/>
              </w:rPr>
              <w:t xml:space="preserve"> 出库审批管控</w:t>
            </w:r>
          </w:p>
          <w:p>
            <w:pPr>
              <w:numPr>
                <w:numId w:val="386"/>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将出库审批时效缩短至2小时、货物处置周期缩短至45天</w:t>
            </w:r>
            <w:r>
              <w:rPr>
                <w:rFonts w:eastAsia="等线" w:ascii="Arial" w:cs="Arial" w:hAnsi="Arial"/>
                <w:sz w:val="22"/>
              </w:rPr>
              <w:t>（业务KPI），需要建立高效的出库审批决策机制。但由于：</w:t>
            </w:r>
          </w:p>
          <w:p>
            <w:pPr>
              <w:numPr>
                <w:numId w:val="387"/>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：缺乏分级审批授权，所有出库都需人工审批，审批人员工作量大；缺乏异常出库监控和仓储方责任追溯机制</w:t>
            </w:r>
          </w:p>
          <w:p>
            <w:pPr>
              <w:numPr>
                <w:numId w:val="388"/>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：银行出库授权通过邮件或传真发送，信息传递滞后；部分业务还款后银行未及时发送授权</w:t>
            </w:r>
          </w:p>
          <w:p>
            <w:pPr>
              <w:numPr>
                <w:numId w:val="389"/>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：审批时需手工查询银行授权、剩余货值、质押率等多系统信息，人工汇总耗时4-12小时</w:t>
            </w:r>
          </w:p>
          <w:p>
            <w:pPr>
              <w:spacing w:before="120" w:after="120" w:line="288" w:lineRule="auto"/>
              <w:ind w:left="453"/>
              <w:jc w:val="left"/>
            </w:pPr>
            <w:r>
              <w:rPr>
                <w:rFonts w:eastAsia="等线" w:ascii="Arial" w:cs="Arial" w:hAnsi="Arial"/>
                <w:sz w:val="22"/>
              </w:rPr>
              <w:t>导致出库审批时效从4小时延长至12小时，货物处置周期平均60天。</w:t>
            </w:r>
          </w:p>
          <w:p>
            <w:pPr>
              <w:numPr>
                <w:numId w:val="390"/>
              </w:numPr>
              <w:spacing w:before="120" w:after="120" w:line="288" w:lineRule="auto"/>
              <w:ind w:left="453"/>
              <w:jc w:val="left"/>
            </w:pPr>
            <w:r>
              <w:rPr>
                <w:rFonts w:eastAsia="等线" w:ascii="Arial" w:cs="Arial" w:hAnsi="Arial"/>
                <w:b w:val="true"/>
                <w:color w:val="d83931"/>
                <w:sz w:val="22"/>
              </w:rPr>
              <w:t>【期望】</w:t>
            </w:r>
          </w:p>
          <w:p>
            <w:pPr>
              <w:numPr>
                <w:numId w:val="391"/>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出库分级审批制度》（小额≤5万且安全质押率≤80%自动审批，大额或高风险转人工）；制定《异常出库监控制度》（未经审批出库、数量不符、频繁出库等自动预警并冻结）；建立《仓储方责任追溯机制》（未经审批放货由仓储方承担损失）</w:t>
            </w:r>
          </w:p>
          <w:p>
            <w:pPr>
              <w:numPr>
                <w:numId w:val="392"/>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：对接银行接口自动接收出库授权，集成化审批页面展示三重校验结果（授权有效性、货值充足性、质押率安全性），系统智能建议通过/拒绝</w:t>
            </w:r>
          </w:p>
          <w:p>
            <w:pPr>
              <w:spacing w:before="120" w:after="120" w:line="288" w:lineRule="auto"/>
              <w:ind w:left="453"/>
              <w:jc w:val="left"/>
            </w:pPr>
            <w:r>
              <w:rPr>
                <w:rFonts w:eastAsia="等线" w:ascii="Arial" w:cs="Arial" w:hAnsi="Arial"/>
                <w:sz w:val="22"/>
              </w:rPr>
              <w:t>通过以上措施，出库审批时效从12小时缩短至2小时，自动审批覆盖50%出库申请，货物处置周期缩短至45天。</w:t>
            </w:r>
          </w:p>
          <w:p>
            <w:pPr>
              <w:numPr>
                <w:numId w:val="393"/>
              </w:numPr>
              <w:spacing w:before="120" w:after="120" w:line="288" w:lineRule="auto"/>
              <w:ind w:left="0"/>
              <w:jc w:val="left"/>
            </w:pPr>
            <w:r>
              <w:rPr>
                <w:rFonts w:eastAsia="等线" w:ascii="Arial" w:cs="Arial" w:hAnsi="Arial"/>
                <w:b w:val="true"/>
                <w:sz w:val="22"/>
              </w:rPr>
              <w:t>品类差异化监控</w:t>
            </w:r>
          </w:p>
          <w:p>
            <w:pPr>
              <w:numPr>
                <w:numId w:val="394"/>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将品类风险预警及时率提升至95%以上</w:t>
            </w:r>
            <w:r>
              <w:rPr>
                <w:rFonts w:eastAsia="等线" w:ascii="Arial" w:cs="Arial" w:hAnsi="Arial"/>
                <w:sz w:val="22"/>
              </w:rPr>
              <w:t>（业务KPI），需要针对不同品类建立差异化监控机制。但由于：</w:t>
            </w:r>
          </w:p>
          <w:p>
            <w:pPr>
              <w:numPr>
                <w:numId w:val="395"/>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：不同品类风险特性差异大（3C价格波动、白酒串货、食品保质期），但采用统一监控规则，约25%的品类风险未及时发现</w:t>
            </w:r>
          </w:p>
          <w:p>
            <w:pPr>
              <w:numPr>
                <w:numId w:val="396"/>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：核心企业发现经销商异常（串货、违规等）需电话或邮件通知平台，信息传递延迟1-3天</w:t>
            </w:r>
          </w:p>
          <w:p>
            <w:pPr>
              <w:numPr>
                <w:numId w:val="397"/>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：缺乏品类特有风险的自动监控能力（新品发布周期、串货流向、保质期临期等）</w:t>
            </w:r>
          </w:p>
          <w:p>
            <w:pPr>
              <w:spacing w:before="120" w:after="120" w:line="288" w:lineRule="auto"/>
              <w:ind w:left="453"/>
              <w:jc w:val="left"/>
            </w:pPr>
            <w:r>
              <w:rPr>
                <w:rFonts w:eastAsia="等线" w:ascii="Arial" w:cs="Arial" w:hAnsi="Arial"/>
                <w:sz w:val="22"/>
              </w:rPr>
              <w:t>导致品类风险预警及时率仅75%。</w:t>
            </w:r>
          </w:p>
          <w:p>
            <w:pPr>
              <w:numPr>
                <w:numId w:val="398"/>
              </w:numPr>
              <w:spacing w:before="120" w:after="120" w:line="288" w:lineRule="auto"/>
              <w:ind w:left="453"/>
              <w:jc w:val="left"/>
            </w:pPr>
            <w:r>
              <w:rPr>
                <w:rFonts w:eastAsia="等线" w:ascii="Arial" w:cs="Arial" w:hAnsi="Arial"/>
                <w:b w:val="true"/>
                <w:color w:val="d83931"/>
                <w:sz w:val="22"/>
              </w:rPr>
              <w:t>【期望】</w:t>
            </w:r>
          </w:p>
          <w:p>
            <w:pPr>
              <w:numPr>
                <w:numId w:val="399"/>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制定《3C电子监控规则》（新品发布前30天质押率下调10%、促销季前15天下调5%、价格监控频率提高）；制定《白酒串货监控规则》（跨区销售比例&gt;10%预警、核心企业推送立即响应）；制定《食品保质期管理规则》（剩余&lt;1/3不入库、&lt;90天降低质押率、&lt;60天启动处置）</w:t>
            </w:r>
          </w:p>
          <w:p>
            <w:pPr>
              <w:numPr>
                <w:numId w:val="400"/>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：系统根据品类自动加载对应监控规则和预警阈值，对接核心企业实时接收经销商异常预警，品类特有风险自动监控并统一推送</w:t>
            </w:r>
          </w:p>
          <w:p>
            <w:pPr>
              <w:spacing w:before="120" w:after="120" w:line="288" w:lineRule="auto"/>
              <w:ind w:left="453"/>
              <w:jc w:val="left"/>
            </w:pPr>
            <w:r>
              <w:rPr>
                <w:rFonts w:eastAsia="等线" w:ascii="Arial" w:cs="Arial" w:hAnsi="Arial"/>
                <w:sz w:val="22"/>
              </w:rPr>
              <w:t>通过以上措施，品类风险预警及时率提升至95%以上，3C品类不良率从7.2%降至3%以下。</w:t>
            </w:r>
          </w:p>
          <w:p>
            <w:pPr>
              <w:numPr>
                <w:numId w:val="401"/>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通过API接口与物流WMS实时对接，货物入库、出库、库存变化等数据自动同步（每5分钟刷新），系统智能校验数据合规性并生成预警。系统对接市场价格数据源，7×24小时监控质押物货值、质押率等指标，价格库更新后自动批量重算并预警，系统根据商品品类自动加载对应的监控规则和预警阈值。系统对接WMS盘点数据，自动比对账实差异并生成异常报告，差异超过阈值时自动触发实地核查流程。出库审批采用在线决策流程，系统接收银行出库授权后自动校验授权有效性、剩余货值、质押率等条件并提供决策建议，小额且安全的出库自动审批，大额或有风险的转人工审批，质押率超标（&gt;100%）的出库自动拒绝。通过出库审批机制确保平台对货物流转具有最终决策权。</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执行层</w:t>
            </w:r>
            <w:r>
              <w:rPr>
                <w:rFonts w:eastAsia="等线" w:ascii="Arial" w:cs="Arial" w:hAnsi="Arial"/>
                <w:sz w:val="22"/>
              </w:rPr>
              <w:t>：</w:t>
            </w:r>
          </w:p>
          <w:p>
            <w:pPr>
              <w:numPr>
                <w:numId w:val="402"/>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每天需向仓储方询问货物状态，获取信息慢且无法验证真实性。处理出库申请时需手工查询多个系统信息，难以快速判断是否满足放货条件。货值变化后不知道哪些业务质押率超标，需逐笔核查。不同品类商品关注点不同，容易遗漏关键风险点。</w:t>
            </w:r>
          </w:p>
          <w:p>
            <w:pPr>
              <w:numPr>
                <w:numId w:val="403"/>
              </w:numPr>
              <w:spacing w:before="120" w:after="120" w:line="288" w:lineRule="auto"/>
              <w:ind w:left="0"/>
              <w:jc w:val="left"/>
            </w:pPr>
            <w:r>
              <w:rPr>
                <w:rFonts w:eastAsia="等线" w:ascii="Arial" w:cs="Arial" w:hAnsi="Arial"/>
                <w:b w:val="true"/>
                <w:color w:val="d83931"/>
                <w:sz w:val="22"/>
              </w:rPr>
              <w:t>【期望】</w:t>
            </w:r>
          </w:p>
          <w:p>
            <w:pPr>
              <w:numPr>
                <w:numId w:val="404"/>
              </w:numPr>
              <w:spacing w:before="120" w:after="120" w:line="288" w:lineRule="auto"/>
              <w:ind w:left="453"/>
              <w:jc w:val="left"/>
            </w:pPr>
            <w:r>
              <w:rPr>
                <w:rFonts w:eastAsia="等线" w:ascii="Arial" w:cs="Arial" w:hAnsi="Arial"/>
                <w:b w:val="true"/>
                <w:sz w:val="22"/>
              </w:rPr>
              <w:t>操作规范</w:t>
            </w:r>
            <w:r>
              <w:rPr>
                <w:rFonts w:eastAsia="等线" w:ascii="Arial" w:cs="Arial" w:hAnsi="Arial"/>
                <w:sz w:val="22"/>
              </w:rPr>
              <w:t>：按《分级预警响应制度》在规定时效内处理预警任务，按《出库分级审批制度》识别可自动审批的业务，按各品类监控规则关注特定风险点</w:t>
            </w:r>
          </w:p>
          <w:p>
            <w:pPr>
              <w:numPr>
                <w:numId w:val="405"/>
              </w:numPr>
              <w:spacing w:before="120" w:after="120" w:line="288" w:lineRule="auto"/>
              <w:ind w:left="453"/>
              <w:jc w:val="left"/>
            </w:pPr>
            <w:r>
              <w:rPr>
                <w:rFonts w:eastAsia="等线" w:ascii="Arial" w:cs="Arial" w:hAnsi="Arial"/>
                <w:b w:val="true"/>
                <w:sz w:val="22"/>
              </w:rPr>
              <w:t>系统支持</w:t>
            </w:r>
            <w:r>
              <w:rPr>
                <w:rFonts w:eastAsia="等线" w:ascii="Arial" w:cs="Arial" w:hAnsi="Arial"/>
                <w:sz w:val="22"/>
              </w:rPr>
              <w:t>：WMS数据自动同步实时掌握货物状态，出库审批页面集成化设计并智能判断是否可放货，货值更新后自动计算质押率并预警超标，系统根据品类自动提示需关注的风险点</w:t>
            </w:r>
          </w:p>
          <w:p>
            <w:pPr>
              <w:numPr>
                <w:numId w:val="406"/>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与WMS实时对接，货物入库、出库、库存变化等数据自动同步并在看板实时展示，支持移动端随时查看。出库审批页面集成化设计，自动展示银行授权状态、剩余货值、质押率等关键信息，系统智能判断是否满足放货条件并给出明确建议。系统自动接收WMS盘点结果，智能比对账实差异，差异超过阈值时自动生成核查任务并推送给责任人。价格库更新后系统自动批量重算所有在库质押物的货值和质押率，质押率超标的业务自动标红并推送预警。仓单开立时系统自动关联货物监控数据，货物信息自动带入无需手工录入。系统根据商品品类自动展示监控清单和风险提示。</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0" w:id="50"/>
      <w:r>
        <w:rPr>
          <w:rFonts w:eastAsia="等线" w:ascii="Arial" w:cs="Arial" w:hAnsi="Arial"/>
          <w:color w:val="3370ff"/>
          <w:sz w:val="30"/>
        </w:rPr>
        <w:t xml:space="preserve">3.3.3 </w:t>
      </w:r>
      <w:r>
        <w:rPr>
          <w:rFonts w:eastAsia="等线" w:ascii="Arial" w:cs="Arial" w:hAnsi="Arial"/>
          <w:b w:val="true"/>
          <w:sz w:val="30"/>
        </w:rPr>
        <w:t>功能架构</w:t>
      </w:r>
      <w:bookmarkEnd w:id="50"/>
    </w:p>
    <w:p>
      <w:pPr>
        <w:spacing w:before="120" w:after="120" w:line="288" w:lineRule="auto"/>
        <w:ind w:left="0"/>
      </w:pPr>
      <w:r>
        <w:object>
          <v:shape id="_x0000_i1036" style="width:414pt;height:136pt;mso-width-percent:0;mso-height-percent:0;mso-width-percent:0;mso-height-percent:0" type="#_x0000_t75" o:ole="">
            <v:imagedata r:id="rId36" o:title=""/>
          </v:shape>
          <o:OLEObject DrawAspect="Icon" ObjectID="_1718471230" ProgID="Excel.Sheet.12" ShapeID="_x0000_i1036" Type="Embed" r:id="rId3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1" w:id="51"/>
      <w:r>
        <w:rPr>
          <w:rFonts w:eastAsia="等线" w:ascii="Arial" w:cs="Arial" w:hAnsi="Arial"/>
          <w:color w:val="3370ff"/>
          <w:sz w:val="30"/>
        </w:rPr>
        <w:t xml:space="preserve">3.3.4 </w:t>
      </w:r>
      <w:r>
        <w:rPr>
          <w:rFonts w:eastAsia="等线" w:ascii="Arial" w:cs="Arial" w:hAnsi="Arial"/>
          <w:b w:val="true"/>
          <w:sz w:val="30"/>
        </w:rPr>
        <w:t>核心功能详解</w:t>
      </w:r>
      <w:bookmarkEnd w:id="51"/>
    </w:p>
    <w:p>
      <w:pPr>
        <w:pStyle w:val="4"/>
        <w:spacing w:before="260" w:after="120" w:line="288" w:lineRule="auto"/>
        <w:ind w:left="0"/>
        <w:jc w:val="left"/>
        <w:outlineLvl w:val="3"/>
      </w:pPr>
      <w:bookmarkStart w:name="heading_52" w:id="52"/>
      <w:r>
        <w:rPr>
          <w:rFonts w:eastAsia="等线" w:ascii="Arial" w:cs="Arial" w:hAnsi="Arial"/>
          <w:color w:val="3370ff"/>
          <w:sz w:val="28"/>
        </w:rPr>
        <w:t xml:space="preserve">3.3.4.1 </w:t>
      </w:r>
      <w:r>
        <w:rPr>
          <w:rFonts w:eastAsia="等线" w:ascii="Arial" w:cs="Arial" w:hAnsi="Arial"/>
          <w:b w:val="true"/>
          <w:sz w:val="28"/>
        </w:rPr>
        <w:t>出库审批决策（重点功能）</w:t>
      </w:r>
      <w:bookmarkEnd w:id="52"/>
    </w:p>
    <w:p>
      <w:pPr>
        <w:pStyle w:val="5"/>
        <w:spacing w:before="240" w:after="120" w:line="288" w:lineRule="auto"/>
        <w:ind w:left="0"/>
        <w:jc w:val="left"/>
        <w:outlineLvl w:val="4"/>
      </w:pPr>
      <w:bookmarkStart w:name="heading_53" w:id="53"/>
      <w:r>
        <w:rPr>
          <w:rFonts w:eastAsia="等线" w:ascii="Arial" w:cs="Arial" w:hAnsi="Arial"/>
          <w:color w:val="3370ff"/>
          <w:sz w:val="24"/>
        </w:rPr>
        <w:t xml:space="preserve">3.3.4.1.1 </w:t>
      </w:r>
      <w:r>
        <w:rPr>
          <w:rFonts w:eastAsia="等线" w:ascii="Arial" w:cs="Arial" w:hAnsi="Arial"/>
          <w:b w:val="true"/>
          <w:sz w:val="24"/>
        </w:rPr>
        <w:t>解决的核心问题</w:t>
      </w:r>
      <w:bookmarkEnd w:id="53"/>
    </w:p>
    <w:p>
      <w:pPr>
        <w:spacing w:before="120" w:after="120" w:line="288" w:lineRule="auto"/>
        <w:ind w:left="0"/>
      </w:pPr>
      <w:r>
        <w:object>
          <v:shape id="_x0000_i1037" style="width:414pt;height:197pt;mso-width-percent:0;mso-height-percent:0;mso-width-percent:0;mso-height-percent:0" type="#_x0000_t75" o:ole="">
            <v:imagedata r:id="rId38" o:title=""/>
          </v:shape>
          <o:OLEObject DrawAspect="Icon" ObjectID="_1718471231" ProgID="Excel.Sheet.12" ShapeID="_x0000_i1037" Type="Embed" r:id="rId3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54" w:id="54"/>
      <w:r>
        <w:rPr>
          <w:rFonts w:eastAsia="等线" w:ascii="Arial" w:cs="Arial" w:hAnsi="Arial"/>
          <w:color w:val="3370ff"/>
          <w:sz w:val="24"/>
        </w:rPr>
        <w:t xml:space="preserve">3.3.4.1.2 </w:t>
      </w:r>
      <w:r>
        <w:rPr>
          <w:rFonts w:eastAsia="等线" w:ascii="Arial" w:cs="Arial" w:hAnsi="Arial"/>
          <w:b w:val="true"/>
          <w:sz w:val="24"/>
        </w:rPr>
        <w:t>业务流程</w:t>
      </w:r>
      <w:bookmarkEnd w:id="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xml:space="preserve">    participant E as 企业端</w:t>
              <w:br/>
              <w:t xml:space="preserve">    participant P as 平台</w:t>
              <w:br/>
              <w:t xml:space="preserve">    participant W as WMS系统</w:t>
              <w:br/>
              <w:t xml:space="preserve">    participant B as 银行端</w:t>
              <w:br/>
              <w:t xml:space="preserve">    </w:t>
              <w:br/>
              <w:t xml:space="preserve">    E-&gt;&gt;B: 1.申请还款并提货</w:t>
              <w:br/>
              <w:t xml:space="preserve">    B-&gt;&gt;B: 2.确认还款到账</w:t>
              <w:br/>
              <w:t xml:space="preserve">    B-&gt;&gt;P: 3.发送出库授权&lt;br/&gt;(授权释放XX价值质押物)</w:t>
              <w:br/>
              <w:t xml:space="preserve">    P-&gt;&gt;P: 4.系统自动校验&lt;br/&gt;(授权有效性/剩余货值/质押率)</w:t>
              <w:br/>
              <w:t xml:space="preserve">    </w:t>
              <w:br/>
              <w:t xml:space="preserve">    alt 自动校验通过</w:t>
              <w:br/>
              <w:t xml:space="preserve">        P-&gt;&gt;P: 5a.小额出库自动审批</w:t>
              <w:br/>
              <w:t xml:space="preserve">        P-&gt;&gt;W: 6a.下发出库指令</w:t>
              <w:br/>
              <w:t xml:space="preserve">    else 需人工审批</w:t>
              <w:br/>
              <w:t xml:space="preserve">        P-&gt;&gt;P: 5b.人工审批决策</w:t>
              <w:br/>
              <w:t xml:space="preserve">        alt 审批通过</w:t>
              <w:br/>
              <w:t xml:space="preserve">            P-&gt;&gt;W: 6b.下发出库指令</w:t>
              <w:br/>
              <w:t xml:space="preserve">        else 审批驳回</w:t>
              <w:br/>
              <w:t xml:space="preserve">            P-&gt;&gt;E: 驳回通知</w:t>
              <w:br/>
              <w:t xml:space="preserve">        end</w:t>
              <w:br/>
              <w:t xml:space="preserve">    end</w:t>
              <w:br/>
              <w:t xml:space="preserve">    </w:t>
              <w:br/>
              <w:t xml:space="preserve">    W-&gt;&gt;P: 7.出库完成反馈</w:t>
              <w:br/>
              <w:t xml:space="preserve">    P-&gt;&gt;P: 8.自动更新质押物数据&lt;br/&gt;触发仓单状态变更</w:t>
              <w:br/>
              <w:t xml:space="preserve">    P-&gt;&gt;B: 9.通知出库完成</w:t>
              <w:br/>
              <w:t xml:space="preserve">    P-&gt;&gt;E: 10.通知提货成功</w:t>
            </w:r>
          </w:p>
        </w:tc>
      </w:tr>
    </w:tbl>
    <w:p>
      <w:pPr>
        <w:spacing w:before="120" w:after="120" w:line="288" w:lineRule="auto"/>
        <w:ind w:left="0"/>
        <w:jc w:val="left"/>
      </w:pPr>
      <w:r>
        <w:rPr>
          <w:rFonts w:eastAsia="等线" w:ascii="Arial" w:cs="Arial" w:hAnsi="Arial"/>
          <w:b w:val="true"/>
          <w:sz w:val="22"/>
        </w:rPr>
        <w:t>关键环节设计亮点</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环节3：银行出库授权</w:t>
      </w:r>
    </w:p>
    <w:p>
      <w:pPr>
        <w:spacing w:before="120" w:after="120" w:line="288" w:lineRule="auto"/>
        <w:ind w:left="0"/>
        <w:jc w:val="left"/>
      </w:pPr>
      <w:r>
        <w:rPr>
          <w:rFonts w:eastAsia="等线" w:ascii="Arial" w:cs="Arial" w:hAnsi="Arial"/>
          <w:sz w:val="22"/>
        </w:rPr>
        <w:t>银行角色：授权方</w:t>
        <w:br/>
      </w:r>
      <w:r>
        <w:rPr>
          <w:rFonts w:eastAsia="等线" w:ascii="Arial" w:cs="Arial" w:hAnsi="Arial"/>
          <w:sz w:val="22"/>
        </w:rPr>
        <w:t>银行职责：</w:t>
      </w:r>
    </w:p>
    <w:p>
      <w:pPr>
        <w:numPr>
          <w:numId w:val="407"/>
        </w:numPr>
        <w:spacing w:before="120" w:after="120" w:line="288" w:lineRule="auto"/>
        <w:ind w:left="0"/>
        <w:jc w:val="left"/>
      </w:pPr>
      <w:r>
        <w:rPr>
          <w:rFonts w:eastAsia="等线" w:ascii="Arial" w:cs="Arial" w:hAnsi="Arial"/>
          <w:sz w:val="22"/>
        </w:rPr>
        <w:t>确认企业还款到账</w:t>
      </w:r>
    </w:p>
    <w:p>
      <w:pPr>
        <w:numPr>
          <w:numId w:val="408"/>
        </w:numPr>
        <w:spacing w:before="120" w:after="120" w:line="288" w:lineRule="auto"/>
        <w:ind w:left="0"/>
        <w:jc w:val="left"/>
      </w:pPr>
      <w:r>
        <w:rPr>
          <w:rFonts w:eastAsia="等线" w:ascii="Arial" w:cs="Arial" w:hAnsi="Arial"/>
          <w:sz w:val="22"/>
        </w:rPr>
        <w:t>计算可释放的质押物价值</w:t>
      </w:r>
    </w:p>
    <w:p>
      <w:pPr>
        <w:numPr>
          <w:numId w:val="409"/>
        </w:numPr>
        <w:spacing w:before="120" w:after="120" w:line="288" w:lineRule="auto"/>
        <w:ind w:left="0"/>
        <w:jc w:val="left"/>
      </w:pPr>
      <w:r>
        <w:rPr>
          <w:rFonts w:eastAsia="等线" w:ascii="Arial" w:cs="Arial" w:hAnsi="Arial"/>
          <w:sz w:val="22"/>
        </w:rPr>
        <w:t>向平台发送出库授权</w:t>
      </w:r>
    </w:p>
    <w:p>
      <w:pPr>
        <w:spacing w:before="120" w:after="120" w:line="288" w:lineRule="auto"/>
        <w:ind w:left="0"/>
        <w:jc w:val="left"/>
      </w:pPr>
      <w:r>
        <w:rPr>
          <w:rFonts w:eastAsia="等线" w:ascii="Arial" w:cs="Arial" w:hAnsi="Arial"/>
          <w:sz w:val="22"/>
        </w:rPr>
        <w:t>授权内容：</w:t>
      </w:r>
    </w:p>
    <w:p>
      <w:pPr>
        <w:numPr>
          <w:numId w:val="410"/>
        </w:numPr>
        <w:spacing w:before="120" w:after="120" w:line="288" w:lineRule="auto"/>
        <w:ind w:left="0"/>
        <w:jc w:val="left"/>
      </w:pPr>
      <w:r>
        <w:rPr>
          <w:rFonts w:eastAsia="等线" w:ascii="Arial" w:cs="Arial" w:hAnsi="Arial"/>
          <w:sz w:val="22"/>
        </w:rPr>
        <w:t>授权编号</w:t>
      </w:r>
    </w:p>
    <w:p>
      <w:pPr>
        <w:numPr>
          <w:numId w:val="411"/>
        </w:numPr>
        <w:spacing w:before="120" w:after="120" w:line="288" w:lineRule="auto"/>
        <w:ind w:left="0"/>
        <w:jc w:val="left"/>
      </w:pPr>
      <w:r>
        <w:rPr>
          <w:rFonts w:eastAsia="等线" w:ascii="Arial" w:cs="Arial" w:hAnsi="Arial"/>
          <w:sz w:val="22"/>
        </w:rPr>
        <w:t>还款金额</w:t>
      </w:r>
    </w:p>
    <w:p>
      <w:pPr>
        <w:numPr>
          <w:numId w:val="412"/>
        </w:numPr>
        <w:spacing w:before="120" w:after="120" w:line="288" w:lineRule="auto"/>
        <w:ind w:left="0"/>
        <w:jc w:val="left"/>
      </w:pPr>
      <w:r>
        <w:rPr>
          <w:rFonts w:eastAsia="等线" w:ascii="Arial" w:cs="Arial" w:hAnsi="Arial"/>
          <w:sz w:val="22"/>
        </w:rPr>
        <w:t>可释放质押物价值</w:t>
      </w:r>
    </w:p>
    <w:p>
      <w:pPr>
        <w:numPr>
          <w:numId w:val="413"/>
        </w:numPr>
        <w:spacing w:before="120" w:after="120" w:line="288" w:lineRule="auto"/>
        <w:ind w:left="0"/>
        <w:jc w:val="left"/>
      </w:pPr>
      <w:r>
        <w:rPr>
          <w:rFonts w:eastAsia="等线" w:ascii="Arial" w:cs="Arial" w:hAnsi="Arial"/>
          <w:sz w:val="22"/>
        </w:rPr>
        <w:t>授权有效期（通常24小时）</w:t>
      </w:r>
    </w:p>
    <w:p>
      <w:pPr>
        <w:spacing w:before="120" w:after="120" w:line="288" w:lineRule="auto"/>
        <w:ind w:left="0"/>
        <w:jc w:val="left"/>
      </w:pPr>
      <w:r>
        <w:rPr>
          <w:rFonts w:eastAsia="等线" w:ascii="Arial" w:cs="Arial" w:hAnsi="Arial"/>
          <w:b w:val="true"/>
          <w:color w:val="d83931"/>
          <w:sz w:val="22"/>
          <w:shd w:fill="fff67a"/>
        </w:rPr>
        <w:t>环节4：三重自动校验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校验1：银行授权有效性</w:t>
              <w:br/>
              <w:t xml:space="preserve">  - 银行是否已确认还款</w:t>
              <w:br/>
              <w:t xml:space="preserve">  - 授权出库数量/金额</w:t>
              <w:br/>
              <w:t xml:space="preserve">  - 授权是否在有效期内（24小时）</w:t>
              <w:br/>
              <w:br/>
              <w:t>校验2：剩余货值充足性</w:t>
              <w:br/>
              <w:t xml:space="preserve">  - 当前在库货值</w:t>
              <w:br/>
              <w:t xml:space="preserve">  - 申请出库货值</w:t>
              <w:br/>
              <w:t xml:space="preserve">  - 剩余货值 = 在库货值 - 出库货值</w:t>
              <w:br/>
              <w:br/>
              <w:t>校验3：质押率安全性</w:t>
              <w:br/>
              <w:t xml:space="preserve">  - 剩余融资本金</w:t>
              <w:br/>
              <w:t xml:space="preserve">  - 出库后剩余货值</w:t>
              <w:br/>
              <w:t xml:space="preserve">  - 出库后质押率 = 剩余本金 / (剩余货值 × 质押率)</w:t>
              <w:br/>
            </w:r>
            <w:r>
              <w:rPr>
                <w:rFonts w:eastAsia="Consolas" w:ascii="Consolas" w:cs="Consolas" w:hAnsi="Consolas"/>
                <w:sz w:val="22"/>
              </w:rPr>
              <w:t xml:space="preserve">  - 判断：出库后质押率 ≤ 100%</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满足期望：出库审批准确率100%，杜绝违规放货</w:t>
            </w:r>
          </w:p>
        </w:tc>
      </w:tr>
    </w:tbl>
    <w:p>
      <w:pPr>
        <w:spacing w:before="120" w:after="120" w:line="288" w:lineRule="auto"/>
        <w:ind w:left="0"/>
        <w:jc w:val="left"/>
      </w:pPr>
      <w:r>
        <w:rPr>
          <w:rFonts w:eastAsia="等线" w:ascii="Arial" w:cs="Arial" w:hAnsi="Arial"/>
          <w:b w:val="true"/>
          <w:sz w:val="22"/>
        </w:rPr>
        <w:t>环节5：智能审批策略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IF 出库货值 ≤ 5万 AND 出库后质押率 ≤ 80% THEN</w:t>
              <w:br/>
              <w:t xml:space="preserve">    自动审批通过</w:t>
              <w:br/>
              <w:t>ELSE IF 出库后质押率 &gt; 100% THEN</w:t>
              <w:br/>
              <w:t xml:space="preserve">    自动拒绝，提示需还款或补充质押物</w:t>
              <w:br/>
              <w:t>ELSE</w:t>
              <w:br/>
              <w:t xml:space="preserve">    转人工审批</w:t>
              <w:br/>
            </w:r>
            <w:r>
              <w:rPr>
                <w:rFonts w:eastAsia="Consolas" w:ascii="Consolas" w:cs="Consolas" w:hAnsi="Consolas"/>
                <w:sz w:val="22"/>
              </w:rPr>
              <w:t>END IF</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55" w:id="55"/>
      <w:r>
        <w:rPr>
          <w:rFonts w:eastAsia="等线" w:ascii="Arial" w:cs="Arial" w:hAnsi="Arial"/>
          <w:color w:val="3370ff"/>
          <w:sz w:val="24"/>
        </w:rPr>
        <w:t xml:space="preserve">3.3.4.1.3 </w:t>
      </w:r>
      <w:r>
        <w:rPr>
          <w:rFonts w:eastAsia="等线" w:ascii="Arial" w:cs="Arial" w:hAnsi="Arial"/>
          <w:b w:val="true"/>
          <w:sz w:val="24"/>
        </w:rPr>
        <w:t>关键页面原型</w:t>
      </w:r>
      <w:bookmarkEnd w:id="55"/>
    </w:p>
    <w:p>
      <w:pPr>
        <w:spacing w:before="120" w:after="120" w:line="288" w:lineRule="auto"/>
        <w:ind w:left="0"/>
        <w:jc w:val="left"/>
      </w:pPr>
      <w:r>
        <w:rPr>
          <w:rFonts w:eastAsia="等线" w:ascii="Arial" w:cs="Arial" w:hAnsi="Arial"/>
          <w:b w:val="true"/>
          <w:color w:val="d83931"/>
          <w:sz w:val="22"/>
          <w:shd w:fill="fff67a"/>
        </w:rPr>
        <w:t>【出库审批页】</w:t>
      </w:r>
    </w:p>
    <w:p>
      <w:pPr>
        <w:spacing w:before="120" w:after="120" w:line="288" w:lineRule="auto"/>
        <w:ind w:left="0"/>
        <w:jc w:val="center"/>
      </w:pPr>
      <w:r>
        <w:drawing>
          <wp:inline distT="0" distR="0" distB="0" distL="0">
            <wp:extent cx="5257800" cy="40481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39"/>
                    <a:stretch>
                      <a:fillRect/>
                    </a:stretch>
                  </pic:blipFill>
                  <pic:spPr>
                    <a:xfrm>
                      <a:off x="0" y="0"/>
                      <a:ext cx="5257800" cy="4048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页面作用：平台审批出库申请的核心决策页面，确保货权可控。</w:t>
      </w:r>
    </w:p>
    <w:p>
      <w:pPr>
        <w:spacing w:before="120" w:after="120" w:line="288" w:lineRule="auto"/>
        <w:ind w:left="0"/>
        <w:jc w:val="left"/>
      </w:pPr>
      <w:r>
        <w:rPr>
          <w:rFonts w:eastAsia="等线" w:ascii="Arial" w:cs="Arial" w:hAnsi="Arial"/>
          <w:sz w:val="22"/>
        </w:rPr>
        <w:t>重点设计：</w:t>
      </w:r>
    </w:p>
    <w:p>
      <w:pPr>
        <w:numPr>
          <w:numId w:val="414"/>
        </w:numPr>
        <w:spacing w:before="120" w:after="120" w:line="288" w:lineRule="auto"/>
        <w:ind w:left="0"/>
        <w:jc w:val="left"/>
      </w:pPr>
      <w:r>
        <w:rPr>
          <w:rFonts w:eastAsia="等线" w:ascii="Arial" w:cs="Arial" w:hAnsi="Arial"/>
          <w:b w:val="true"/>
          <w:sz w:val="22"/>
        </w:rPr>
        <w:t>银行授权状态置顶</w:t>
      </w:r>
      <w:r>
        <w:rPr>
          <w:rFonts w:eastAsia="等线" w:ascii="Arial" w:cs="Arial" w:hAnsi="Arial"/>
          <w:sz w:val="22"/>
        </w:rPr>
        <w:t>：出库的前置条件，页面顶部黑色区块突出展示授权编号、有效期、授权金额/已用/剩余，授权状态实时显示（有效/无效）</w:t>
      </w:r>
    </w:p>
    <w:p>
      <w:pPr>
        <w:numPr>
          <w:numId w:val="415"/>
        </w:numPr>
        <w:spacing w:before="120" w:after="120" w:line="288" w:lineRule="auto"/>
        <w:ind w:left="0"/>
        <w:jc w:val="left"/>
      </w:pPr>
      <w:r>
        <w:rPr>
          <w:rFonts w:eastAsia="等线" w:ascii="Arial" w:cs="Arial" w:hAnsi="Arial"/>
          <w:b w:val="true"/>
          <w:sz w:val="22"/>
        </w:rPr>
        <w:t>质押率可视化对比</w:t>
      </w:r>
      <w:r>
        <w:rPr>
          <w:rFonts w:eastAsia="等线" w:ascii="Arial" w:cs="Arial" w:hAnsi="Arial"/>
          <w:sz w:val="22"/>
        </w:rPr>
        <w:t>：左右分栏展示"当前状态"与"出库后预测"，用进度条+颜色区分安全(绿)/关注(蓝)/警戒(黄)/超标(红)，让审批人一眼判断出库风险</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质押率分级标准见</w:t>
            </w:r>
            <w:hyperlink r:id="rId40">
              <w:r>
                <w:rPr>
                  <w:rFonts w:eastAsia="等线" w:ascii="Arial" w:cs="Arial" w:hAnsi="Arial"/>
                  <w:color w:val="3370ff"/>
                  <w:sz w:val="22"/>
                </w:rPr>
                <w:t>3.3.4.1.4 质押率分级标准及处置措施</w:t>
              </w:r>
            </w:hyperlink>
          </w:p>
        </w:tc>
      </w:tr>
    </w:tbl>
    <w:p>
      <w:pPr>
        <w:numPr>
          <w:numId w:val="416"/>
        </w:numPr>
        <w:spacing w:before="120" w:after="120" w:line="288" w:lineRule="auto"/>
        <w:ind w:left="0"/>
        <w:jc w:val="left"/>
      </w:pPr>
      <w:r>
        <w:rPr>
          <w:rFonts w:eastAsia="等线" w:ascii="Arial" w:cs="Arial" w:hAnsi="Arial"/>
          <w:b w:val="true"/>
          <w:sz w:val="22"/>
        </w:rPr>
        <w:t>三重自动校验</w:t>
      </w:r>
      <w:r>
        <w:rPr>
          <w:rFonts w:eastAsia="等线" w:ascii="Arial" w:cs="Arial" w:hAnsi="Arial"/>
          <w:sz w:val="22"/>
        </w:rPr>
        <w:t>：系统自动校验银行授权有效性、剩余货值充足性、质押率安全性，校验结果可视化展示（✓通过/✗不通过）</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三重自动校验见</w:t>
            </w:r>
            <w:hyperlink r:id="rId41">
              <w:r>
                <w:rPr>
                  <w:rFonts w:eastAsia="等线" w:ascii="Arial" w:cs="Arial" w:hAnsi="Arial"/>
                  <w:color w:val="3370ff"/>
                  <w:sz w:val="22"/>
                </w:rPr>
                <w:t>3.3.4.1.5 三重自动校验逻辑</w:t>
              </w:r>
            </w:hyperlink>
          </w:p>
        </w:tc>
      </w:tr>
    </w:tbl>
    <w:p>
      <w:pPr>
        <w:numPr>
          <w:numId w:val="417"/>
        </w:numPr>
        <w:spacing w:before="120" w:after="120" w:line="288" w:lineRule="auto"/>
        <w:ind w:left="0"/>
        <w:jc w:val="left"/>
      </w:pPr>
      <w:r>
        <w:rPr>
          <w:rFonts w:eastAsia="等线" w:ascii="Arial" w:cs="Arial" w:hAnsi="Arial"/>
          <w:b w:val="true"/>
          <w:sz w:val="22"/>
        </w:rPr>
        <w:t>系统智能建议</w:t>
      </w:r>
      <w:r>
        <w:rPr>
          <w:rFonts w:eastAsia="等线" w:ascii="Arial" w:cs="Arial" w:hAnsi="Arial"/>
          <w:sz w:val="22"/>
        </w:rPr>
        <w:t>：所有校验通过时显示"系统建议：通过"，存在风险时给出具体原因和处置建议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满足期望：出库是货权管控的关键环节，设计目标是"快速判断、准确决策"，把银行授权确认、货值校验、质押率计算三重校验集中在一个页面完成，将出库审批时效从12小时缩短至2小时。</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56" w:id="56"/>
      <w:r>
        <w:rPr>
          <w:rFonts w:eastAsia="等线" w:ascii="Arial" w:cs="Arial" w:hAnsi="Arial"/>
          <w:color w:val="3370ff"/>
          <w:sz w:val="24"/>
        </w:rPr>
        <w:t xml:space="preserve">3.3.4.1.4 </w:t>
      </w:r>
      <w:r>
        <w:rPr>
          <w:rFonts w:eastAsia="等线" w:ascii="Arial" w:cs="Arial" w:hAnsi="Arial"/>
          <w:b w:val="true"/>
          <w:sz w:val="24"/>
        </w:rPr>
        <w:t>质押率分级标准及处置措施</w:t>
      </w:r>
      <w:bookmarkEnd w:id="56"/>
    </w:p>
    <w:p>
      <w:pPr>
        <w:spacing w:before="120" w:after="120" w:line="288" w:lineRule="auto"/>
        <w:ind w:left="0"/>
      </w:pPr>
      <w:r>
        <w:object>
          <v:shape id="_x0000_i1038" style="width:414pt;height:192pt;mso-width-percent:0;mso-height-percent:0;mso-width-percent:0;mso-height-percent:0" type="#_x0000_t75" o:ole="">
            <v:imagedata r:id="rId43" o:title=""/>
          </v:shape>
          <o:OLEObject DrawAspect="Icon" ObjectID="_1718471232" ProgID="Excel.Sheet.12" ShapeID="_x0000_i1038" Type="Embed" r:id="rId4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出库审批阈值设计的业务逻辑</w:t>
      </w:r>
    </w:p>
    <w:p>
      <w:pPr>
        <w:spacing w:before="120" w:after="120" w:line="288" w:lineRule="auto"/>
        <w:ind w:left="0"/>
        <w:jc w:val="left"/>
      </w:pPr>
      <w:r>
        <w:rPr>
          <w:rFonts w:eastAsia="等线" w:ascii="Arial" w:cs="Arial" w:hAnsi="Arial"/>
          <w:sz w:val="22"/>
        </w:rPr>
        <w:t>出库审批采用"自动化优先、风险兜底"的设计原则，根据</w:t>
      </w:r>
      <w:r>
        <w:rPr>
          <w:rFonts w:eastAsia="等线" w:ascii="Arial" w:cs="Arial" w:hAnsi="Arial"/>
          <w:b w:val="true"/>
          <w:sz w:val="22"/>
        </w:rPr>
        <w:t>出库金额</w:t>
      </w:r>
      <w:r>
        <w:rPr>
          <w:rFonts w:eastAsia="等线" w:ascii="Arial" w:cs="Arial" w:hAnsi="Arial"/>
          <w:sz w:val="22"/>
        </w:rPr>
        <w:t>和</w:t>
      </w:r>
      <w:r>
        <w:rPr>
          <w:rFonts w:eastAsia="等线" w:ascii="Arial" w:cs="Arial" w:hAnsi="Arial"/>
          <w:b w:val="true"/>
          <w:sz w:val="22"/>
        </w:rPr>
        <w:t>出库后质押率</w:t>
      </w:r>
      <w:r>
        <w:rPr>
          <w:rFonts w:eastAsia="等线" w:ascii="Arial" w:cs="Arial" w:hAnsi="Arial"/>
          <w:sz w:val="22"/>
        </w:rPr>
        <w:t>两个维度，将出库申请分流至不同处理通道。</w:t>
      </w:r>
    </w:p>
    <w:p>
      <w:pPr>
        <w:spacing w:before="120" w:after="120" w:line="288" w:lineRule="auto"/>
        <w:ind w:left="0"/>
        <w:jc w:val="left"/>
      </w:pPr>
      <w:r>
        <w:rPr>
          <w:rFonts w:eastAsia="等线" w:ascii="Arial" w:cs="Arial" w:hAnsi="Arial"/>
          <w:b w:val="true"/>
          <w:sz w:val="22"/>
        </w:rPr>
        <w:t>自动通过条件：出库货值≤5万 且 出库后质押率≤80%</w:t>
      </w:r>
    </w:p>
    <w:p>
      <w:pPr>
        <w:spacing w:before="120" w:after="120" w:line="288" w:lineRule="auto"/>
        <w:ind w:left="453"/>
        <w:jc w:val="left"/>
      </w:pPr>
      <w:r>
        <w:rPr>
          <w:rFonts w:eastAsia="等线" w:ascii="Arial" w:cs="Arial" w:hAnsi="Arial"/>
          <w:sz w:val="22"/>
        </w:rPr>
        <w:t>5万元金额门槛的设定依据：</w:t>
      </w:r>
    </w:p>
    <w:p>
      <w:pPr>
        <w:numPr>
          <w:numId w:val="418"/>
        </w:numPr>
        <w:spacing w:before="120" w:after="120" w:line="288" w:lineRule="auto"/>
        <w:ind w:left="453"/>
        <w:jc w:val="left"/>
      </w:pPr>
      <w:r>
        <w:rPr>
          <w:rFonts w:eastAsia="等线" w:ascii="Arial" w:cs="Arial" w:hAnsi="Arial"/>
          <w:sz w:val="22"/>
        </w:rPr>
        <w:t>历史数据分析显示，单笔出库≤5万的申请占总量的65%，但金额占比仅18%</w:t>
      </w:r>
    </w:p>
    <w:p>
      <w:pPr>
        <w:numPr>
          <w:numId w:val="419"/>
        </w:numPr>
        <w:spacing w:before="120" w:after="120" w:line="288" w:lineRule="auto"/>
        <w:ind w:left="453"/>
        <w:jc w:val="left"/>
      </w:pPr>
      <w:r>
        <w:rPr>
          <w:rFonts w:eastAsia="等线" w:ascii="Arial" w:cs="Arial" w:hAnsi="Arial"/>
          <w:sz w:val="22"/>
        </w:rPr>
        <w:t>小额出库多为经销商日常周转提货，业务场景稳定，风险可控</w:t>
      </w:r>
    </w:p>
    <w:p>
      <w:pPr>
        <w:numPr>
          <w:numId w:val="420"/>
        </w:numPr>
        <w:spacing w:before="120" w:after="120" w:line="288" w:lineRule="auto"/>
        <w:ind w:left="453"/>
        <w:jc w:val="left"/>
      </w:pPr>
      <w:r>
        <w:rPr>
          <w:rFonts w:eastAsia="等线" w:ascii="Arial" w:cs="Arial" w:hAnsi="Arial"/>
          <w:sz w:val="22"/>
        </w:rPr>
        <w:t>5万元约为单件3C产品（如iPhone）的2-3倍价值，覆盖常见的零散提货需求</w:t>
      </w:r>
    </w:p>
    <w:p>
      <w:pPr>
        <w:numPr>
          <w:numId w:val="421"/>
        </w:numPr>
        <w:spacing w:before="120" w:after="120" w:line="288" w:lineRule="auto"/>
        <w:ind w:left="453"/>
        <w:jc w:val="left"/>
      </w:pPr>
      <w:r>
        <w:rPr>
          <w:rFonts w:eastAsia="等线" w:ascii="Arial" w:cs="Arial" w:hAnsi="Arial"/>
          <w:sz w:val="22"/>
        </w:rPr>
        <w:t>即使出现问题，5万元的风险敞口在可接受范围内，不影响整体资产安全</w:t>
      </w:r>
    </w:p>
    <w:p>
      <w:pPr>
        <w:spacing w:before="120" w:after="120" w:line="288" w:lineRule="auto"/>
        <w:ind w:left="453"/>
        <w:jc w:val="left"/>
      </w:pPr>
      <w:r>
        <w:rPr>
          <w:rFonts w:eastAsia="等线" w:ascii="Arial" w:cs="Arial" w:hAnsi="Arial"/>
          <w:sz w:val="22"/>
        </w:rPr>
        <w:t>80%质押率作为"安全线"的设定依据：</w:t>
      </w:r>
    </w:p>
    <w:p>
      <w:pPr>
        <w:numPr>
          <w:numId w:val="422"/>
        </w:numPr>
        <w:spacing w:before="120" w:after="120" w:line="288" w:lineRule="auto"/>
        <w:ind w:left="453"/>
        <w:jc w:val="left"/>
      </w:pPr>
      <w:r>
        <w:rPr>
          <w:rFonts w:eastAsia="等线" w:ascii="Arial" w:cs="Arial" w:hAnsi="Arial"/>
          <w:sz w:val="22"/>
        </w:rPr>
        <w:t>质押率 = 融资余额 ÷ 质押物货值 × 100%</w:t>
      </w:r>
    </w:p>
    <w:p>
      <w:pPr>
        <w:numPr>
          <w:numId w:val="423"/>
        </w:numPr>
        <w:spacing w:before="120" w:after="120" w:line="288" w:lineRule="auto"/>
        <w:ind w:left="453"/>
        <w:jc w:val="left"/>
      </w:pPr>
      <w:r>
        <w:rPr>
          <w:rFonts w:eastAsia="等线" w:ascii="Arial" w:cs="Arial" w:hAnsi="Arial"/>
          <w:sz w:val="22"/>
        </w:rPr>
        <w:t>80%意味着质押物货值仍有20%的安全缓冲空间</w:t>
      </w:r>
    </w:p>
    <w:p>
      <w:pPr>
        <w:numPr>
          <w:numId w:val="424"/>
        </w:numPr>
        <w:spacing w:before="120" w:after="120" w:line="288" w:lineRule="auto"/>
        <w:ind w:left="453"/>
        <w:jc w:val="left"/>
      </w:pPr>
      <w:r>
        <w:rPr>
          <w:rFonts w:eastAsia="等线" w:ascii="Arial" w:cs="Arial" w:hAnsi="Arial"/>
          <w:sz w:val="22"/>
        </w:rPr>
        <w:t>以3C电子70%的质押率上限为例，80%质押率时：货值下跌空间 = (100%-80%) ÷ 80% = 25%</w:t>
      </w:r>
    </w:p>
    <w:p>
      <w:pPr>
        <w:numPr>
          <w:numId w:val="425"/>
        </w:numPr>
        <w:spacing w:before="120" w:after="120" w:line="288" w:lineRule="auto"/>
        <w:ind w:left="453"/>
        <w:jc w:val="left"/>
      </w:pPr>
      <w:r>
        <w:rPr>
          <w:rFonts w:eastAsia="等线" w:ascii="Arial" w:cs="Arial" w:hAnsi="Arial"/>
          <w:sz w:val="22"/>
        </w:rPr>
        <w:t>历史数据显示，3C产品单月最大跌幅约15%，25%的缓冲可覆盖1.5个月的极端下跌</w:t>
      </w:r>
    </w:p>
    <w:p>
      <w:pPr>
        <w:numPr>
          <w:numId w:val="426"/>
        </w:numPr>
        <w:spacing w:before="120" w:after="120" w:line="288" w:lineRule="auto"/>
        <w:ind w:left="453"/>
        <w:jc w:val="left"/>
      </w:pPr>
      <w:r>
        <w:rPr>
          <w:rFonts w:eastAsia="等线" w:ascii="Arial" w:cs="Arial" w:hAnsi="Arial"/>
          <w:sz w:val="22"/>
        </w:rPr>
        <w:t>行业对标：京东供应链金融的自动审批阈值为75%，平安银行为80%，平台取值与行业主流一致</w:t>
      </w:r>
    </w:p>
    <w:p>
      <w:pPr>
        <w:spacing w:before="120" w:after="120" w:line="288" w:lineRule="auto"/>
        <w:ind w:left="453"/>
        <w:jc w:val="left"/>
      </w:pPr>
      <w:r>
        <w:rPr>
          <w:rFonts w:eastAsia="等线" w:ascii="Arial" w:cs="Arial" w:hAnsi="Arial"/>
          <w:sz w:val="22"/>
        </w:rPr>
        <w:t>自动通过的业务价值：</w:t>
      </w:r>
    </w:p>
    <w:p>
      <w:pPr>
        <w:numPr>
          <w:numId w:val="427"/>
        </w:numPr>
        <w:spacing w:before="120" w:after="120" w:line="288" w:lineRule="auto"/>
        <w:ind w:left="453"/>
        <w:jc w:val="left"/>
      </w:pPr>
      <w:r>
        <w:rPr>
          <w:rFonts w:eastAsia="等线" w:ascii="Arial" w:cs="Arial" w:hAnsi="Arial"/>
          <w:sz w:val="22"/>
        </w:rPr>
        <w:t>将65%的出库申请自动化处理，审批时效从人工平均2小时缩短至实时</w:t>
      </w:r>
    </w:p>
    <w:p>
      <w:pPr>
        <w:numPr>
          <w:numId w:val="428"/>
        </w:numPr>
        <w:spacing w:before="120" w:after="120" w:line="288" w:lineRule="auto"/>
        <w:ind w:left="453"/>
        <w:jc w:val="left"/>
      </w:pPr>
      <w:r>
        <w:rPr>
          <w:rFonts w:eastAsia="等线" w:ascii="Arial" w:cs="Arial" w:hAnsi="Arial"/>
          <w:sz w:val="22"/>
        </w:rPr>
        <w:t>释放审批人员产能，聚焦于高风险、大额出库的专业判断</w:t>
      </w:r>
    </w:p>
    <w:p>
      <w:pPr>
        <w:numPr>
          <w:numId w:val="429"/>
        </w:numPr>
        <w:spacing w:before="120" w:after="120" w:line="288" w:lineRule="auto"/>
        <w:ind w:left="453"/>
        <w:jc w:val="left"/>
      </w:pPr>
      <w:r>
        <w:rPr>
          <w:rFonts w:eastAsia="等线" w:ascii="Arial" w:cs="Arial" w:hAnsi="Arial"/>
          <w:sz w:val="22"/>
        </w:rPr>
        <w:t>提升经销商体验，小额周转无需等待</w:t>
      </w:r>
    </w:p>
    <w:p>
      <w:pPr>
        <w:spacing w:before="120" w:after="120" w:line="288" w:lineRule="auto"/>
        <w:ind w:left="0"/>
        <w:jc w:val="left"/>
      </w:pPr>
      <w:r>
        <w:rPr>
          <w:rFonts w:eastAsia="等线" w:ascii="Arial" w:cs="Arial" w:hAnsi="Arial"/>
          <w:b w:val="true"/>
          <w:sz w:val="22"/>
        </w:rPr>
        <w:t>自动拒绝条件：出库后质押率&gt;100%</w:t>
      </w:r>
    </w:p>
    <w:p>
      <w:pPr>
        <w:spacing w:before="120" w:after="120" w:line="288" w:lineRule="auto"/>
        <w:ind w:left="453"/>
        <w:jc w:val="left"/>
      </w:pPr>
      <w:r>
        <w:rPr>
          <w:rFonts w:eastAsia="等线" w:ascii="Arial" w:cs="Arial" w:hAnsi="Arial"/>
          <w:sz w:val="22"/>
        </w:rPr>
        <w:t>100%作为"红线"的含义：</w:t>
      </w:r>
    </w:p>
    <w:p>
      <w:pPr>
        <w:numPr>
          <w:numId w:val="430"/>
        </w:numPr>
        <w:spacing w:before="120" w:after="120" w:line="288" w:lineRule="auto"/>
        <w:ind w:left="453"/>
        <w:jc w:val="left"/>
      </w:pPr>
      <w:r>
        <w:rPr>
          <w:rFonts w:eastAsia="等线" w:ascii="Arial" w:cs="Arial" w:hAnsi="Arial"/>
          <w:sz w:val="22"/>
        </w:rPr>
        <w:t>质押率&gt;100%意味着融资余额已超过质押物货值</w:t>
      </w:r>
    </w:p>
    <w:p>
      <w:pPr>
        <w:numPr>
          <w:numId w:val="431"/>
        </w:numPr>
        <w:spacing w:before="120" w:after="120" w:line="288" w:lineRule="auto"/>
        <w:ind w:left="453"/>
        <w:jc w:val="left"/>
      </w:pPr>
      <w:r>
        <w:rPr>
          <w:rFonts w:eastAsia="等线" w:ascii="Arial" w:cs="Arial" w:hAnsi="Arial"/>
          <w:sz w:val="22"/>
        </w:rPr>
        <w:t>此时质押物已无法覆盖融资风险，属于"裸敞口"状态</w:t>
      </w:r>
    </w:p>
    <w:p>
      <w:pPr>
        <w:numPr>
          <w:numId w:val="432"/>
        </w:numPr>
        <w:spacing w:before="120" w:after="120" w:line="288" w:lineRule="auto"/>
        <w:ind w:left="453"/>
        <w:jc w:val="left"/>
      </w:pPr>
      <w:r>
        <w:rPr>
          <w:rFonts w:eastAsia="等线" w:ascii="Arial" w:cs="Arial" w:hAnsi="Arial"/>
          <w:sz w:val="22"/>
        </w:rPr>
        <w:t>任何出库都会进一步扩大风险敞口，必须立即阻止</w:t>
      </w:r>
    </w:p>
    <w:p>
      <w:pPr>
        <w:spacing w:before="120" w:after="120" w:line="288" w:lineRule="auto"/>
        <w:ind w:left="453"/>
        <w:jc w:val="left"/>
      </w:pPr>
      <w:r>
        <w:rPr>
          <w:rFonts w:eastAsia="等线" w:ascii="Arial" w:cs="Arial" w:hAnsi="Arial"/>
          <w:sz w:val="22"/>
        </w:rPr>
        <w:t>自动拒绝而非人工审批的原因：</w:t>
      </w:r>
    </w:p>
    <w:p>
      <w:pPr>
        <w:numPr>
          <w:numId w:val="433"/>
        </w:numPr>
        <w:spacing w:before="120" w:after="120" w:line="288" w:lineRule="auto"/>
        <w:ind w:left="453"/>
        <w:jc w:val="left"/>
      </w:pPr>
      <w:r>
        <w:rPr>
          <w:rFonts w:eastAsia="等线" w:ascii="Arial" w:cs="Arial" w:hAnsi="Arial"/>
          <w:sz w:val="22"/>
        </w:rPr>
        <w:t>质押率&gt;100%是明确的风险边界，无需人工判断</w:t>
      </w:r>
    </w:p>
    <w:p>
      <w:pPr>
        <w:numPr>
          <w:numId w:val="434"/>
        </w:numPr>
        <w:spacing w:before="120" w:after="120" w:line="288" w:lineRule="auto"/>
        <w:ind w:left="453"/>
        <w:jc w:val="left"/>
      </w:pPr>
      <w:r>
        <w:rPr>
          <w:rFonts w:eastAsia="等线" w:ascii="Arial" w:cs="Arial" w:hAnsi="Arial"/>
          <w:sz w:val="22"/>
        </w:rPr>
        <w:t>自动拒绝可在毫秒级阻止风险操作，防止"抢跑"</w:t>
      </w:r>
    </w:p>
    <w:p>
      <w:pPr>
        <w:numPr>
          <w:numId w:val="435"/>
        </w:numPr>
        <w:spacing w:before="120" w:after="120" w:line="288" w:lineRule="auto"/>
        <w:ind w:left="453"/>
        <w:jc w:val="left"/>
      </w:pPr>
      <w:r>
        <w:rPr>
          <w:rFonts w:eastAsia="等线" w:ascii="Arial" w:cs="Arial" w:hAnsi="Arial"/>
          <w:sz w:val="22"/>
        </w:rPr>
        <w:t>系统同时提示客户"需还款或补充质押物"，引导其恢复正常状态</w:t>
      </w:r>
    </w:p>
    <w:p>
      <w:pPr>
        <w:spacing w:before="120" w:after="120" w:line="288" w:lineRule="auto"/>
        <w:ind w:left="453"/>
        <w:jc w:val="left"/>
      </w:pPr>
      <w:r>
        <w:rPr>
          <w:rFonts w:eastAsia="等线" w:ascii="Arial" w:cs="Arial" w:hAnsi="Arial"/>
          <w:sz w:val="22"/>
        </w:rPr>
        <w:t>触发100%超标的常见场景：</w:t>
      </w:r>
    </w:p>
    <w:p>
      <w:pPr>
        <w:numPr>
          <w:numId w:val="436"/>
        </w:numPr>
        <w:spacing w:before="120" w:after="120" w:line="288" w:lineRule="auto"/>
        <w:ind w:left="453"/>
        <w:jc w:val="left"/>
      </w:pPr>
      <w:r>
        <w:rPr>
          <w:rFonts w:eastAsia="等线" w:ascii="Arial" w:cs="Arial" w:hAnsi="Arial"/>
          <w:sz w:val="22"/>
        </w:rPr>
        <w:t>价格下跌：质押物市场价格下跌导致货值缩水（占60%）</w:t>
      </w:r>
    </w:p>
    <w:p>
      <w:pPr>
        <w:numPr>
          <w:numId w:val="437"/>
        </w:numPr>
        <w:spacing w:before="120" w:after="120" w:line="288" w:lineRule="auto"/>
        <w:ind w:left="453"/>
        <w:jc w:val="left"/>
      </w:pPr>
      <w:r>
        <w:rPr>
          <w:rFonts w:eastAsia="等线" w:ascii="Arial" w:cs="Arial" w:hAnsi="Arial"/>
          <w:sz w:val="22"/>
        </w:rPr>
        <w:t>未及时还款：融资到期未还，本息累积推高融资余额（占25%）</w:t>
      </w:r>
    </w:p>
    <w:p>
      <w:pPr>
        <w:numPr>
          <w:numId w:val="438"/>
        </w:numPr>
        <w:spacing w:before="120" w:after="120" w:line="288" w:lineRule="auto"/>
        <w:ind w:left="453"/>
        <w:jc w:val="left"/>
      </w:pPr>
      <w:r>
        <w:rPr>
          <w:rFonts w:eastAsia="等线" w:ascii="Arial" w:cs="Arial" w:hAnsi="Arial"/>
          <w:sz w:val="22"/>
        </w:rPr>
        <w:t>盘点差异：实际库存少于系统记录，货值虚高（占15%）</w:t>
      </w:r>
    </w:p>
    <w:p>
      <w:pPr>
        <w:spacing w:before="120" w:after="120" w:line="288" w:lineRule="auto"/>
        <w:ind w:left="0"/>
        <w:jc w:val="left"/>
      </w:pPr>
      <w:r>
        <w:rPr>
          <w:rFonts w:eastAsia="等线" w:ascii="Arial" w:cs="Arial" w:hAnsi="Arial"/>
          <w:b w:val="true"/>
          <w:sz w:val="22"/>
        </w:rPr>
        <w:t>人工审批条件：出库后质押率在80%-100%之间</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为什么80%-100%区间需要人工判断：</w:t>
            </w:r>
          </w:p>
          <w:p>
            <w:pPr>
              <w:numPr>
                <w:numId w:val="439"/>
              </w:numPr>
              <w:spacing w:before="120" w:after="120" w:line="288" w:lineRule="auto"/>
              <w:ind w:left="0"/>
              <w:jc w:val="left"/>
            </w:pPr>
            <w:r>
              <w:rPr>
                <w:rFonts w:eastAsia="等线" w:ascii="Arial" w:cs="Arial" w:hAnsi="Arial"/>
                <w:sz w:val="22"/>
              </w:rPr>
              <w:t>这是"关注区"到"警戒区"的过渡地带，风险可控但需谨慎</w:t>
            </w:r>
          </w:p>
          <w:p>
            <w:pPr>
              <w:numPr>
                <w:numId w:val="440"/>
              </w:numPr>
              <w:spacing w:before="120" w:after="120" w:line="288" w:lineRule="auto"/>
              <w:ind w:left="0"/>
              <w:jc w:val="left"/>
            </w:pPr>
            <w:r>
              <w:rPr>
                <w:rFonts w:eastAsia="等线" w:ascii="Arial" w:cs="Arial" w:hAnsi="Arial"/>
                <w:sz w:val="22"/>
              </w:rPr>
              <w:t>不同客户、不同品类、不同市场环境下，同样的质押率风险程度不同</w:t>
            </w:r>
          </w:p>
          <w:p>
            <w:pPr>
              <w:numPr>
                <w:numId w:val="441"/>
              </w:numPr>
              <w:spacing w:before="120" w:after="120" w:line="288" w:lineRule="auto"/>
              <w:ind w:left="0"/>
              <w:jc w:val="left"/>
            </w:pPr>
            <w:r>
              <w:rPr>
                <w:rFonts w:eastAsia="等线" w:ascii="Arial" w:cs="Arial" w:hAnsi="Arial"/>
                <w:sz w:val="22"/>
              </w:rPr>
              <w:t>需要审批人员结合具体情况做出专业判断</w:t>
            </w:r>
          </w:p>
        </w:tc>
      </w:tr>
    </w:tbl>
    <w:p>
      <w:pPr>
        <w:spacing w:before="120" w:after="120" w:line="288" w:lineRule="auto"/>
        <w:ind w:left="453"/>
        <w:jc w:val="left"/>
      </w:pPr>
      <w:r>
        <w:rPr>
          <w:rFonts w:eastAsia="等线" w:ascii="Arial" w:cs="Arial" w:hAnsi="Arial"/>
          <w:sz w:val="22"/>
        </w:rPr>
        <w:t>人工审批的考量因素：</w:t>
      </w:r>
    </w:p>
    <w:p>
      <w:pPr>
        <w:spacing w:before="120" w:after="120" w:line="288" w:lineRule="auto"/>
        <w:ind w:left="453"/>
      </w:pPr>
      <w:r>
        <w:object>
          <v:shape id="_x0000_i1039" style="width:414pt;height:136pt;mso-width-percent:0;mso-height-percent:0;mso-width-percent:0;mso-height-percent:0" type="#_x0000_t75" o:ole="">
            <v:imagedata r:id="rId45" o:title=""/>
          </v:shape>
          <o:OLEObject DrawAspect="Icon" ObjectID="_1718471233" ProgID="Excel.Sheet.12" ShapeID="_x0000_i1039" Type="Embed" r:id="rId44"/>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sz w:val="22"/>
        </w:rPr>
        <w:t>人工审批的典型场景：</w:t>
      </w:r>
    </w:p>
    <w:p>
      <w:pPr>
        <w:numPr>
          <w:numId w:val="442"/>
        </w:numPr>
        <w:spacing w:before="120" w:after="120" w:line="288" w:lineRule="auto"/>
        <w:ind w:left="453"/>
        <w:jc w:val="left"/>
      </w:pPr>
      <w:r>
        <w:rPr>
          <w:rFonts w:eastAsia="等线" w:ascii="Arial" w:cs="Arial" w:hAnsi="Arial"/>
          <w:sz w:val="22"/>
        </w:rPr>
        <w:t>场景A（倾向通过）：老客户张三，出库后质押率85%，已预约后天还款30万，出库用于紧急客户订单 → 综合判断风险可控，审批通过</w:t>
      </w:r>
    </w:p>
    <w:p>
      <w:pPr>
        <w:numPr>
          <w:numId w:val="443"/>
        </w:numPr>
        <w:spacing w:before="120" w:after="120" w:line="288" w:lineRule="auto"/>
        <w:ind w:left="453"/>
        <w:jc w:val="left"/>
      </w:pPr>
      <w:r>
        <w:rPr>
          <w:rFonts w:eastAsia="等线" w:ascii="Arial" w:cs="Arial" w:hAnsi="Arial"/>
          <w:sz w:val="22"/>
        </w:rPr>
        <w:t>场景B（倾向拒绝）：新客户李四，出库后质押率92%，无还款计划，品类近期价格下跌5% → 建议先还款再出库</w:t>
      </w:r>
    </w:p>
    <w:p>
      <w:pPr>
        <w:spacing w:before="120" w:after="120" w:line="288" w:lineRule="auto"/>
        <w:ind w:left="0"/>
        <w:jc w:val="left"/>
      </w:pPr>
      <w:r>
        <w:rPr>
          <w:rFonts w:eastAsia="等线" w:ascii="Arial" w:cs="Arial" w:hAnsi="Arial"/>
          <w:b w:val="true"/>
          <w:sz w:val="22"/>
        </w:rPr>
        <w:t>3C品类动态阈值调整</w:t>
      </w:r>
    </w:p>
    <w:p>
      <w:pPr>
        <w:spacing w:before="120" w:after="120" w:line="288" w:lineRule="auto"/>
        <w:ind w:left="453"/>
        <w:jc w:val="left"/>
      </w:pPr>
      <w:r>
        <w:rPr>
          <w:rFonts w:eastAsia="等线" w:ascii="Arial" w:cs="Arial" w:hAnsi="Arial"/>
          <w:sz w:val="22"/>
        </w:rPr>
        <w:t>3C电子产品因新品发布和促销季存在较大价格波动，平台对该品类实施动态阈值管理：</w:t>
      </w:r>
    </w:p>
    <w:p>
      <w:pPr>
        <w:spacing w:before="120" w:after="120" w:line="288" w:lineRule="auto"/>
        <w:ind w:left="453"/>
      </w:pPr>
      <w:r>
        <w:object>
          <v:shape id="_x0000_i1040" style="width:414pt;height:120pt;mso-width-percent:0;mso-height-percent:0;mso-width-percent:0;mso-height-percent:0" type="#_x0000_t75" o:ole="">
            <v:imagedata r:id="rId47" o:title=""/>
          </v:shape>
          <o:OLEObject DrawAspect="Icon" ObjectID="_1718471234" ProgID="Excel.Sheet.12" ShapeID="_x0000_i1040" Type="Embed" r:id="rId46"/>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sz w:val="22"/>
        </w:rPr>
        <w:t>调整后的阈值示例（新品发布期）：</w:t>
      </w:r>
    </w:p>
    <w:p>
      <w:pPr>
        <w:numPr>
          <w:numId w:val="444"/>
        </w:numPr>
        <w:spacing w:before="120" w:after="120" w:line="288" w:lineRule="auto"/>
        <w:ind w:left="453"/>
        <w:jc w:val="left"/>
      </w:pPr>
      <w:r>
        <w:rPr>
          <w:rFonts w:eastAsia="等线" w:ascii="Arial" w:cs="Arial" w:hAnsi="Arial"/>
          <w:sz w:val="22"/>
        </w:rPr>
        <w:t>自动通过：出库后质押率 ≤ 70%（原80%）</w:t>
      </w:r>
    </w:p>
    <w:p>
      <w:pPr>
        <w:numPr>
          <w:numId w:val="445"/>
        </w:numPr>
        <w:spacing w:before="120" w:after="120" w:line="288" w:lineRule="auto"/>
        <w:ind w:left="453"/>
        <w:jc w:val="left"/>
      </w:pPr>
      <w:r>
        <w:rPr>
          <w:rFonts w:eastAsia="等线" w:ascii="Arial" w:cs="Arial" w:hAnsi="Arial"/>
          <w:sz w:val="22"/>
        </w:rPr>
        <w:t>自动拒绝：出库后质押率 &gt; 90%（原100%）</w:t>
      </w:r>
    </w:p>
    <w:p>
      <w:pPr>
        <w:numPr>
          <w:numId w:val="446"/>
        </w:numPr>
        <w:spacing w:before="120" w:after="120" w:line="288" w:lineRule="auto"/>
        <w:ind w:left="453"/>
        <w:jc w:val="left"/>
      </w:pPr>
      <w:r>
        <w:rPr>
          <w:rFonts w:eastAsia="等线" w:ascii="Arial" w:cs="Arial" w:hAnsi="Arial"/>
          <w:sz w:val="22"/>
        </w:rPr>
        <w:t>人工审批：70%-90%之间</w:t>
      </w:r>
    </w:p>
    <w:p>
      <w:pPr>
        <w:spacing w:before="120" w:after="120" w:line="288" w:lineRule="auto"/>
        <w:ind w:left="0"/>
        <w:jc w:val="left"/>
      </w:pPr>
      <w:r>
        <w:rPr>
          <w:rFonts w:eastAsia="等线" w:ascii="Arial" w:cs="Arial" w:hAnsi="Arial"/>
          <w:b w:val="true"/>
          <w:sz w:val="22"/>
        </w:rPr>
        <w:t>设计原则总结</w:t>
      </w:r>
    </w:p>
    <w:p>
      <w:pPr>
        <w:spacing w:before="120" w:after="120" w:line="288" w:lineRule="auto"/>
        <w:ind w:left="453"/>
        <w:jc w:val="left"/>
      </w:pPr>
      <w:r>
        <w:rPr>
          <w:rFonts w:eastAsia="等线" w:ascii="Arial" w:cs="Arial" w:hAnsi="Arial"/>
          <w:sz w:val="22"/>
        </w:rPr>
        <w:t>出库审批策略遵循"效率与风控平衡"原则：</w:t>
      </w:r>
    </w:p>
    <w:p>
      <w:pPr>
        <w:numPr>
          <w:numId w:val="447"/>
        </w:numPr>
        <w:spacing w:before="120" w:after="120" w:line="288" w:lineRule="auto"/>
        <w:ind w:left="453"/>
        <w:jc w:val="left"/>
      </w:pPr>
      <w:r>
        <w:rPr>
          <w:rFonts w:eastAsia="等线" w:ascii="Arial" w:cs="Arial" w:hAnsi="Arial"/>
          <w:b w:val="true"/>
          <w:sz w:val="22"/>
        </w:rPr>
        <w:t>低风险自动化</w:t>
      </w:r>
      <w:r>
        <w:rPr>
          <w:rFonts w:eastAsia="等线" w:ascii="Arial" w:cs="Arial" w:hAnsi="Arial"/>
          <w:sz w:val="22"/>
        </w:rPr>
        <w:t>：小额+低质押率的出库无需人工介入，提升效率</w:t>
      </w:r>
    </w:p>
    <w:p>
      <w:pPr>
        <w:numPr>
          <w:numId w:val="448"/>
        </w:numPr>
        <w:spacing w:before="120" w:after="120" w:line="288" w:lineRule="auto"/>
        <w:ind w:left="453"/>
        <w:jc w:val="left"/>
      </w:pPr>
      <w:r>
        <w:rPr>
          <w:rFonts w:eastAsia="等线" w:ascii="Arial" w:cs="Arial" w:hAnsi="Arial"/>
          <w:b w:val="true"/>
          <w:sz w:val="22"/>
        </w:rPr>
        <w:t>高风险自动拦截</w:t>
      </w:r>
      <w:r>
        <w:rPr>
          <w:rFonts w:eastAsia="等线" w:ascii="Arial" w:cs="Arial" w:hAnsi="Arial"/>
          <w:sz w:val="22"/>
        </w:rPr>
        <w:t>：超过100%红线自动阻止，防止风险扩大</w:t>
      </w:r>
    </w:p>
    <w:p>
      <w:pPr>
        <w:numPr>
          <w:numId w:val="449"/>
        </w:numPr>
        <w:spacing w:before="120" w:after="120" w:line="288" w:lineRule="auto"/>
        <w:ind w:left="453"/>
        <w:jc w:val="left"/>
      </w:pPr>
      <w:r>
        <w:rPr>
          <w:rFonts w:eastAsia="等线" w:ascii="Arial" w:cs="Arial" w:hAnsi="Arial"/>
          <w:b w:val="true"/>
          <w:sz w:val="22"/>
        </w:rPr>
        <w:t>中间地带人工把关</w:t>
      </w:r>
      <w:r>
        <w:rPr>
          <w:rFonts w:eastAsia="等线" w:ascii="Arial" w:cs="Arial" w:hAnsi="Arial"/>
          <w:sz w:val="22"/>
        </w:rPr>
        <w:t>：80%-100%区间需专业判断，平衡客户需求与风险控制</w:t>
      </w:r>
    </w:p>
    <w:p>
      <w:pPr>
        <w:numPr>
          <w:numId w:val="450"/>
        </w:numPr>
        <w:spacing w:before="120" w:after="120" w:line="288" w:lineRule="auto"/>
        <w:ind w:left="453"/>
        <w:jc w:val="left"/>
      </w:pPr>
      <w:r>
        <w:rPr>
          <w:rFonts w:eastAsia="等线" w:ascii="Arial" w:cs="Arial" w:hAnsi="Arial"/>
          <w:b w:val="true"/>
          <w:sz w:val="22"/>
        </w:rPr>
        <w:t>动态适应市场</w:t>
      </w:r>
      <w:r>
        <w:rPr>
          <w:rFonts w:eastAsia="等线" w:ascii="Arial" w:cs="Arial" w:hAnsi="Arial"/>
          <w:sz w:val="22"/>
        </w:rPr>
        <w:t>：针对3C品类的特殊波动性，阈值随市场节奏调整</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57" w:id="57"/>
      <w:r>
        <w:rPr>
          <w:rFonts w:eastAsia="等线" w:ascii="Arial" w:cs="Arial" w:hAnsi="Arial"/>
          <w:color w:val="3370ff"/>
          <w:sz w:val="24"/>
        </w:rPr>
        <w:t xml:space="preserve">3.3.4.1.5 </w:t>
      </w:r>
      <w:r>
        <w:rPr>
          <w:rFonts w:eastAsia="等线" w:ascii="Arial" w:cs="Arial" w:hAnsi="Arial"/>
          <w:b w:val="true"/>
          <w:sz w:val="24"/>
        </w:rPr>
        <w:t>三重自动校验逻辑</w:t>
      </w:r>
      <w:bookmarkEnd w:id="57"/>
    </w:p>
    <w:p>
      <w:pPr>
        <w:spacing w:before="120" w:after="120" w:line="288" w:lineRule="auto"/>
        <w:ind w:left="0"/>
      </w:pPr>
      <w:r>
        <w:object>
          <v:shape id="_x0000_i1041" style="width:414pt;height:187pt;mso-width-percent:0;mso-height-percent:0;mso-width-percent:0;mso-height-percent:0" type="#_x0000_t75" o:ole="">
            <v:imagedata r:id="rId49" o:title=""/>
          </v:shape>
          <o:OLEObject DrawAspect="Icon" ObjectID="_1718471235" ProgID="Excel.Sheet.12" ShapeID="_x0000_i1041" Type="Embed" r:id="rId48"/>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三项全部通过才允许审批，任一不通过直接拒绝。</w:t>
            </w:r>
          </w:p>
        </w:tc>
      </w:tr>
    </w:tbl>
    <w:p>
      <w:pPr>
        <w:pStyle w:val="5"/>
        <w:spacing w:before="240" w:after="120" w:line="288" w:lineRule="auto"/>
        <w:ind w:left="0"/>
        <w:jc w:val="left"/>
        <w:outlineLvl w:val="4"/>
      </w:pPr>
      <w:bookmarkStart w:name="heading_58" w:id="58"/>
      <w:r>
        <w:rPr>
          <w:rFonts w:eastAsia="等线" w:ascii="Arial" w:cs="Arial" w:hAnsi="Arial"/>
          <w:color w:val="3370ff"/>
          <w:sz w:val="24"/>
        </w:rPr>
        <w:t xml:space="preserve">3.3.4.1.6 </w:t>
      </w:r>
      <w:r>
        <w:rPr>
          <w:rFonts w:eastAsia="等线" w:ascii="Arial" w:cs="Arial" w:hAnsi="Arial"/>
          <w:b w:val="true"/>
          <w:sz w:val="24"/>
        </w:rPr>
        <w:t>出库审批管理策略</w:t>
      </w:r>
      <w:bookmarkEnd w:id="58"/>
    </w:p>
    <w:p>
      <w:pPr>
        <w:spacing w:before="120" w:after="120" w:line="288" w:lineRule="auto"/>
        <w:ind w:left="0"/>
        <w:jc w:val="left"/>
      </w:pPr>
      <w:r>
        <w:rPr>
          <w:rFonts w:eastAsia="等线" w:ascii="Arial" w:cs="Arial" w:hAnsi="Arial"/>
          <w:b w:val="true"/>
          <w:sz w:val="22"/>
        </w:rPr>
        <w:t>策略1：分级审批制度</w:t>
      </w:r>
    </w:p>
    <w:p>
      <w:pPr>
        <w:spacing w:before="120" w:after="120" w:line="288" w:lineRule="auto"/>
        <w:ind w:left="0"/>
      </w:pPr>
      <w:r>
        <w:object>
          <v:shape id="_x0000_i1042" style="width:414pt;height:131pt;mso-width-percent:0;mso-height-percent:0;mso-width-percent:0;mso-height-percent:0" type="#_x0000_t75" o:ole="">
            <v:imagedata r:id="rId51" o:title=""/>
          </v:shape>
          <o:OLEObject DrawAspect="Icon" ObjectID="_1718471236" ProgID="Excel.Sheet.12" ShapeID="_x0000_i1042" Type="Embed" r:id="rId5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策略2：异常出库监控制度</w:t>
      </w:r>
    </w:p>
    <w:p>
      <w:pPr>
        <w:spacing w:before="120" w:after="120" w:line="288" w:lineRule="auto"/>
        <w:ind w:left="0"/>
        <w:jc w:val="left"/>
      </w:pPr>
      <w:r>
        <w:rPr>
          <w:rFonts w:eastAsia="等线" w:ascii="Arial" w:cs="Arial" w:hAnsi="Arial"/>
          <w:b w:val="true"/>
          <w:sz w:val="22"/>
        </w:rPr>
        <w:t>实时监控指标</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异常行为定义：</w:t>
              <w:br/>
              <w:t>1. 未经审批出库（WMS直接出库）</w:t>
              <w:br/>
              <w:t>2. 出库数量与审批不符（超出±5%）</w:t>
              <w:br/>
              <w:t>3. 短时间内频繁出库（1天内&gt;3次）</w:t>
              <w:br/>
              <w:t>4. 非营业时间出库（22:00-8:00）</w:t>
              <w:br/>
              <w:t>5. 同一批次货物反复出入库</w:t>
              <w:br/>
              <w:br/>
              <w:t>发现异常 → 立即预警 → 冻结该客户所有出库权限</w:t>
              <w:br/>
              <w:t xml:space="preserve">            → 通知风控部门 → 联系仓储方核实</w:t>
              <w:br/>
            </w:r>
            <w:r>
              <w:rPr>
                <w:rFonts w:eastAsia="Consolas" w:ascii="Consolas" w:cs="Consolas" w:hAnsi="Consolas"/>
                <w:sz w:val="22"/>
              </w:rPr>
              <w:t xml:space="preserve">            → 必要时实地核查</w:t>
            </w:r>
          </w:p>
        </w:tc>
      </w:tr>
    </w:tbl>
    <w:p>
      <w:pPr>
        <w:spacing w:before="120" w:after="120" w:line="288" w:lineRule="auto"/>
        <w:ind w:left="0"/>
        <w:jc w:val="left"/>
      </w:pPr>
      <w:r>
        <w:rPr>
          <w:rFonts w:eastAsia="等线" w:ascii="Arial" w:cs="Arial" w:hAnsi="Arial"/>
          <w:b w:val="true"/>
          <w:sz w:val="22"/>
        </w:rPr>
        <w:t>仓储方责任追溯</w:t>
      </w:r>
      <w:r>
        <w:rPr>
          <w:rFonts w:eastAsia="等线" w:ascii="Arial" w:cs="Arial" w:hAnsi="Arial"/>
          <w:sz w:val="22"/>
        </w:rPr>
        <w:t>：</w:t>
      </w:r>
    </w:p>
    <w:p>
      <w:pPr>
        <w:numPr>
          <w:numId w:val="451"/>
        </w:numPr>
        <w:spacing w:before="120" w:after="120" w:line="288" w:lineRule="auto"/>
        <w:ind w:left="0"/>
        <w:jc w:val="left"/>
      </w:pPr>
      <w:r>
        <w:rPr>
          <w:rFonts w:eastAsia="等线" w:ascii="Arial" w:cs="Arial" w:hAnsi="Arial"/>
          <w:sz w:val="22"/>
        </w:rPr>
        <w:t>未经审批放货：仓储方承担货物损失</w:t>
      </w:r>
    </w:p>
    <w:p>
      <w:pPr>
        <w:numPr>
          <w:numId w:val="452"/>
        </w:numPr>
        <w:spacing w:before="120" w:after="120" w:line="288" w:lineRule="auto"/>
        <w:ind w:left="0"/>
        <w:jc w:val="left"/>
      </w:pPr>
      <w:r>
        <w:rPr>
          <w:rFonts w:eastAsia="等线" w:ascii="Arial" w:cs="Arial" w:hAnsi="Arial"/>
          <w:sz w:val="22"/>
        </w:rPr>
        <w:t>实际出库与审批不符：查明原因，责任划分</w:t>
      </w:r>
    </w:p>
    <w:p>
      <w:pPr>
        <w:numPr>
          <w:numId w:val="453"/>
        </w:numPr>
        <w:spacing w:before="120" w:after="120" w:line="288" w:lineRule="auto"/>
        <w:ind w:left="0"/>
        <w:jc w:val="left"/>
      </w:pPr>
      <w:r>
        <w:rPr>
          <w:rFonts w:eastAsia="等线" w:ascii="Arial" w:cs="Arial" w:hAnsi="Arial"/>
          <w:sz w:val="22"/>
        </w:rPr>
        <w:t>记录仓储方服务质量，纳入合作评估</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9" w:id="59"/>
      <w:r>
        <w:rPr>
          <w:rFonts w:eastAsia="等线" w:ascii="Arial" w:cs="Arial" w:hAnsi="Arial"/>
          <w:color w:val="3370ff"/>
          <w:sz w:val="28"/>
        </w:rPr>
        <w:t xml:space="preserve">3.3.4.2 </w:t>
      </w:r>
      <w:r>
        <w:rPr>
          <w:rFonts w:eastAsia="等线" w:ascii="Arial" w:cs="Arial" w:hAnsi="Arial"/>
          <w:b w:val="true"/>
          <w:sz w:val="28"/>
        </w:rPr>
        <w:t>货值监控与预警（重点功能）</w:t>
      </w:r>
      <w:bookmarkEnd w:id="59"/>
    </w:p>
    <w:p>
      <w:pPr>
        <w:pStyle w:val="5"/>
        <w:spacing w:before="240" w:after="120" w:line="288" w:lineRule="auto"/>
        <w:ind w:left="0"/>
        <w:jc w:val="left"/>
        <w:outlineLvl w:val="4"/>
      </w:pPr>
      <w:bookmarkStart w:name="heading_60" w:id="60"/>
      <w:r>
        <w:rPr>
          <w:rFonts w:eastAsia="等线" w:ascii="Arial" w:cs="Arial" w:hAnsi="Arial"/>
          <w:color w:val="3370ff"/>
          <w:sz w:val="24"/>
        </w:rPr>
        <w:t xml:space="preserve">3.3.4.2.1 </w:t>
      </w:r>
      <w:r>
        <w:rPr>
          <w:rFonts w:eastAsia="等线" w:ascii="Arial" w:cs="Arial" w:hAnsi="Arial"/>
          <w:b w:val="true"/>
          <w:sz w:val="24"/>
        </w:rPr>
        <w:t>解决的核心问题</w:t>
      </w:r>
      <w:bookmarkEnd w:id="60"/>
    </w:p>
    <w:p>
      <w:pPr>
        <w:spacing w:before="120" w:after="120" w:line="288" w:lineRule="auto"/>
        <w:ind w:left="0"/>
      </w:pPr>
      <w:r>
        <w:object>
          <v:shape id="_x0000_i1043" style="width:414pt;height:136pt;mso-width-percent:0;mso-height-percent:0;mso-width-percent:0;mso-height-percent:0" type="#_x0000_t75" o:ole="">
            <v:imagedata r:id="rId53" o:title=""/>
          </v:shape>
          <o:OLEObject DrawAspect="Icon" ObjectID="_1718471237" ProgID="Excel.Sheet.12" ShapeID="_x0000_i1043" Type="Embed" r:id="rId52"/>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61" w:id="61"/>
      <w:r>
        <w:rPr>
          <w:rFonts w:eastAsia="等线" w:ascii="Arial" w:cs="Arial" w:hAnsi="Arial"/>
          <w:color w:val="3370ff"/>
          <w:sz w:val="24"/>
        </w:rPr>
        <w:t xml:space="preserve">3.3.4.2.2 </w:t>
      </w:r>
      <w:r>
        <w:rPr>
          <w:rFonts w:eastAsia="等线" w:ascii="Arial" w:cs="Arial" w:hAnsi="Arial"/>
          <w:b w:val="true"/>
          <w:sz w:val="24"/>
        </w:rPr>
        <w:t>关键页面原型</w:t>
      </w:r>
      <w:bookmarkEnd w:id="61"/>
    </w:p>
    <w:p>
      <w:pPr>
        <w:spacing w:before="120" w:after="120" w:line="288" w:lineRule="auto"/>
        <w:ind w:left="0"/>
        <w:jc w:val="left"/>
      </w:pPr>
      <w:r>
        <w:rPr>
          <w:rFonts w:eastAsia="等线" w:ascii="Arial" w:cs="Arial" w:hAnsi="Arial"/>
          <w:b w:val="true"/>
          <w:color w:val="d83931"/>
          <w:sz w:val="22"/>
          <w:shd w:fill="fff67a"/>
        </w:rPr>
        <w:t>【页面1：货值监控看板】</w:t>
      </w:r>
      <w:r>
        <w:rPr>
          <w:rFonts w:eastAsia="等线" w:ascii="Arial" w:cs="Arial" w:hAnsi="Arial"/>
          <w:color w:val="d83931"/>
          <w:sz w:val="22"/>
          <w:shd w:fill="fff67a"/>
        </w:rPr>
        <w:t xml:space="preserve"> </w:t>
      </w:r>
    </w:p>
    <w:p>
      <w:pPr>
        <w:spacing w:before="120" w:after="120" w:line="288" w:lineRule="auto"/>
        <w:ind w:left="0"/>
        <w:jc w:val="center"/>
      </w:pPr>
      <w:r>
        <w:drawing>
          <wp:inline distT="0" distR="0" distB="0" distL="0">
            <wp:extent cx="5257800" cy="51911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54"/>
                    <a:stretch>
                      <a:fillRect/>
                    </a:stretch>
                  </pic:blipFill>
                  <pic:spPr>
                    <a:xfrm>
                      <a:off x="0" y="0"/>
                      <a:ext cx="5257800" cy="51911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页面作用</w:t>
      </w:r>
      <w:r>
        <w:rPr>
          <w:rFonts w:eastAsia="等线" w:ascii="Arial" w:cs="Arial" w:hAnsi="Arial"/>
          <w:sz w:val="22"/>
        </w:rPr>
        <w:t>：决策层和风控人员实时掌握质押物整体风险状况的监控中心。</w:t>
      </w:r>
    </w:p>
    <w:p>
      <w:pPr>
        <w:spacing w:before="120" w:after="120" w:line="288" w:lineRule="auto"/>
        <w:ind w:left="0"/>
        <w:jc w:val="left"/>
      </w:pPr>
      <w:r>
        <w:rPr>
          <w:rFonts w:eastAsia="等线" w:ascii="Arial" w:cs="Arial" w:hAnsi="Arial"/>
          <w:b w:val="true"/>
          <w:sz w:val="22"/>
        </w:rPr>
        <w:t>重点设计</w:t>
      </w:r>
      <w:r>
        <w:rPr>
          <w:rFonts w:eastAsia="等线" w:ascii="Arial" w:cs="Arial" w:hAnsi="Arial"/>
          <w:sz w:val="22"/>
        </w:rPr>
        <w:t>：</w:t>
      </w:r>
    </w:p>
    <w:p>
      <w:pPr>
        <w:numPr>
          <w:numId w:val="454"/>
        </w:numPr>
        <w:spacing w:before="120" w:after="120" w:line="288" w:lineRule="auto"/>
        <w:ind w:left="0"/>
        <w:jc w:val="left"/>
      </w:pPr>
      <w:r>
        <w:rPr>
          <w:rFonts w:eastAsia="等线" w:ascii="Arial" w:cs="Arial" w:hAnsi="Arial"/>
          <w:b w:val="true"/>
          <w:sz w:val="22"/>
        </w:rPr>
        <w:t>风险总览卡片</w:t>
      </w:r>
      <w:r>
        <w:rPr>
          <w:rFonts w:eastAsia="等线" w:ascii="Arial" w:cs="Arial" w:hAnsi="Arial"/>
          <w:sz w:val="22"/>
        </w:rPr>
        <w:t>：顶部展示关键指标（在库总货值、平均质押率、紧急预警数、超标预警数、警戒预警数、本周最大跌幅品类）</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预警卡片支持点击跳转至"</w:t>
            </w:r>
            <w:hyperlink r:id="rId55">
              <w:r>
                <w:rPr>
                  <w:rFonts w:eastAsia="等线" w:ascii="Arial" w:cs="Arial" w:hAnsi="Arial"/>
                  <w:color w:val="3370ff"/>
                  <w:sz w:val="22"/>
                </w:rPr>
                <w:t>实时预警中心</w:t>
              </w:r>
            </w:hyperlink>
            <w:r>
              <w:rPr>
                <w:rFonts w:eastAsia="等线" w:ascii="Arial" w:cs="Arial" w:hAnsi="Arial"/>
                <w:color w:val="646a73"/>
                <w:sz w:val="22"/>
              </w:rPr>
              <w:t>"查看详情</w:t>
            </w:r>
          </w:p>
        </w:tc>
      </w:tr>
    </w:tbl>
    <w:p>
      <w:pPr>
        <w:numPr>
          <w:numId w:val="455"/>
        </w:numPr>
        <w:spacing w:before="120" w:after="120" w:line="288" w:lineRule="auto"/>
        <w:ind w:left="0"/>
        <w:jc w:val="left"/>
      </w:pPr>
      <w:r>
        <w:rPr>
          <w:rFonts w:eastAsia="等线" w:ascii="Arial" w:cs="Arial" w:hAnsi="Arial"/>
          <w:b w:val="true"/>
          <w:sz w:val="22"/>
        </w:rPr>
        <w:t>相对质押率说明</w:t>
      </w:r>
      <w:r>
        <w:rPr>
          <w:rFonts w:eastAsia="等线" w:ascii="Arial" w:cs="Arial" w:hAnsi="Arial"/>
          <w:sz w:val="22"/>
        </w:rPr>
        <w:t>：页面顶部展示计算公式（相对质押率=当前质押率÷品类上限×100%），并举例说明跨品类比较逻辑</w:t>
      </w:r>
    </w:p>
    <w:p>
      <w:pPr>
        <w:numPr>
          <w:numId w:val="456"/>
        </w:numPr>
        <w:spacing w:before="120" w:after="120" w:line="288" w:lineRule="auto"/>
        <w:ind w:left="0"/>
        <w:jc w:val="left"/>
      </w:pPr>
      <w:r>
        <w:rPr>
          <w:rFonts w:eastAsia="等线" w:ascii="Arial" w:cs="Arial" w:hAnsi="Arial"/>
          <w:b w:val="true"/>
          <w:sz w:val="22"/>
        </w:rPr>
        <w:t>风险等级分布</w:t>
      </w:r>
      <w:r>
        <w:rPr>
          <w:rFonts w:eastAsia="等线" w:ascii="Arial" w:cs="Arial" w:hAnsi="Arial"/>
          <w:sz w:val="22"/>
        </w:rPr>
        <w:t>：采用"相对质押率"计算风险等级，条形图+卡片展示各等级业务占比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点击可跳转至“</w:t>
            </w:r>
            <w:hyperlink r:id="rId56">
              <w:r>
                <w:rPr>
                  <w:rFonts w:eastAsia="等线" w:ascii="Arial" w:cs="Arial" w:hAnsi="Arial"/>
                  <w:color w:val="3370ff"/>
                  <w:sz w:val="22"/>
                </w:rPr>
                <w:t>实时预警中心</w:t>
              </w:r>
            </w:hyperlink>
            <w:r>
              <w:rPr>
                <w:rFonts w:eastAsia="等线" w:ascii="Arial" w:cs="Arial" w:hAnsi="Arial"/>
                <w:color w:val="646a73"/>
                <w:sz w:val="22"/>
              </w:rPr>
              <w:t>”查看该等级所有业务</w:t>
            </w:r>
          </w:p>
        </w:tc>
      </w:tr>
    </w:tbl>
    <w:p>
      <w:pPr>
        <w:numPr>
          <w:numId w:val="457"/>
        </w:numPr>
        <w:spacing w:before="120" w:after="120" w:line="288" w:lineRule="auto"/>
        <w:ind w:left="0"/>
        <w:jc w:val="left"/>
      </w:pPr>
      <w:r>
        <w:rPr>
          <w:rFonts w:eastAsia="等线" w:ascii="Arial" w:cs="Arial" w:hAnsi="Arial"/>
          <w:b w:val="true"/>
          <w:sz w:val="22"/>
        </w:rPr>
        <w:t>预警分级标准</w:t>
      </w:r>
      <w:r>
        <w:rPr>
          <w:rFonts w:eastAsia="等线" w:ascii="Arial" w:cs="Arial" w:hAnsi="Arial"/>
          <w:sz w:val="22"/>
        </w:rPr>
        <w:t>：基于相对质押率分为正常（≤85%绿色）、警戒（85-100%黄色，24小时响应）、超标（100-115%红色，4小时响应）、紧急（&gt;115%紫色，立即响应）四级</w:t>
      </w:r>
    </w:p>
    <w:p>
      <w:pPr>
        <w:numPr>
          <w:numId w:val="458"/>
        </w:numPr>
        <w:spacing w:before="120" w:after="120" w:line="288" w:lineRule="auto"/>
        <w:ind w:left="0"/>
        <w:jc w:val="left"/>
      </w:pPr>
      <w:r>
        <w:rPr>
          <w:rFonts w:eastAsia="等线" w:ascii="Arial" w:cs="Arial" w:hAnsi="Arial"/>
          <w:b w:val="true"/>
          <w:sz w:val="22"/>
        </w:rPr>
        <w:t>品类风险分析</w:t>
      </w:r>
      <w:r>
        <w:rPr>
          <w:rFonts w:eastAsia="等线" w:ascii="Arial" w:cs="Arial" w:hAnsi="Arial"/>
          <w:sz w:val="22"/>
        </w:rPr>
        <w:t>：表格展示各品类的平均质押率、品类上限、相对质押率、7日价格变动，高风险品类自动标红</w:t>
      </w:r>
    </w:p>
    <w:p>
      <w:pPr>
        <w:numPr>
          <w:numId w:val="459"/>
        </w:numPr>
        <w:spacing w:before="120" w:after="120" w:line="288" w:lineRule="auto"/>
        <w:ind w:left="0"/>
        <w:jc w:val="left"/>
      </w:pPr>
      <w:r>
        <w:rPr>
          <w:rFonts w:eastAsia="等线" w:ascii="Arial" w:cs="Arial" w:hAnsi="Arial"/>
          <w:b w:val="true"/>
          <w:sz w:val="22"/>
        </w:rPr>
        <w:t>品类差异化展示</w:t>
      </w:r>
      <w:r>
        <w:rPr>
          <w:rFonts w:eastAsia="等线" w:ascii="Arial" w:cs="Arial" w:hAnsi="Arial"/>
          <w:sz w:val="22"/>
        </w:rPr>
        <w:t>：3C电子突出价格波动和新品发布倒计时，白酒突出串货风险，食品突出保质期临期</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与实时预警中心的分工</w:t>
            </w:r>
            <w:r>
              <w:rPr>
                <w:rFonts w:eastAsia="等线" w:ascii="Arial" w:cs="Arial" w:hAnsi="Arial"/>
                <w:sz w:val="22"/>
              </w:rPr>
              <w:t>：</w:t>
            </w:r>
          </w:p>
          <w:p>
            <w:pPr>
              <w:numPr>
                <w:numId w:val="460"/>
              </w:numPr>
              <w:spacing w:before="120" w:after="120" w:line="288" w:lineRule="auto"/>
              <w:ind w:left="0"/>
              <w:jc w:val="left"/>
            </w:pPr>
            <w:r>
              <w:rPr>
                <w:rFonts w:eastAsia="等线" w:ascii="Arial" w:cs="Arial" w:hAnsi="Arial"/>
                <w:sz w:val="22"/>
              </w:rPr>
              <w:t>本页面聚焦</w:t>
            </w:r>
            <w:r>
              <w:rPr>
                <w:rFonts w:eastAsia="等线" w:ascii="Arial" w:cs="Arial" w:hAnsi="Arial"/>
                <w:b w:val="true"/>
                <w:sz w:val="22"/>
              </w:rPr>
              <w:t>质押物维度的监控分析</w:t>
            </w:r>
            <w:r>
              <w:rPr>
                <w:rFonts w:eastAsia="等线" w:ascii="Arial" w:cs="Arial" w:hAnsi="Arial"/>
                <w:sz w:val="22"/>
              </w:rPr>
              <w:t>，帮助决策层快速掌握整体风险状况</w:t>
            </w:r>
          </w:p>
          <w:p>
            <w:pPr>
              <w:numPr>
                <w:numId w:val="461"/>
              </w:numPr>
              <w:spacing w:before="120" w:after="120" w:line="288" w:lineRule="auto"/>
              <w:ind w:left="0"/>
              <w:jc w:val="left"/>
            </w:pPr>
            <w:r>
              <w:rPr>
                <w:rFonts w:eastAsia="等线" w:ascii="Arial" w:cs="Arial" w:hAnsi="Arial"/>
                <w:sz w:val="22"/>
              </w:rPr>
              <w:t>具体预警的</w:t>
            </w:r>
            <w:r>
              <w:rPr>
                <w:rFonts w:eastAsia="等线" w:ascii="Arial" w:cs="Arial" w:hAnsi="Arial"/>
                <w:b w:val="true"/>
                <w:sz w:val="22"/>
              </w:rPr>
              <w:t>接收、处理、升级、闭环</w:t>
            </w:r>
            <w:r>
              <w:rPr>
                <w:rFonts w:eastAsia="等线" w:ascii="Arial" w:cs="Arial" w:hAnsi="Arial"/>
                <w:sz w:val="22"/>
              </w:rPr>
              <w:t>在"</w:t>
            </w:r>
            <w:hyperlink r:id="rId57">
              <w:r>
                <w:rPr>
                  <w:rFonts w:eastAsia="等线" w:ascii="Arial" w:cs="Arial" w:hAnsi="Arial"/>
                  <w:color w:val="3370ff"/>
                  <w:sz w:val="22"/>
                </w:rPr>
                <w:t>3.4实时预警中心</w:t>
              </w:r>
            </w:hyperlink>
            <w:r>
              <w:rPr>
                <w:rFonts w:eastAsia="等线" w:ascii="Arial" w:cs="Arial" w:hAnsi="Arial"/>
                <w:sz w:val="22"/>
              </w:rPr>
              <w:t>"完成</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满足期望</w:t>
            </w:r>
            <w:r>
              <w:rPr>
                <w:rFonts w:eastAsia="等线" w:ascii="Arial" w:cs="Arial" w:hAnsi="Arial"/>
                <w:color w:val="d83931"/>
                <w:sz w:val="22"/>
              </w:rPr>
              <w:t>：决策层需要快速掌握整体风险状况，通过统一的风险等级度量实现跨品类可比，通过分层可视化（总览→品类→单笔业务）支持从宏观到微观的穿透分析，及时发现和处置风险。</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color w:val="d83931"/>
          <w:sz w:val="22"/>
          <w:shd w:fill="fff67a"/>
        </w:rPr>
        <w:t>【页面2：品类监控规则配置】</w:t>
      </w:r>
    </w:p>
    <w:p>
      <w:pPr>
        <w:spacing w:before="120" w:after="120" w:line="288" w:lineRule="auto"/>
        <w:ind w:left="0"/>
        <w:jc w:val="center"/>
      </w:pPr>
      <w:r>
        <w:drawing>
          <wp:inline distT="0" distR="0" distB="0" distL="0">
            <wp:extent cx="5257800" cy="73628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58"/>
                    <a:stretch>
                      <a:fillRect/>
                    </a:stretch>
                  </pic:blipFill>
                  <pic:spPr>
                    <a:xfrm>
                      <a:off x="0" y="0"/>
                      <a:ext cx="5257800" cy="7362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页面作用：管理员配置不同品类的差异化监控规则，实现品类特性的针对性风控。</w:t>
      </w:r>
    </w:p>
    <w:p>
      <w:pPr>
        <w:spacing w:before="120" w:after="120" w:line="288" w:lineRule="auto"/>
        <w:ind w:left="0"/>
        <w:jc w:val="left"/>
      </w:pPr>
      <w:r>
        <w:rPr>
          <w:rFonts w:eastAsia="等线" w:ascii="Arial" w:cs="Arial" w:hAnsi="Arial"/>
          <w:sz w:val="22"/>
        </w:rPr>
        <w:t>重点设计：</w:t>
      </w:r>
    </w:p>
    <w:p>
      <w:pPr>
        <w:numPr>
          <w:numId w:val="462"/>
        </w:numPr>
        <w:spacing w:before="120" w:after="120" w:line="288" w:lineRule="auto"/>
        <w:ind w:left="0"/>
        <w:jc w:val="left"/>
      </w:pPr>
      <w:r>
        <w:rPr>
          <w:rFonts w:eastAsia="等线" w:ascii="Arial" w:cs="Arial" w:hAnsi="Arial"/>
          <w:b w:val="true"/>
          <w:sz w:val="22"/>
        </w:rPr>
        <w:t>品类模板管理</w:t>
      </w:r>
      <w:r>
        <w:rPr>
          <w:rFonts w:eastAsia="等线" w:ascii="Arial" w:cs="Arial" w:hAnsi="Arial"/>
          <w:sz w:val="22"/>
        </w:rPr>
        <w:t>：左侧展示已配置的品类列表，支持快速切换和新增品类</w:t>
      </w:r>
    </w:p>
    <w:p>
      <w:pPr>
        <w:numPr>
          <w:numId w:val="463"/>
        </w:numPr>
        <w:spacing w:before="120" w:after="120" w:line="288" w:lineRule="auto"/>
        <w:ind w:left="0"/>
        <w:jc w:val="left"/>
      </w:pPr>
      <w:r>
        <w:rPr>
          <w:rFonts w:eastAsia="等线" w:ascii="Arial" w:cs="Arial" w:hAnsi="Arial"/>
          <w:b w:val="true"/>
          <w:sz w:val="22"/>
        </w:rPr>
        <w:t>通用监控项配置</w:t>
      </w:r>
      <w:r>
        <w:rPr>
          <w:rFonts w:eastAsia="等线" w:ascii="Arial" w:cs="Arial" w:hAnsi="Arial"/>
          <w:sz w:val="22"/>
        </w:rPr>
        <w:t>：所有品类共有的监控项（价格波动、质押率阈值），统一配置入口</w:t>
      </w:r>
    </w:p>
    <w:p>
      <w:pPr>
        <w:numPr>
          <w:numId w:val="464"/>
        </w:numPr>
        <w:spacing w:before="120" w:after="120" w:line="288" w:lineRule="auto"/>
        <w:ind w:left="0"/>
        <w:jc w:val="left"/>
      </w:pPr>
      <w:r>
        <w:rPr>
          <w:rFonts w:eastAsia="等线" w:ascii="Arial" w:cs="Arial" w:hAnsi="Arial"/>
          <w:b w:val="true"/>
          <w:sz w:val="22"/>
        </w:rPr>
        <w:t>品类特有监控项</w:t>
      </w:r>
      <w:r>
        <w:rPr>
          <w:rFonts w:eastAsia="等线" w:ascii="Arial" w:cs="Arial" w:hAnsi="Arial"/>
          <w:sz w:val="22"/>
        </w:rPr>
        <w:t>：根据品类特性展示专属监控项（3C：新品发布周期；白酒：串货风险；食品：保质期临期）</w:t>
      </w:r>
    </w:p>
    <w:p>
      <w:pPr>
        <w:numPr>
          <w:numId w:val="465"/>
        </w:numPr>
        <w:spacing w:before="120" w:after="120" w:line="288" w:lineRule="auto"/>
        <w:ind w:left="0"/>
        <w:jc w:val="left"/>
      </w:pPr>
      <w:r>
        <w:rPr>
          <w:rFonts w:eastAsia="等线" w:ascii="Arial" w:cs="Arial" w:hAnsi="Arial"/>
          <w:b w:val="true"/>
          <w:sz w:val="22"/>
        </w:rPr>
        <w:t>分级预警阈值</w:t>
      </w:r>
      <w:r>
        <w:rPr>
          <w:rFonts w:eastAsia="等线" w:ascii="Arial" w:cs="Arial" w:hAnsi="Arial"/>
          <w:sz w:val="22"/>
        </w:rPr>
        <w:t>：黄色预警、红色预警阈值独立配置，支持不同响应策略</w:t>
      </w:r>
    </w:p>
    <w:p>
      <w:pPr>
        <w:numPr>
          <w:numId w:val="466"/>
        </w:numPr>
        <w:spacing w:before="120" w:after="120" w:line="288" w:lineRule="auto"/>
        <w:ind w:left="0"/>
        <w:jc w:val="left"/>
      </w:pPr>
      <w:r>
        <w:rPr>
          <w:rFonts w:eastAsia="等线" w:ascii="Arial" w:cs="Arial" w:hAnsi="Arial"/>
          <w:b w:val="true"/>
          <w:sz w:val="22"/>
        </w:rPr>
        <w:t>动态调整机制</w:t>
      </w:r>
      <w:r>
        <w:rPr>
          <w:rFonts w:eastAsia="等线" w:ascii="Arial" w:cs="Arial" w:hAnsi="Arial"/>
          <w:sz w:val="22"/>
        </w:rPr>
        <w:t>：支持按时间节点（促销季、新品发布期）自动调整监控参数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满足期望：不同品类风险特性差异大，统一规则无法精准监控；可视化配置让非技术人员也能维护规则，将风控经验沉淀为系统能力。品类特性针对性监控，3C品类不良率从7.2%降至3%以下</w:t>
            </w:r>
          </w:p>
        </w:tc>
      </w:tr>
    </w:tbl>
    <w:p>
      <w:pPr>
        <w:numPr>
          <w:numId w:val="467"/>
        </w:numPr>
        <w:spacing w:before="120" w:after="120" w:line="288" w:lineRule="auto"/>
        <w:ind w:left="0"/>
        <w:jc w:val="left"/>
      </w:pPr>
      <w:r>
        <w:rPr>
          <w:rFonts w:eastAsia="等线" w:ascii="Arial" w:cs="Arial" w:hAnsi="Arial"/>
          <w:b w:val="true"/>
          <w:sz w:val="22"/>
        </w:rPr>
        <w:t>品类风险分布</w:t>
      </w:r>
    </w:p>
    <w:p>
      <w:pPr>
        <w:spacing w:before="120" w:after="120" w:line="288" w:lineRule="auto"/>
        <w:ind w:left="0"/>
      </w:pPr>
      <w:r>
        <w:object>
          <v:shape id="_x0000_i1044" style="width:414pt;height:90pt;mso-width-percent:0;mso-height-percent:0;mso-width-percent:0;mso-height-percent:0" type="#_x0000_t75" o:ole="">
            <v:imagedata r:id="rId60" o:title=""/>
          </v:shape>
          <o:OLEObject DrawAspect="Icon" ObjectID="_1718471238" ProgID="Excel.Sheet.12" ShapeID="_x0000_i1044" Type="Embed" r:id="rId59"/>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说明：质押率上限是该品类的红线，相对质押率超过100%即触发"超标"预警。"高风险判定标准"中的相对质押率&gt;85%对应"警戒"预警触发点。</w:t>
            </w:r>
          </w:p>
          <w:p>
            <w:pPr>
              <w:spacing w:before="120" w:after="120" w:line="288" w:lineRule="auto"/>
              <w:ind w:left="0"/>
              <w:jc w:val="left"/>
            </w:pPr>
            <w:r>
              <w:rPr>
                <w:rFonts w:eastAsia="等线" w:ascii="Arial" w:cs="Arial" w:hAnsi="Arial"/>
                <w:color w:val="646a73"/>
                <w:sz w:val="22"/>
              </w:rPr>
              <w:t>各品类质押率上限基于"</w:t>
            </w:r>
            <w:r>
              <w:rPr>
                <w:rFonts w:eastAsia="等线" w:ascii="Arial" w:cs="Arial" w:hAnsi="Arial"/>
                <w:b w:val="true"/>
                <w:color w:val="646a73"/>
                <w:sz w:val="22"/>
              </w:rPr>
              <w:t>质押率 = 100% - 预期最大跌幅 - 安全边际</w:t>
            </w:r>
            <w:r>
              <w:rPr>
                <w:rFonts w:eastAsia="等线" w:ascii="Arial" w:cs="Arial" w:hAnsi="Arial"/>
                <w:color w:val="646a73"/>
                <w:sz w:val="22"/>
              </w:rPr>
              <w:t>"原则设定，充分考虑不同品类的价格波动特性和风险缓冲需求。详细设计原则及推导逻辑见</w:t>
            </w:r>
            <w:hyperlink r:id="rId61">
              <w:r>
                <w:rPr>
                  <w:rFonts w:eastAsia="等线" w:ascii="Arial" w:cs="Arial" w:hAnsi="Arial"/>
                  <w:color w:val="3370ff"/>
                  <w:sz w:val="22"/>
                </w:rPr>
                <w:t xml:space="preserve"> 策略1：品类差异化质押率上限设计原则</w:t>
              </w:r>
            </w:hyperlink>
            <w:r>
              <w:rPr>
                <w:rFonts w:eastAsia="等线" w:ascii="Arial" w:cs="Arial" w:hAnsi="Arial"/>
                <w:color w:val="646a73"/>
                <w:sz w:val="22"/>
              </w:rPr>
              <w:t>。</w:t>
            </w:r>
          </w:p>
        </w:tc>
      </w:tr>
    </w:tbl>
    <w:p>
      <w:pPr>
        <w:numPr>
          <w:numId w:val="468"/>
        </w:numPr>
        <w:spacing w:before="120" w:after="120" w:line="288" w:lineRule="auto"/>
        <w:ind w:left="0"/>
        <w:jc w:val="left"/>
      </w:pPr>
      <w:r>
        <w:rPr>
          <w:rFonts w:eastAsia="等线" w:ascii="Arial" w:cs="Arial" w:hAnsi="Arial"/>
          <w:b w:val="true"/>
          <w:sz w:val="22"/>
        </w:rPr>
        <w:t>品类特有风险</w:t>
      </w:r>
    </w:p>
    <w:p>
      <w:pPr>
        <w:spacing w:before="120" w:after="120" w:line="288" w:lineRule="auto"/>
        <w:ind w:left="0"/>
      </w:pPr>
      <w:r>
        <w:object>
          <v:shape id="_x0000_i1045" style="width:414pt;height:90pt;mso-width-percent:0;mso-height-percent:0;mso-width-percent:0;mso-height-percent:0" type="#_x0000_t75" o:ole="">
            <v:imagedata r:id="rId63" o:title=""/>
          </v:shape>
          <o:OLEObject DrawAspect="Icon" ObjectID="_1718471239" ProgID="Excel.Sheet.12" ShapeID="_x0000_i1045" Type="Embed" r:id="rId62"/>
        </w:object>
      </w:r>
    </w:p>
    <w:p>
      <w:pPr>
        <w:spacing w:after="120"/>
        <w:ind w:left="0"/>
        <w:jc w:val="center"/>
      </w:pPr>
      <w:r>
        <w:rPr>
          <w:rFonts w:eastAsia="等线" w:ascii="Arial" w:cs="Arial" w:hAnsi="Arial"/>
          <w:b w:val="true"/>
          <w:sz w:val="22"/>
        </w:rPr>
        <w:t>点击图片可查看完整电子表格</w:t>
      </w:r>
    </w:p>
    <w:p>
      <w:pPr>
        <w:numPr>
          <w:numId w:val="469"/>
        </w:numPr>
        <w:spacing w:before="120" w:after="120" w:line="288" w:lineRule="auto"/>
        <w:ind w:left="0"/>
        <w:jc w:val="left"/>
      </w:pPr>
      <w:r>
        <w:rPr>
          <w:rFonts w:eastAsia="等线" w:ascii="Arial" w:cs="Arial" w:hAnsi="Arial"/>
          <w:b w:val="true"/>
          <w:sz w:val="22"/>
        </w:rPr>
        <w:t>动态调整机制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系统自动根据市场情况调整：</w:t>
              <w:br/>
              <w:br/>
              <w:t>双11前30天：</w:t>
              <w:br/>
              <w:t xml:space="preserve">  → 3C电子质押率从65%降至60%</w:t>
              <w:br/>
              <w:t xml:space="preserve">  → 价格监控频率从每日改为每4小时</w:t>
              <w:br/>
              <w:t xml:space="preserve">  → 新增促销价格影响评估</w:t>
              <w:br/>
              <w:br/>
              <w:t>新品发布（如iPhone新款）：</w:t>
              <w:br/>
              <w:t xml:space="preserve">  → 旧款手机质押率自动降低10%</w:t>
              <w:br/>
              <w:t xml:space="preserve">  → 强制要求补充质押物或部分还款</w:t>
              <w:br/>
            </w:r>
            <w:r>
              <w:rPr>
                <w:rFonts w:eastAsia="Consolas" w:ascii="Consolas" w:cs="Consolas" w:hAnsi="Consolas"/>
                <w:sz w:val="22"/>
              </w:rPr>
              <w:t xml:space="preserve">  → 加强出库监控，防止集中出货</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62" w:id="62"/>
      <w:r>
        <w:rPr>
          <w:rFonts w:eastAsia="等线" w:ascii="Arial" w:cs="Arial" w:hAnsi="Arial"/>
          <w:color w:val="3370ff"/>
          <w:sz w:val="24"/>
        </w:rPr>
        <w:t xml:space="preserve">3.3.4.2.3 </w:t>
      </w:r>
      <w:r>
        <w:rPr>
          <w:rFonts w:eastAsia="等线" w:ascii="Arial" w:cs="Arial" w:hAnsi="Arial"/>
          <w:b w:val="true"/>
          <w:sz w:val="24"/>
        </w:rPr>
        <w:t>货值监控运营策略</w:t>
      </w:r>
      <w:bookmarkEnd w:id="62"/>
    </w:p>
    <w:p>
      <w:pPr>
        <w:pStyle w:val="6"/>
        <w:spacing w:before="240" w:after="120" w:line="288" w:lineRule="auto"/>
        <w:ind w:left="0"/>
        <w:jc w:val="left"/>
        <w:outlineLvl w:val="5"/>
      </w:pPr>
      <w:bookmarkStart w:name="heading_63" w:id="63"/>
      <w:r>
        <w:rPr>
          <w:rFonts w:eastAsia="等线" w:ascii="Arial" w:cs="Arial" w:hAnsi="Arial"/>
          <w:b w:val="true"/>
          <w:sz w:val="24"/>
        </w:rPr>
        <w:t>策略1：品类差异化质押率上限设计原则</w:t>
      </w:r>
      <w:bookmarkEnd w:id="63"/>
    </w:p>
    <w:p>
      <w:pPr>
        <w:spacing w:before="120" w:after="120" w:line="288" w:lineRule="auto"/>
        <w:ind w:left="0"/>
        <w:jc w:val="left"/>
      </w:pPr>
      <w:r>
        <w:rPr>
          <w:rFonts w:eastAsia="等线" w:ascii="Arial" w:cs="Arial" w:hAnsi="Arial"/>
          <w:b w:val="true"/>
          <w:sz w:val="22"/>
        </w:rPr>
        <w:t>核心设计思路</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质押率上限 = 100% - 预期最大跌幅 - 安全边际</w:t>
            </w:r>
          </w:p>
        </w:tc>
      </w:tr>
    </w:tbl>
    <w:p>
      <w:pPr>
        <w:spacing w:before="120" w:after="120" w:line="288" w:lineRule="auto"/>
        <w:ind w:left="0"/>
        <w:jc w:val="left"/>
      </w:pPr>
      <w:r>
        <w:rPr>
          <w:rFonts w:eastAsia="等线" w:ascii="Arial" w:cs="Arial" w:hAnsi="Arial"/>
          <w:sz w:val="22"/>
        </w:rPr>
        <w:t>不同品类商品的价格波动特性差异显著，统一的质押率无法有效控制风险。基于</w:t>
      </w:r>
      <w:r>
        <w:rPr>
          <w:rFonts w:eastAsia="等线" w:ascii="Arial" w:cs="Arial" w:hAnsi="Arial"/>
          <w:b w:val="true"/>
          <w:sz w:val="22"/>
        </w:rPr>
        <w:t>历史价格波动分析</w:t>
      </w:r>
      <w:r>
        <w:rPr>
          <w:rFonts w:eastAsia="等线" w:ascii="Arial" w:cs="Arial" w:hAnsi="Arial"/>
          <w:sz w:val="22"/>
        </w:rPr>
        <w:t>、</w:t>
      </w:r>
      <w:r>
        <w:rPr>
          <w:rFonts w:eastAsia="等线" w:ascii="Arial" w:cs="Arial" w:hAnsi="Arial"/>
          <w:b w:val="true"/>
          <w:sz w:val="22"/>
        </w:rPr>
        <w:t>行业实践对标</w:t>
      </w:r>
      <w:r>
        <w:rPr>
          <w:rFonts w:eastAsia="等线" w:ascii="Arial" w:cs="Arial" w:hAnsi="Arial"/>
          <w:sz w:val="22"/>
        </w:rPr>
        <w:t>和</w:t>
      </w:r>
      <w:r>
        <w:rPr>
          <w:rFonts w:eastAsia="等线" w:ascii="Arial" w:cs="Arial" w:hAnsi="Arial"/>
          <w:b w:val="true"/>
          <w:sz w:val="22"/>
        </w:rPr>
        <w:t>风险缓冲原则</w:t>
      </w:r>
      <w:r>
        <w:rPr>
          <w:rFonts w:eastAsia="等线" w:ascii="Arial" w:cs="Arial" w:hAnsi="Arial"/>
          <w:sz w:val="22"/>
        </w:rPr>
        <w:t>三个维度，为各品类设定差异化的质押率上限。</w:t>
      </w:r>
    </w:p>
    <w:p>
      <w:pPr>
        <w:pStyle w:val="7"/>
        <w:spacing w:before="240" w:after="120" w:line="288" w:lineRule="auto"/>
        <w:ind w:left="0"/>
        <w:jc w:val="left"/>
        <w:outlineLvl w:val="6"/>
      </w:pPr>
      <w:bookmarkStart w:name="heading_64" w:id="64"/>
      <w:r>
        <w:rPr>
          <w:rFonts w:eastAsia="等线" w:ascii="Arial" w:cs="Arial" w:hAnsi="Arial"/>
          <w:b w:val="true"/>
          <w:sz w:val="24"/>
        </w:rPr>
        <w:t>3C电子品类：质押率上限70%</w:t>
      </w:r>
      <w:bookmarkEnd w:id="64"/>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为什么是70%而非更高？</w:t>
            </w:r>
          </w:p>
          <w:p>
            <w:pPr>
              <w:spacing w:before="120" w:after="120" w:line="288" w:lineRule="auto"/>
              <w:ind w:left="0"/>
              <w:jc w:val="left"/>
            </w:pPr>
            <w:r>
              <w:rPr>
                <w:rFonts w:eastAsia="等线" w:ascii="Arial" w:cs="Arial" w:hAnsi="Arial"/>
                <w:sz w:val="22"/>
              </w:rPr>
              <w:t>3C电子是所有品类中价格波动最剧烈的，主要受以下因素影响：</w:t>
            </w:r>
          </w:p>
        </w:tc>
      </w:tr>
    </w:tbl>
    <w:p>
      <w:pPr>
        <w:spacing w:before="120" w:after="120" w:line="288" w:lineRule="auto"/>
        <w:ind w:left="0"/>
      </w:pPr>
      <w:r>
        <w:object>
          <v:shape id="_x0000_i1046" style="width:414pt;height:197pt;mso-width-percent:0;mso-height-percent:0;mso-width-percent:0;mso-height-percent:0" type="#_x0000_t75" o:ole="">
            <v:imagedata r:id="rId65" o:title=""/>
          </v:shape>
          <o:OLEObject DrawAspect="Icon" ObjectID="_1718471240" ProgID="Excel.Sheet.12" ShapeID="_x0000_i1046" Type="Embed" r:id="rId6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质押率计算逻辑</w:t>
      </w:r>
      <w:r>
        <w:rPr>
          <w:rFonts w:eastAsia="等线" w:ascii="Arial" w:cs="Arial" w:hAnsi="Arial"/>
          <w:sz w:val="22"/>
        </w:rPr>
        <w:t>：</w:t>
      </w:r>
    </w:p>
    <w:p>
      <w:pPr>
        <w:numPr>
          <w:numId w:val="470"/>
        </w:numPr>
        <w:spacing w:before="120" w:after="120" w:line="288" w:lineRule="auto"/>
        <w:ind w:left="0"/>
        <w:jc w:val="left"/>
      </w:pPr>
      <w:r>
        <w:rPr>
          <w:rFonts w:eastAsia="等线" w:ascii="Arial" w:cs="Arial" w:hAnsi="Arial"/>
          <w:sz w:val="22"/>
        </w:rPr>
        <w:t>极端情况预期跌幅：20%（新品发布叠加促销季）</w:t>
      </w:r>
    </w:p>
    <w:p>
      <w:pPr>
        <w:numPr>
          <w:numId w:val="471"/>
        </w:numPr>
        <w:spacing w:before="120" w:after="120" w:line="288" w:lineRule="auto"/>
        <w:ind w:left="0"/>
        <w:jc w:val="left"/>
      </w:pPr>
      <w:r>
        <w:rPr>
          <w:rFonts w:eastAsia="等线" w:ascii="Arial" w:cs="Arial" w:hAnsi="Arial"/>
          <w:sz w:val="22"/>
        </w:rPr>
        <w:t>安全边际：10%（应对数据滞后、处置周期等不确定性）</w:t>
      </w:r>
    </w:p>
    <w:p>
      <w:pPr>
        <w:numPr>
          <w:numId w:val="472"/>
        </w:numPr>
        <w:spacing w:before="120" w:after="120" w:line="288" w:lineRule="auto"/>
        <w:ind w:left="0"/>
        <w:jc w:val="left"/>
      </w:pPr>
      <w:r>
        <w:rPr>
          <w:rFonts w:eastAsia="等线" w:ascii="Arial" w:cs="Arial" w:hAnsi="Arial"/>
          <w:sz w:val="22"/>
        </w:rPr>
        <w:t xml:space="preserve">质押率上限 = 100% - 20% - 10% = </w:t>
      </w:r>
      <w:r>
        <w:rPr>
          <w:rFonts w:eastAsia="等线" w:ascii="Arial" w:cs="Arial" w:hAnsi="Arial"/>
          <w:b w:val="true"/>
          <w:sz w:val="22"/>
        </w:rPr>
        <w:t>70%</w:t>
      </w:r>
    </w:p>
    <w:p>
      <w:pPr>
        <w:spacing w:before="120" w:after="120" w:line="288" w:lineRule="auto"/>
        <w:ind w:left="0"/>
        <w:jc w:val="left"/>
      </w:pPr>
      <w:r>
        <w:rPr>
          <w:rFonts w:eastAsia="等线" w:ascii="Arial" w:cs="Arial" w:hAnsi="Arial"/>
          <w:b w:val="true"/>
          <w:sz w:val="22"/>
        </w:rPr>
        <w:t>行业对标</w:t>
      </w:r>
      <w:r>
        <w:rPr>
          <w:rFonts w:eastAsia="等线" w:ascii="Arial" w:cs="Arial" w:hAnsi="Arial"/>
          <w:sz w:val="22"/>
        </w:rPr>
        <w:t>：京东供应链金融对3C品类质押率设定为65-70%，平安银行存货融资对电子产品质押率上限为60-70%。我们取70%，在风险可控前提下保持业务竞争力。</w:t>
      </w:r>
    </w:p>
    <w:p>
      <w:pPr>
        <w:pStyle w:val="7"/>
        <w:spacing w:before="240" w:after="120" w:line="288" w:lineRule="auto"/>
        <w:ind w:left="0"/>
        <w:jc w:val="left"/>
        <w:outlineLvl w:val="6"/>
      </w:pPr>
      <w:bookmarkStart w:name="heading_65" w:id="65"/>
      <w:r>
        <w:rPr>
          <w:rFonts w:eastAsia="等线" w:ascii="Arial" w:cs="Arial" w:hAnsi="Arial"/>
          <w:b w:val="true"/>
          <w:sz w:val="24"/>
        </w:rPr>
        <w:t>食品品类：质押率上限75%</w:t>
      </w:r>
      <w:bookmarkEnd w:id="6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为什么比3C高5个百分点？</w:t>
            </w:r>
          </w:p>
          <w:p>
            <w:pPr>
              <w:spacing w:before="120" w:after="120" w:line="288" w:lineRule="auto"/>
              <w:ind w:left="0"/>
              <w:jc w:val="left"/>
            </w:pPr>
            <w:r>
              <w:rPr>
                <w:rFonts w:eastAsia="等线" w:ascii="Arial" w:cs="Arial" w:hAnsi="Arial"/>
                <w:sz w:val="22"/>
              </w:rPr>
              <w:t>食品品类价格相对稳定，但面临独特的</w:t>
            </w:r>
            <w:r>
              <w:rPr>
                <w:rFonts w:eastAsia="等线" w:ascii="Arial" w:cs="Arial" w:hAnsi="Arial"/>
                <w:b w:val="true"/>
                <w:sz w:val="22"/>
              </w:rPr>
              <w:t>保质期风险</w:t>
            </w:r>
            <w:r>
              <w:rPr>
                <w:rFonts w:eastAsia="等线" w:ascii="Arial" w:cs="Arial" w:hAnsi="Arial"/>
                <w:sz w:val="22"/>
              </w:rPr>
              <w:t>：</w:t>
            </w:r>
          </w:p>
        </w:tc>
      </w:tr>
    </w:tbl>
    <w:p>
      <w:pPr>
        <w:spacing w:before="120" w:after="120" w:line="288" w:lineRule="auto"/>
        <w:ind w:left="0"/>
      </w:pPr>
      <w:r>
        <w:object>
          <v:shape id="_x0000_i1047" style="width:414pt;height:177pt;mso-width-percent:0;mso-height-percent:0;mso-width-percent:0;mso-height-percent:0" type="#_x0000_t75" o:ole="">
            <v:imagedata r:id="rId67" o:title=""/>
          </v:shape>
          <o:OLEObject DrawAspect="Icon" ObjectID="_1718471241" ProgID="Excel.Sheet.12" ShapeID="_x0000_i1047" Type="Embed" r:id="rId6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质押率计算逻辑</w:t>
      </w:r>
      <w:r>
        <w:rPr>
          <w:rFonts w:eastAsia="等线" w:ascii="Arial" w:cs="Arial" w:hAnsi="Arial"/>
          <w:sz w:val="22"/>
        </w:rPr>
        <w:t>：</w:t>
      </w:r>
    </w:p>
    <w:p>
      <w:pPr>
        <w:numPr>
          <w:numId w:val="473"/>
        </w:numPr>
        <w:spacing w:before="120" w:after="120" w:line="288" w:lineRule="auto"/>
        <w:ind w:left="0"/>
        <w:jc w:val="left"/>
      </w:pPr>
      <w:r>
        <w:rPr>
          <w:rFonts w:eastAsia="等线" w:ascii="Arial" w:cs="Arial" w:hAnsi="Arial"/>
          <w:sz w:val="22"/>
        </w:rPr>
        <w:t>价格波动预期跌幅：10%（季节性波动+市场波动）</w:t>
      </w:r>
    </w:p>
    <w:p>
      <w:pPr>
        <w:numPr>
          <w:numId w:val="474"/>
        </w:numPr>
        <w:spacing w:before="120" w:after="120" w:line="288" w:lineRule="auto"/>
        <w:ind w:left="0"/>
        <w:jc w:val="left"/>
      </w:pPr>
      <w:r>
        <w:rPr>
          <w:rFonts w:eastAsia="等线" w:ascii="Arial" w:cs="Arial" w:hAnsi="Arial"/>
          <w:sz w:val="22"/>
        </w:rPr>
        <w:t>保质期风险缓冲：10%（应对临期贬值）</w:t>
      </w:r>
    </w:p>
    <w:p>
      <w:pPr>
        <w:numPr>
          <w:numId w:val="475"/>
        </w:numPr>
        <w:spacing w:before="120" w:after="120" w:line="288" w:lineRule="auto"/>
        <w:ind w:left="0"/>
        <w:jc w:val="left"/>
      </w:pPr>
      <w:r>
        <w:rPr>
          <w:rFonts w:eastAsia="等线" w:ascii="Arial" w:cs="Arial" w:hAnsi="Arial"/>
          <w:sz w:val="22"/>
        </w:rPr>
        <w:t>安全边际：5%</w:t>
      </w:r>
    </w:p>
    <w:p>
      <w:pPr>
        <w:numPr>
          <w:numId w:val="476"/>
        </w:numPr>
        <w:spacing w:before="120" w:after="120" w:line="288" w:lineRule="auto"/>
        <w:ind w:left="0"/>
        <w:jc w:val="left"/>
      </w:pPr>
      <w:r>
        <w:rPr>
          <w:rFonts w:eastAsia="等线" w:ascii="Arial" w:cs="Arial" w:hAnsi="Arial"/>
          <w:sz w:val="22"/>
        </w:rPr>
        <w:t xml:space="preserve">质押率上限 = 100% - 10% - 10% - 5% = </w:t>
      </w:r>
      <w:r>
        <w:rPr>
          <w:rFonts w:eastAsia="等线" w:ascii="Arial" w:cs="Arial" w:hAnsi="Arial"/>
          <w:b w:val="true"/>
          <w:sz w:val="22"/>
        </w:rPr>
        <w:t>75%</w:t>
      </w:r>
    </w:p>
    <w:p>
      <w:pPr>
        <w:spacing w:before="120" w:after="120" w:line="288" w:lineRule="auto"/>
        <w:ind w:left="0"/>
        <w:jc w:val="left"/>
      </w:pPr>
      <w:r>
        <w:rPr>
          <w:rFonts w:eastAsia="等线" w:ascii="Arial" w:cs="Arial" w:hAnsi="Arial"/>
          <w:b w:val="true"/>
          <w:sz w:val="22"/>
        </w:rPr>
        <w:t>风控配套措施</w:t>
      </w:r>
      <w:r>
        <w:rPr>
          <w:rFonts w:eastAsia="等线" w:ascii="Arial" w:cs="Arial" w:hAnsi="Arial"/>
          <w:sz w:val="22"/>
        </w:rPr>
        <w:t xml:space="preserve">：由于保质期风险无法通过质押率完全覆盖，我们配套设置入库门槛（剩余保质期必须&gt;2/3）和临期预警机制，详见 </w:t>
      </w:r>
      <w:hyperlink r:id="rId68">
        <w:r>
          <w:rPr>
            <w:rFonts w:eastAsia="等线" w:ascii="Arial" w:cs="Arial" w:hAnsi="Arial"/>
            <w:color w:val="3370ff"/>
            <w:sz w:val="22"/>
          </w:rPr>
          <w:t>3.3.5.3 食品品类</w:t>
        </w:r>
      </w:hyperlink>
      <w:r>
        <w:rPr>
          <w:rFonts w:eastAsia="等线" w:ascii="Arial" w:cs="Arial" w:hAnsi="Arial"/>
          <w:sz w:val="22"/>
        </w:rPr>
        <w:t>。</w:t>
      </w:r>
    </w:p>
    <w:p>
      <w:pPr>
        <w:pStyle w:val="7"/>
        <w:spacing w:before="240" w:after="120" w:line="288" w:lineRule="auto"/>
        <w:ind w:left="0"/>
        <w:jc w:val="left"/>
        <w:outlineLvl w:val="6"/>
      </w:pPr>
      <w:bookmarkStart w:name="heading_66" w:id="66"/>
      <w:r>
        <w:rPr>
          <w:rFonts w:eastAsia="等线" w:ascii="Arial" w:cs="Arial" w:hAnsi="Arial"/>
          <w:b w:val="true"/>
          <w:sz w:val="24"/>
        </w:rPr>
        <w:t>白酒品类：质押率上限80%</w:t>
      </w:r>
      <w:bookmarkEnd w:id="66"/>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为什么可以设到80%？</w:t>
            </w:r>
          </w:p>
          <w:p>
            <w:pPr>
              <w:spacing w:before="120" w:after="120" w:line="288" w:lineRule="auto"/>
              <w:ind w:left="0"/>
              <w:jc w:val="left"/>
            </w:pPr>
            <w:r>
              <w:rPr>
                <w:rFonts w:eastAsia="等线" w:ascii="Arial" w:cs="Arial" w:hAnsi="Arial"/>
                <w:sz w:val="22"/>
              </w:rPr>
              <w:t>白酒是所有品类中价格最稳定的，部分高端白酒甚至有升值空间：</w:t>
            </w:r>
          </w:p>
        </w:tc>
      </w:tr>
    </w:tbl>
    <w:p>
      <w:pPr>
        <w:spacing w:before="120" w:after="120" w:line="288" w:lineRule="auto"/>
        <w:ind w:left="0"/>
      </w:pPr>
      <w:r>
        <w:object>
          <v:shape id="_x0000_i1048" style="width:414pt;height:187pt;mso-width-percent:0;mso-height-percent:0;mso-width-percent:0;mso-height-percent:0" type="#_x0000_t75" o:ole="">
            <v:imagedata r:id="rId70" o:title=""/>
          </v:shape>
          <o:OLEObject DrawAspect="Icon" ObjectID="_1718471242" ProgID="Excel.Sheet.12" ShapeID="_x0000_i1048" Type="Embed" r:id="rId6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质押率计算逻辑</w:t>
      </w:r>
      <w:r>
        <w:rPr>
          <w:rFonts w:eastAsia="等线" w:ascii="Arial" w:cs="Arial" w:hAnsi="Arial"/>
          <w:sz w:val="22"/>
        </w:rPr>
        <w:t>：</w:t>
      </w:r>
    </w:p>
    <w:p>
      <w:pPr>
        <w:numPr>
          <w:numId w:val="477"/>
        </w:numPr>
        <w:spacing w:before="120" w:after="120" w:line="288" w:lineRule="auto"/>
        <w:ind w:left="0"/>
        <w:jc w:val="left"/>
      </w:pPr>
      <w:r>
        <w:rPr>
          <w:rFonts w:eastAsia="等线" w:ascii="Arial" w:cs="Arial" w:hAnsi="Arial"/>
          <w:sz w:val="22"/>
        </w:rPr>
        <w:t>价格波动预期跌幅：10%（含市场波动和极端情况）</w:t>
      </w:r>
    </w:p>
    <w:p>
      <w:pPr>
        <w:numPr>
          <w:numId w:val="478"/>
        </w:numPr>
        <w:spacing w:before="120" w:after="120" w:line="288" w:lineRule="auto"/>
        <w:ind w:left="0"/>
        <w:jc w:val="left"/>
      </w:pPr>
      <w:r>
        <w:rPr>
          <w:rFonts w:eastAsia="等线" w:ascii="Arial" w:cs="Arial" w:hAnsi="Arial"/>
          <w:sz w:val="22"/>
        </w:rPr>
        <w:t>安全边际：10%</w:t>
      </w:r>
    </w:p>
    <w:p>
      <w:pPr>
        <w:numPr>
          <w:numId w:val="479"/>
        </w:numPr>
        <w:spacing w:before="120" w:after="120" w:line="288" w:lineRule="auto"/>
        <w:ind w:left="0"/>
        <w:jc w:val="left"/>
      </w:pPr>
      <w:r>
        <w:rPr>
          <w:rFonts w:eastAsia="等线" w:ascii="Arial" w:cs="Arial" w:hAnsi="Arial"/>
          <w:sz w:val="22"/>
        </w:rPr>
        <w:t xml:space="preserve">质押率上限 = 100% - 10% - 10% = </w:t>
      </w:r>
      <w:r>
        <w:rPr>
          <w:rFonts w:eastAsia="等线" w:ascii="Arial" w:cs="Arial" w:hAnsi="Arial"/>
          <w:b w:val="true"/>
          <w:sz w:val="22"/>
        </w:rPr>
        <w:t>80%</w:t>
      </w:r>
    </w:p>
    <w:p>
      <w:pPr>
        <w:spacing w:before="120" w:after="120" w:line="288" w:lineRule="auto"/>
        <w:ind w:left="0"/>
        <w:jc w:val="left"/>
      </w:pPr>
      <w:r>
        <w:rPr>
          <w:rFonts w:eastAsia="等线" w:ascii="Arial" w:cs="Arial" w:hAnsi="Arial"/>
          <w:b w:val="true"/>
          <w:sz w:val="22"/>
        </w:rPr>
        <w:t>行业对标</w:t>
      </w:r>
      <w:r>
        <w:rPr>
          <w:rFonts w:eastAsia="等线" w:ascii="Arial" w:cs="Arial" w:hAnsi="Arial"/>
          <w:sz w:val="22"/>
        </w:rPr>
        <w:t>：1919酒类供应链金融白酒质押率为75-85%，银行存货融资对名酒质押率普遍在75-80%。考虑到我们有核心企业扫码验证和串货监控机制，设定80%具备风险可控基础。</w:t>
      </w:r>
    </w:p>
    <w:p>
      <w:pPr>
        <w:pStyle w:val="7"/>
        <w:spacing w:before="240" w:after="120" w:line="288" w:lineRule="auto"/>
        <w:ind w:left="0"/>
        <w:jc w:val="left"/>
        <w:outlineLvl w:val="6"/>
      </w:pPr>
      <w:bookmarkStart w:name="heading_67" w:id="67"/>
      <w:r>
        <w:rPr>
          <w:rFonts w:eastAsia="等线" w:ascii="Arial" w:cs="Arial" w:hAnsi="Arial"/>
          <w:b w:val="true"/>
          <w:sz w:val="24"/>
        </w:rPr>
        <w:t>家电品类：质押率上限80%</w:t>
      </w:r>
      <w:bookmarkEnd w:id="67"/>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为什么与白酒相同？</w:t>
            </w:r>
          </w:p>
          <w:p>
            <w:pPr>
              <w:spacing w:before="120" w:after="120" w:line="288" w:lineRule="auto"/>
              <w:ind w:left="0"/>
              <w:jc w:val="left"/>
            </w:pPr>
            <w:r>
              <w:rPr>
                <w:rFonts w:eastAsia="等线" w:ascii="Arial" w:cs="Arial" w:hAnsi="Arial"/>
                <w:sz w:val="22"/>
              </w:rPr>
              <w:t>家电介于3C和白酒之间，价格波动温和：</w:t>
            </w:r>
          </w:p>
        </w:tc>
      </w:tr>
    </w:tbl>
    <w:p>
      <w:pPr>
        <w:spacing w:before="120" w:after="120" w:line="288" w:lineRule="auto"/>
        <w:ind w:left="0"/>
      </w:pPr>
      <w:r>
        <w:object>
          <v:shape id="_x0000_i1049" style="width:414pt;height:163pt;mso-width-percent:0;mso-height-percent:0;mso-width-percent:0;mso-height-percent:0" type="#_x0000_t75" o:ole="">
            <v:imagedata r:id="rId72" o:title=""/>
          </v:shape>
          <o:OLEObject DrawAspect="Icon" ObjectID="_1718471243" ProgID="Excel.Sheet.12" ShapeID="_x0000_i1049" Type="Embed" r:id="rId7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质押率计算逻辑</w:t>
      </w:r>
      <w:r>
        <w:rPr>
          <w:rFonts w:eastAsia="等线" w:ascii="Arial" w:cs="Arial" w:hAnsi="Arial"/>
          <w:sz w:val="22"/>
        </w:rPr>
        <w:t>：</w:t>
      </w:r>
    </w:p>
    <w:p>
      <w:pPr>
        <w:numPr>
          <w:numId w:val="480"/>
        </w:numPr>
        <w:spacing w:before="120" w:after="120" w:line="288" w:lineRule="auto"/>
        <w:ind w:left="0"/>
        <w:jc w:val="left"/>
      </w:pPr>
      <w:r>
        <w:rPr>
          <w:rFonts w:eastAsia="等线" w:ascii="Arial" w:cs="Arial" w:hAnsi="Arial"/>
          <w:sz w:val="22"/>
        </w:rPr>
        <w:t>价格波动预期跌幅：15%（技术迭代+促销）</w:t>
      </w:r>
    </w:p>
    <w:p>
      <w:pPr>
        <w:numPr>
          <w:numId w:val="481"/>
        </w:numPr>
        <w:spacing w:before="120" w:after="120" w:line="288" w:lineRule="auto"/>
        <w:ind w:left="0"/>
        <w:jc w:val="left"/>
      </w:pPr>
      <w:r>
        <w:rPr>
          <w:rFonts w:eastAsia="等线" w:ascii="Arial" w:cs="Arial" w:hAnsi="Arial"/>
          <w:sz w:val="22"/>
        </w:rPr>
        <w:t>安全边际：5%</w:t>
      </w:r>
    </w:p>
    <w:p>
      <w:pPr>
        <w:numPr>
          <w:numId w:val="482"/>
        </w:numPr>
        <w:spacing w:before="120" w:after="120" w:line="288" w:lineRule="auto"/>
        <w:ind w:left="0"/>
        <w:jc w:val="left"/>
      </w:pPr>
      <w:r>
        <w:rPr>
          <w:rFonts w:eastAsia="等线" w:ascii="Arial" w:cs="Arial" w:hAnsi="Arial"/>
          <w:sz w:val="22"/>
        </w:rPr>
        <w:t xml:space="preserve">质押率上限 = 100% - 15% - 5% = </w:t>
      </w:r>
      <w:r>
        <w:rPr>
          <w:rFonts w:eastAsia="等线" w:ascii="Arial" w:cs="Arial" w:hAnsi="Arial"/>
          <w:b w:val="true"/>
          <w:sz w:val="22"/>
        </w:rPr>
        <w:t>80%</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设计原则总结</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质押率上限的设定遵循"</w:t>
                  </w:r>
                  <w:r>
                    <w:rPr>
                      <w:rFonts w:eastAsia="等线" w:ascii="Arial" w:cs="Arial" w:hAnsi="Arial"/>
                      <w:b w:val="true"/>
                      <w:color w:val="646a73"/>
                      <w:sz w:val="22"/>
                    </w:rPr>
                    <w:t>风险覆盖+安全边际</w:t>
                  </w:r>
                  <w:r>
                    <w:rPr>
                      <w:rFonts w:eastAsia="等线" w:ascii="Arial" w:cs="Arial" w:hAnsi="Arial"/>
                      <w:color w:val="646a73"/>
                      <w:sz w:val="22"/>
                    </w:rPr>
                    <w:t>"原则，确保即使在极端市场条件下（如新品发布叠加促销季），剩余货值仍能覆盖融资本金。同时，我们不追求过度保守（如统一设60%），而是基于品类特性差异化设置，在风险可控前提下最大化客户融资额度，提升业务竞争力。</w:t>
                  </w:r>
                </w:p>
              </w:tc>
            </w:tr>
          </w:tbl>
          <w:p>
            <w:pPr>
              <w:jc w:val="left"/>
            </w:pPr>
          </w:p>
        </w:tc>
      </w:tr>
    </w:tbl>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68" w:id="68"/>
      <w:r>
        <w:rPr>
          <w:rFonts w:eastAsia="等线" w:ascii="Arial" w:cs="Arial" w:hAnsi="Arial"/>
          <w:b w:val="true"/>
          <w:color w:val="d83931"/>
          <w:sz w:val="24"/>
          <w:shd w:fill="fff67a"/>
        </w:rPr>
        <w:t>策略2：分级预警响应机制</w:t>
      </w:r>
      <w:bookmarkEnd w:id="6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满足期望：质押率超标4小时内预警并启动处置（原5天）</w:t>
            </w:r>
          </w:p>
        </w:tc>
      </w:tr>
    </w:tbl>
    <w:p>
      <w:pPr>
        <w:spacing w:before="120" w:after="120" w:line="288" w:lineRule="auto"/>
        <w:ind w:left="0"/>
        <w:jc w:val="left"/>
      </w:pPr>
      <w:r>
        <w:rPr>
          <w:rFonts w:eastAsia="等线" w:ascii="Arial" w:cs="Arial" w:hAnsi="Arial"/>
          <w:b w:val="true"/>
          <w:sz w:val="22"/>
        </w:rPr>
        <w:t>通用预警规则（基于相对质押率）</w:t>
      </w:r>
    </w:p>
    <w:p>
      <w:pPr>
        <w:spacing w:before="120" w:after="120" w:line="288" w:lineRule="auto"/>
        <w:ind w:left="0"/>
      </w:pPr>
      <w:r>
        <w:object>
          <v:shape id="_x0000_i1050" style="width:414pt;height:131pt;mso-width-percent:0;mso-height-percent:0;mso-width-percent:0;mso-height-percent:0" type="#_x0000_t75" o:ole="">
            <v:imagedata r:id="rId74" o:title=""/>
          </v:shape>
          <o:OLEObject DrawAspect="Icon" ObjectID="_1718471244" ProgID="Excel.Sheet.12" ShapeID="_x0000_i1050" Type="Embed" r:id="rId73"/>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相对质押率 = 当前质押率 ÷ 品类上限 × 100%</w:t>
            </w:r>
          </w:p>
        </w:tc>
      </w:tr>
    </w:tbl>
    <w:p>
      <w:pPr>
        <w:spacing w:before="120" w:after="120" w:line="288" w:lineRule="auto"/>
        <w:ind w:left="0"/>
        <w:jc w:val="left"/>
      </w:pPr>
      <w:r>
        <w:rPr>
          <w:rFonts w:eastAsia="等线" w:ascii="Arial" w:cs="Arial" w:hAnsi="Arial"/>
          <w:b w:val="true"/>
          <w:sz w:val="22"/>
        </w:rPr>
        <w:t>各品类预警阈值（绝对值换算）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品类</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质押率上限</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正常（绿色）</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警戒（黄色）</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超标（红色）</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紧急（紫色）</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3C电子</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60-70%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70-80%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&gt;80%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食品</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64-75%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75-86%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&gt;86%</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白酒</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68-80%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80-92%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&gt;92%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家电</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68-80%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80-92%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&gt;92%</w:t>
            </w:r>
          </w:p>
        </w:tc>
      </w:tr>
    </w:tbl>
    <w:p>
      <w:pPr>
        <w:pStyle w:val="6"/>
        <w:spacing w:before="240" w:after="120" w:line="288" w:lineRule="auto"/>
        <w:ind w:left="0"/>
        <w:jc w:val="left"/>
        <w:outlineLvl w:val="5"/>
      </w:pPr>
      <w:bookmarkStart w:name="heading_69" w:id="69"/>
      <w:r>
        <w:rPr>
          <w:rFonts w:eastAsia="等线" w:ascii="Arial" w:cs="Arial" w:hAnsi="Arial"/>
          <w:b w:val="true"/>
          <w:sz w:val="24"/>
        </w:rPr>
        <w:t>策略3：补充质押物管理制度</w:t>
      </w:r>
      <w:bookmarkEnd w:id="69"/>
    </w:p>
    <w:p>
      <w:pPr>
        <w:spacing w:before="120" w:after="120" w:line="288" w:lineRule="auto"/>
        <w:ind w:left="0"/>
        <w:jc w:val="left"/>
      </w:pPr>
      <w:r>
        <w:rPr>
          <w:rFonts w:eastAsia="等线" w:ascii="Arial" w:cs="Arial" w:hAnsi="Arial"/>
          <w:b w:val="true"/>
          <w:sz w:val="22"/>
        </w:rPr>
        <w:t>触发条件</w:t>
      </w:r>
      <w:r>
        <w:rPr>
          <w:rFonts w:eastAsia="等线" w:ascii="Arial" w:cs="Arial" w:hAnsi="Arial"/>
          <w:sz w:val="22"/>
        </w:rPr>
        <w:t>：</w:t>
      </w:r>
    </w:p>
    <w:p>
      <w:pPr>
        <w:numPr>
          <w:numId w:val="483"/>
        </w:numPr>
        <w:spacing w:before="120" w:after="120" w:line="288" w:lineRule="auto"/>
        <w:ind w:left="0"/>
        <w:jc w:val="left"/>
      </w:pPr>
      <w:r>
        <w:rPr>
          <w:rFonts w:eastAsia="等线" w:ascii="Arial" w:cs="Arial" w:hAnsi="Arial"/>
          <w:sz w:val="22"/>
        </w:rPr>
        <w:t>货值下跌导致相对质押率超过100%（即超过品类上限）</w:t>
      </w:r>
    </w:p>
    <w:p>
      <w:pPr>
        <w:numPr>
          <w:numId w:val="484"/>
        </w:numPr>
        <w:spacing w:before="120" w:after="120" w:line="288" w:lineRule="auto"/>
        <w:ind w:left="0"/>
        <w:jc w:val="left"/>
      </w:pPr>
      <w:r>
        <w:rPr>
          <w:rFonts w:eastAsia="等线" w:ascii="Arial" w:cs="Arial" w:hAnsi="Arial"/>
          <w:sz w:val="22"/>
        </w:rPr>
        <w:t>客户主动申请增加融资额度</w:t>
      </w:r>
    </w:p>
    <w:p>
      <w:pPr>
        <w:numPr>
          <w:numId w:val="485"/>
        </w:numPr>
        <w:spacing w:before="120" w:after="120" w:line="288" w:lineRule="auto"/>
        <w:ind w:left="0"/>
        <w:jc w:val="left"/>
      </w:pPr>
      <w:r>
        <w:rPr>
          <w:rFonts w:eastAsia="等线" w:ascii="Arial" w:cs="Arial" w:hAnsi="Arial"/>
          <w:sz w:val="22"/>
        </w:rPr>
        <w:t>部分出库后相对质押率接近100%</w:t>
      </w:r>
    </w:p>
    <w:p>
      <w:pPr>
        <w:spacing w:before="120" w:after="120" w:line="288" w:lineRule="auto"/>
        <w:ind w:left="0"/>
        <w:jc w:val="left"/>
      </w:pPr>
      <w:r>
        <w:rPr>
          <w:rFonts w:eastAsia="等线" w:ascii="Arial" w:cs="Arial" w:hAnsi="Arial"/>
          <w:b w:val="true"/>
          <w:sz w:val="22"/>
        </w:rPr>
        <w:t>补充流程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系统发出补充质押物通知</w:t>
              <w:br/>
              <w:t xml:space="preserve">  ↓</w:t>
              <w:br/>
              <w:t>客户在[3]个工作日内响应</w:t>
              <w:br/>
              <w:t xml:space="preserve">  ↓</w:t>
              <w:br/>
              <w:t>选择处置方式：</w:t>
              <w:br/>
              <w:t xml:space="preserve">  1) 补充质押物 → 新货物入库 → 重新评估货值</w:t>
              <w:br/>
              <w:t xml:space="preserve">  2) 部分还款 → 降低本金 → 质押率恢复正常</w:t>
              <w:br/>
            </w:r>
            <w:r>
              <w:rPr>
                <w:rFonts w:eastAsia="Consolas" w:ascii="Consolas" w:cs="Consolas" w:hAnsi="Consolas"/>
                <w:sz w:val="22"/>
              </w:rPr>
              <w:t xml:space="preserve">  3) 无法补充 → 进入风险处置流程</w:t>
            </w:r>
          </w:p>
        </w:tc>
      </w:tr>
    </w:tbl>
    <w:p>
      <w:pPr>
        <w:pStyle w:val="6"/>
        <w:spacing w:before="240" w:after="120" w:line="288" w:lineRule="auto"/>
        <w:ind w:left="0"/>
        <w:jc w:val="left"/>
        <w:outlineLvl w:val="5"/>
      </w:pPr>
      <w:bookmarkStart w:name="heading_70" w:id="70"/>
      <w:r>
        <w:rPr>
          <w:rFonts w:eastAsia="等线" w:ascii="Arial" w:cs="Arial" w:hAnsi="Arial"/>
          <w:b w:val="true"/>
          <w:sz w:val="24"/>
        </w:rPr>
        <w:t>策略4：价格库管理制度</w:t>
      </w:r>
      <w:bookmarkEnd w:id="70"/>
    </w:p>
    <w:p>
      <w:pPr>
        <w:spacing w:before="120" w:after="120" w:line="288" w:lineRule="auto"/>
        <w:ind w:left="0"/>
        <w:jc w:val="left"/>
      </w:pPr>
      <w:r>
        <w:rPr>
          <w:rFonts w:eastAsia="等线" w:ascii="Arial" w:cs="Arial" w:hAnsi="Arial"/>
          <w:b w:val="true"/>
          <w:sz w:val="22"/>
        </w:rPr>
        <w:t>价格数据来源</w:t>
      </w:r>
      <w:r>
        <w:rPr>
          <w:rFonts w:eastAsia="等线" w:ascii="Arial" w:cs="Arial" w:hAnsi="Arial"/>
          <w:sz w:val="22"/>
        </w:rPr>
        <w:t>：</w:t>
      </w:r>
    </w:p>
    <w:p>
      <w:pPr>
        <w:numPr>
          <w:numId w:val="486"/>
        </w:numPr>
        <w:spacing w:before="120" w:after="120" w:line="288" w:lineRule="auto"/>
        <w:ind w:left="0"/>
        <w:jc w:val="left"/>
      </w:pPr>
      <w:r>
        <w:rPr>
          <w:rFonts w:eastAsia="等线" w:ascii="Arial" w:cs="Arial" w:hAnsi="Arial"/>
          <w:sz w:val="22"/>
        </w:rPr>
        <w:t>3C电子：核心企业、中关村在线、京东、天猫官方价格</w:t>
      </w:r>
    </w:p>
    <w:p>
      <w:pPr>
        <w:numPr>
          <w:numId w:val="487"/>
        </w:numPr>
        <w:spacing w:before="120" w:after="120" w:line="288" w:lineRule="auto"/>
        <w:ind w:left="0"/>
        <w:jc w:val="left"/>
      </w:pPr>
      <w:r>
        <w:rPr>
          <w:rFonts w:eastAsia="等线" w:ascii="Arial" w:cs="Arial" w:hAnsi="Arial"/>
          <w:sz w:val="22"/>
        </w:rPr>
        <w:t>白酒：核心企业、1919、酒仙网等B2B平台价格</w:t>
      </w:r>
    </w:p>
    <w:p>
      <w:pPr>
        <w:numPr>
          <w:numId w:val="488"/>
        </w:numPr>
        <w:spacing w:before="120" w:after="120" w:line="288" w:lineRule="auto"/>
        <w:ind w:left="0"/>
        <w:jc w:val="left"/>
      </w:pPr>
      <w:r>
        <w:rPr>
          <w:rFonts w:eastAsia="等线" w:ascii="Arial" w:cs="Arial" w:hAnsi="Arial"/>
          <w:sz w:val="22"/>
        </w:rPr>
        <w:t>食品：核心企业、批发市场价格、经销商报价</w:t>
      </w:r>
    </w:p>
    <w:p>
      <w:pPr>
        <w:spacing w:before="120" w:after="120" w:line="288" w:lineRule="auto"/>
        <w:ind w:left="0"/>
        <w:jc w:val="left"/>
      </w:pPr>
      <w:r>
        <w:rPr>
          <w:rFonts w:eastAsia="等线" w:ascii="Arial" w:cs="Arial" w:hAnsi="Arial"/>
          <w:b w:val="true"/>
          <w:sz w:val="22"/>
        </w:rPr>
        <w:t>价格更新频率</w:t>
      </w:r>
      <w:r>
        <w:rPr>
          <w:rFonts w:eastAsia="等线" w:ascii="Arial" w:cs="Arial" w:hAnsi="Arial"/>
          <w:sz w:val="22"/>
        </w:rPr>
        <w:t>：</w:t>
      </w:r>
    </w:p>
    <w:p>
      <w:pPr>
        <w:numPr>
          <w:numId w:val="489"/>
        </w:numPr>
        <w:spacing w:before="120" w:after="120" w:line="288" w:lineRule="auto"/>
        <w:ind w:left="0"/>
        <w:jc w:val="left"/>
      </w:pPr>
      <w:r>
        <w:rPr>
          <w:rFonts w:eastAsia="等线" w:ascii="Arial" w:cs="Arial" w:hAnsi="Arial"/>
          <w:sz w:val="22"/>
        </w:rPr>
        <w:t>3C电子：每日更新</w:t>
      </w:r>
    </w:p>
    <w:p>
      <w:pPr>
        <w:numPr>
          <w:numId w:val="490"/>
        </w:numPr>
        <w:spacing w:before="120" w:after="120" w:line="288" w:lineRule="auto"/>
        <w:ind w:left="0"/>
        <w:jc w:val="left"/>
      </w:pPr>
      <w:r>
        <w:rPr>
          <w:rFonts w:eastAsia="等线" w:ascii="Arial" w:cs="Arial" w:hAnsi="Arial"/>
          <w:sz w:val="22"/>
        </w:rPr>
        <w:t>快消品：每周更新</w:t>
      </w:r>
    </w:p>
    <w:p>
      <w:pPr>
        <w:numPr>
          <w:numId w:val="491"/>
        </w:numPr>
        <w:spacing w:before="120" w:after="120" w:line="288" w:lineRule="auto"/>
        <w:ind w:left="0"/>
        <w:jc w:val="left"/>
      </w:pPr>
      <w:r>
        <w:rPr>
          <w:rFonts w:eastAsia="等线" w:ascii="Arial" w:cs="Arial" w:hAnsi="Arial"/>
          <w:sz w:val="22"/>
        </w:rPr>
        <w:t>其他：每月更新</w:t>
      </w:r>
    </w:p>
    <w:p>
      <w:pPr>
        <w:numPr>
          <w:numId w:val="492"/>
        </w:numPr>
        <w:spacing w:before="120" w:after="120" w:line="288" w:lineRule="auto"/>
        <w:ind w:left="0"/>
        <w:jc w:val="left"/>
      </w:pPr>
      <w:r>
        <w:rPr>
          <w:rFonts w:eastAsia="等线" w:ascii="Arial" w:cs="Arial" w:hAnsi="Arial"/>
          <w:sz w:val="22"/>
        </w:rPr>
        <w:t>促销季或新品发布期：每4小时更新</w:t>
      </w:r>
    </w:p>
    <w:p>
      <w:pPr>
        <w:spacing w:before="120" w:after="120" w:line="288" w:lineRule="auto"/>
        <w:ind w:left="0"/>
        <w:jc w:val="left"/>
      </w:pPr>
      <w:r>
        <w:rPr>
          <w:rFonts w:eastAsia="等线" w:ascii="Arial" w:cs="Arial" w:hAnsi="Arial"/>
          <w:b w:val="true"/>
          <w:sz w:val="22"/>
        </w:rPr>
        <w:t>价格审核机制</w:t>
      </w:r>
      <w:r>
        <w:rPr>
          <w:rFonts w:eastAsia="等线" w:ascii="Arial" w:cs="Arial" w:hAnsi="Arial"/>
          <w:sz w:val="22"/>
        </w:rPr>
        <w:t>：</w:t>
      </w:r>
    </w:p>
    <w:p>
      <w:pPr>
        <w:numPr>
          <w:numId w:val="493"/>
        </w:numPr>
        <w:spacing w:before="120" w:after="120" w:line="288" w:lineRule="auto"/>
        <w:ind w:left="0"/>
        <w:jc w:val="left"/>
      </w:pPr>
      <w:r>
        <w:rPr>
          <w:rFonts w:eastAsia="等线" w:ascii="Arial" w:cs="Arial" w:hAnsi="Arial"/>
          <w:sz w:val="22"/>
        </w:rPr>
        <w:t>系统自动抓取价格</w:t>
      </w:r>
    </w:p>
    <w:p>
      <w:pPr>
        <w:numPr>
          <w:numId w:val="494"/>
        </w:numPr>
        <w:spacing w:before="120" w:after="120" w:line="288" w:lineRule="auto"/>
        <w:ind w:left="0"/>
        <w:jc w:val="left"/>
      </w:pPr>
      <w:r>
        <w:rPr>
          <w:rFonts w:eastAsia="等线" w:ascii="Arial" w:cs="Arial" w:hAnsi="Arial"/>
          <w:sz w:val="22"/>
        </w:rPr>
        <w:t>价格波动&gt;10%需人工复核</w:t>
      </w:r>
    </w:p>
    <w:p>
      <w:pPr>
        <w:numPr>
          <w:numId w:val="495"/>
        </w:numPr>
        <w:spacing w:before="120" w:after="120" w:line="288" w:lineRule="auto"/>
        <w:ind w:left="0"/>
        <w:jc w:val="left"/>
      </w:pPr>
      <w:r>
        <w:rPr>
          <w:rFonts w:eastAsia="等线" w:ascii="Arial" w:cs="Arial" w:hAnsi="Arial"/>
          <w:sz w:val="22"/>
        </w:rPr>
        <w:t>多渠道价格交叉验证</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71" w:id="71"/>
      <w:r>
        <w:rPr>
          <w:rFonts w:eastAsia="等线" w:ascii="Arial" w:cs="Arial" w:hAnsi="Arial"/>
          <w:color w:val="3370ff"/>
          <w:sz w:val="28"/>
        </w:rPr>
        <w:t xml:space="preserve">3.3.4.3 </w:t>
      </w:r>
      <w:r>
        <w:rPr>
          <w:rFonts w:eastAsia="等线" w:ascii="Arial" w:cs="Arial" w:hAnsi="Arial"/>
          <w:b w:val="true"/>
          <w:sz w:val="28"/>
        </w:rPr>
        <w:t>其他货权管理功能</w:t>
      </w:r>
      <w:r>
        <w:rPr>
          <w:rFonts w:eastAsia="等线" w:ascii="Arial" w:cs="Arial" w:hAnsi="Arial"/>
          <w:b w:val="true"/>
          <w:sz w:val="28"/>
        </w:rPr>
        <w:t>（基础功能简述）</w:t>
      </w:r>
      <w:bookmarkEnd w:id="71"/>
    </w:p>
    <w:p>
      <w:pPr>
        <w:pStyle w:val="5"/>
        <w:spacing w:before="240" w:after="120" w:line="288" w:lineRule="auto"/>
        <w:ind w:left="0"/>
        <w:jc w:val="left"/>
        <w:outlineLvl w:val="4"/>
      </w:pPr>
      <w:bookmarkStart w:name="heading_72" w:id="72"/>
      <w:r>
        <w:rPr>
          <w:rFonts w:eastAsia="等线" w:ascii="Arial" w:cs="Arial" w:hAnsi="Arial"/>
          <w:color w:val="3370ff"/>
          <w:sz w:val="24"/>
        </w:rPr>
        <w:t xml:space="preserve">3.3.4.3.1 </w:t>
      </w:r>
      <w:r>
        <w:rPr>
          <w:rFonts w:eastAsia="等线" w:ascii="Arial" w:cs="Arial" w:hAnsi="Arial"/>
          <w:b w:val="true"/>
          <w:sz w:val="24"/>
        </w:rPr>
        <w:t>库存总览</w:t>
      </w:r>
      <w:bookmarkEnd w:id="72"/>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：实时掌握平台所有在库质押物情况</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496"/>
        </w:numPr>
        <w:spacing w:before="120" w:after="120" w:line="288" w:lineRule="auto"/>
        <w:ind w:left="0"/>
        <w:jc w:val="left"/>
      </w:pPr>
      <w:r>
        <w:rPr>
          <w:rFonts w:eastAsia="等线" w:ascii="Arial" w:cs="Arial" w:hAnsi="Arial"/>
          <w:sz w:val="22"/>
        </w:rPr>
        <w:t>多维度库存统计（按品类、仓库、客户、核心企业）</w:t>
      </w:r>
    </w:p>
    <w:p>
      <w:pPr>
        <w:numPr>
          <w:numId w:val="497"/>
        </w:numPr>
        <w:spacing w:before="120" w:after="120" w:line="288" w:lineRule="auto"/>
        <w:ind w:left="0"/>
        <w:jc w:val="left"/>
      </w:pPr>
      <w:r>
        <w:rPr>
          <w:rFonts w:eastAsia="等线" w:ascii="Arial" w:cs="Arial" w:hAnsi="Arial"/>
          <w:sz w:val="22"/>
        </w:rPr>
        <w:t>货值分布分析（饼图、柱状图）</w:t>
      </w:r>
    </w:p>
    <w:p>
      <w:pPr>
        <w:numPr>
          <w:numId w:val="498"/>
        </w:numPr>
        <w:spacing w:before="120" w:after="120" w:line="288" w:lineRule="auto"/>
        <w:ind w:left="0"/>
        <w:jc w:val="left"/>
      </w:pPr>
      <w:r>
        <w:rPr>
          <w:rFonts w:eastAsia="等线" w:ascii="Arial" w:cs="Arial" w:hAnsi="Arial"/>
          <w:sz w:val="22"/>
        </w:rPr>
        <w:t>质押率分布（识别高风险业务）</w:t>
      </w:r>
    </w:p>
    <w:p>
      <w:pPr>
        <w:numPr>
          <w:numId w:val="499"/>
        </w:numPr>
        <w:spacing w:before="120" w:after="120" w:line="288" w:lineRule="auto"/>
        <w:ind w:left="0"/>
        <w:jc w:val="left"/>
      </w:pPr>
      <w:r>
        <w:rPr>
          <w:rFonts w:eastAsia="等线" w:ascii="Arial" w:cs="Arial" w:hAnsi="Arial"/>
          <w:sz w:val="22"/>
        </w:rPr>
        <w:t>地图化展示（多仓库分布）</w:t>
      </w:r>
    </w:p>
    <w:p>
      <w:pPr>
        <w:spacing w:before="120" w:after="120" w:line="288" w:lineRule="auto"/>
        <w:ind w:left="0"/>
        <w:jc w:val="left"/>
      </w:pPr>
      <w:r>
        <w:rPr>
          <w:rFonts w:eastAsia="等线" w:ascii="Arial" w:cs="Arial" w:hAnsi="Arial"/>
          <w:b w:val="true"/>
          <w:sz w:val="22"/>
        </w:rPr>
        <w:t>设计亮点</w:t>
      </w:r>
      <w:r>
        <w:rPr>
          <w:rFonts w:eastAsia="等线" w:ascii="Arial" w:cs="Arial" w:hAnsi="Arial"/>
          <w:sz w:val="22"/>
        </w:rPr>
        <w:t>：</w:t>
      </w:r>
    </w:p>
    <w:p>
      <w:pPr>
        <w:numPr>
          <w:numId w:val="500"/>
        </w:numPr>
        <w:spacing w:before="120" w:after="120" w:line="288" w:lineRule="auto"/>
        <w:ind w:left="0"/>
        <w:jc w:val="left"/>
      </w:pPr>
      <w:r>
        <w:rPr>
          <w:rFonts w:eastAsia="等线" w:ascii="Arial" w:cs="Arial" w:hAnsi="Arial"/>
          <w:sz w:val="22"/>
        </w:rPr>
        <w:t>与WMS实时对接，数据5分钟刷新</w:t>
      </w:r>
    </w:p>
    <w:p>
      <w:pPr>
        <w:numPr>
          <w:numId w:val="501"/>
        </w:numPr>
        <w:spacing w:before="120" w:after="120" w:line="288" w:lineRule="auto"/>
        <w:ind w:left="0"/>
        <w:jc w:val="left"/>
      </w:pPr>
      <w:r>
        <w:rPr>
          <w:rFonts w:eastAsia="等线" w:ascii="Arial" w:cs="Arial" w:hAnsi="Arial"/>
          <w:sz w:val="22"/>
        </w:rPr>
        <w:t>支持从总览直接钻取到明细</w:t>
      </w:r>
    </w:p>
    <w:p>
      <w:pPr>
        <w:numPr>
          <w:numId w:val="502"/>
        </w:numPr>
        <w:spacing w:before="120" w:after="120" w:line="288" w:lineRule="auto"/>
        <w:ind w:left="0"/>
        <w:jc w:val="left"/>
      </w:pPr>
      <w:r>
        <w:rPr>
          <w:rFonts w:eastAsia="等线" w:ascii="Arial" w:cs="Arial" w:hAnsi="Arial"/>
          <w:sz w:val="22"/>
        </w:rPr>
        <w:t>一键导出库存报表</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73" w:id="73"/>
      <w:r>
        <w:rPr>
          <w:rFonts w:eastAsia="等线" w:ascii="Arial" w:cs="Arial" w:hAnsi="Arial"/>
          <w:color w:val="3370ff"/>
          <w:sz w:val="24"/>
        </w:rPr>
        <w:t xml:space="preserve">3.3.4.3.2 </w:t>
      </w:r>
      <w:r>
        <w:rPr>
          <w:rFonts w:eastAsia="等线" w:ascii="Arial" w:cs="Arial" w:hAnsi="Arial"/>
          <w:b w:val="true"/>
          <w:sz w:val="24"/>
        </w:rPr>
        <w:t>入库监控</w:t>
      </w:r>
      <w:bookmarkEnd w:id="73"/>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：确保质押物真实入库，货物信息准确</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503"/>
        </w:numPr>
        <w:spacing w:before="120" w:after="120" w:line="288" w:lineRule="auto"/>
        <w:ind w:left="0"/>
        <w:jc w:val="left"/>
      </w:pPr>
      <w:r>
        <w:rPr>
          <w:rFonts w:eastAsia="等线" w:ascii="Arial" w:cs="Arial" w:hAnsi="Arial"/>
          <w:sz w:val="22"/>
        </w:rPr>
        <w:t>入库预报（融资申请时填写预计入库信息）</w:t>
      </w:r>
    </w:p>
    <w:p>
      <w:pPr>
        <w:numPr>
          <w:numId w:val="504"/>
        </w:numPr>
        <w:spacing w:before="120" w:after="120" w:line="288" w:lineRule="auto"/>
        <w:ind w:left="0"/>
        <w:jc w:val="left"/>
      </w:pPr>
      <w:r>
        <w:rPr>
          <w:rFonts w:eastAsia="等线" w:ascii="Arial" w:cs="Arial" w:hAnsi="Arial"/>
          <w:sz w:val="22"/>
        </w:rPr>
        <w:t>入库确认（WMS推送入库数据，系统自动比对）</w:t>
      </w:r>
    </w:p>
    <w:p>
      <w:pPr>
        <w:numPr>
          <w:numId w:val="505"/>
        </w:numPr>
        <w:spacing w:before="120" w:after="120" w:line="288" w:lineRule="auto"/>
        <w:ind w:left="0"/>
        <w:jc w:val="left"/>
      </w:pPr>
      <w:r>
        <w:rPr>
          <w:rFonts w:eastAsia="等线" w:ascii="Arial" w:cs="Arial" w:hAnsi="Arial"/>
          <w:sz w:val="22"/>
        </w:rPr>
        <w:t>入库验证（远程查看入库照片）</w:t>
      </w:r>
    </w:p>
    <w:p>
      <w:pPr>
        <w:numPr>
          <w:numId w:val="506"/>
        </w:numPr>
        <w:spacing w:before="120" w:after="120" w:line="288" w:lineRule="auto"/>
        <w:ind w:left="0"/>
        <w:jc w:val="left"/>
      </w:pPr>
      <w:r>
        <w:rPr>
          <w:rFonts w:eastAsia="等线" w:ascii="Arial" w:cs="Arial" w:hAnsi="Arial"/>
          <w:sz w:val="22"/>
        </w:rPr>
        <w:t>异常预警（实际入库与预报不符）</w:t>
      </w:r>
    </w:p>
    <w:p>
      <w:pPr>
        <w:spacing w:before="120" w:after="120" w:line="288" w:lineRule="auto"/>
        <w:ind w:left="0"/>
        <w:jc w:val="left"/>
      </w:pPr>
      <w:r>
        <w:rPr>
          <w:rFonts w:eastAsia="等线" w:ascii="Arial" w:cs="Arial" w:hAnsi="Arial"/>
          <w:b w:val="true"/>
          <w:sz w:val="22"/>
        </w:rPr>
        <w:t>自动比对规则</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比对项：</w:t>
              <w:br/>
              <w:t>✓ 货物品类、品牌、型号</w:t>
              <w:br/>
              <w:t>✓ 数量（允许±5%误差）</w:t>
              <w:br/>
              <w:t>✓ 入库仓库</w:t>
              <w:br/>
              <w:t>✓ 入库时间（预计入库日期±3天）</w:t>
              <w:br/>
              <w:br/>
            </w:r>
            <w:r>
              <w:rPr>
                <w:rFonts w:eastAsia="Consolas" w:ascii="Consolas" w:cs="Consolas" w:hAnsi="Consolas"/>
                <w:sz w:val="22"/>
              </w:rPr>
              <w:t>不符合 → 预警 → 暂停放款 → 人工核实</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74" w:id="74"/>
      <w:r>
        <w:rPr>
          <w:rFonts w:eastAsia="等线" w:ascii="Arial" w:cs="Arial" w:hAnsi="Arial"/>
          <w:color w:val="3370ff"/>
          <w:sz w:val="24"/>
        </w:rPr>
        <w:t xml:space="preserve">3.3.4.3.3 </w:t>
      </w:r>
      <w:r>
        <w:rPr>
          <w:rFonts w:eastAsia="等线" w:ascii="Arial" w:cs="Arial" w:hAnsi="Arial"/>
          <w:b w:val="true"/>
          <w:sz w:val="24"/>
        </w:rPr>
        <w:t>盘点监控</w:t>
      </w:r>
      <w:bookmarkEnd w:id="74"/>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：定期核对账实，及时发现货物差异</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507"/>
        </w:numPr>
        <w:spacing w:before="120" w:after="120" w:line="288" w:lineRule="auto"/>
        <w:ind w:left="0"/>
        <w:jc w:val="left"/>
      </w:pPr>
      <w:r>
        <w:rPr>
          <w:rFonts w:eastAsia="等线" w:ascii="Arial" w:cs="Arial" w:hAnsi="Arial"/>
          <w:sz w:val="22"/>
        </w:rPr>
        <w:t>盘点计划管理（按频率自动生成盘点任务）</w:t>
      </w:r>
    </w:p>
    <w:p>
      <w:pPr>
        <w:numPr>
          <w:numId w:val="508"/>
        </w:numPr>
        <w:spacing w:before="120" w:after="120" w:line="288" w:lineRule="auto"/>
        <w:ind w:left="0"/>
        <w:jc w:val="left"/>
      </w:pPr>
      <w:r>
        <w:rPr>
          <w:rFonts w:eastAsia="等线" w:ascii="Arial" w:cs="Arial" w:hAnsi="Arial"/>
          <w:sz w:val="22"/>
        </w:rPr>
        <w:t>盘点数据同步（WMS推送盘点结果）</w:t>
      </w:r>
    </w:p>
    <w:p>
      <w:pPr>
        <w:numPr>
          <w:numId w:val="509"/>
        </w:numPr>
        <w:spacing w:before="120" w:after="120" w:line="288" w:lineRule="auto"/>
        <w:ind w:left="0"/>
        <w:jc w:val="left"/>
      </w:pPr>
      <w:r>
        <w:rPr>
          <w:rFonts w:eastAsia="等线" w:ascii="Arial" w:cs="Arial" w:hAnsi="Arial"/>
          <w:sz w:val="22"/>
        </w:rPr>
        <w:t>差异自动识别（账面数量 vs 实盘数量）</w:t>
      </w:r>
    </w:p>
    <w:p>
      <w:pPr>
        <w:numPr>
          <w:numId w:val="510"/>
        </w:numPr>
        <w:spacing w:before="120" w:after="120" w:line="288" w:lineRule="auto"/>
        <w:ind w:left="0"/>
        <w:jc w:val="left"/>
      </w:pPr>
      <w:r>
        <w:rPr>
          <w:rFonts w:eastAsia="等线" w:ascii="Arial" w:cs="Arial" w:hAnsi="Arial"/>
          <w:sz w:val="22"/>
        </w:rPr>
        <w:t>差异处理流程（核查、调整、追责）</w:t>
      </w:r>
    </w:p>
    <w:p>
      <w:pPr>
        <w:spacing w:before="120" w:after="120" w:line="288" w:lineRule="auto"/>
        <w:ind w:left="0"/>
        <w:jc w:val="left"/>
      </w:pPr>
      <w:r>
        <w:rPr>
          <w:rFonts w:eastAsia="等线" w:ascii="Arial" w:cs="Arial" w:hAnsi="Arial"/>
          <w:b w:val="true"/>
          <w:sz w:val="22"/>
        </w:rPr>
        <w:t>盘点频率规则</w:t>
      </w:r>
      <w:r>
        <w:rPr>
          <w:rFonts w:eastAsia="等线" w:ascii="Arial" w:cs="Arial" w:hAnsi="Arial"/>
          <w:sz w:val="22"/>
        </w:rPr>
        <w:t>：</w:t>
      </w:r>
    </w:p>
    <w:p>
      <w:pPr>
        <w:numPr>
          <w:numId w:val="511"/>
        </w:numPr>
        <w:spacing w:before="120" w:after="120" w:line="288" w:lineRule="auto"/>
        <w:ind w:left="0"/>
        <w:jc w:val="left"/>
      </w:pPr>
      <w:r>
        <w:rPr>
          <w:rFonts w:eastAsia="等线" w:ascii="Arial" w:cs="Arial" w:hAnsi="Arial"/>
          <w:sz w:val="22"/>
        </w:rPr>
        <w:t>高价值货物（单价&gt;5000元）：每周盘点</w:t>
      </w:r>
    </w:p>
    <w:p>
      <w:pPr>
        <w:numPr>
          <w:numId w:val="512"/>
        </w:numPr>
        <w:spacing w:before="120" w:after="120" w:line="288" w:lineRule="auto"/>
        <w:ind w:left="0"/>
        <w:jc w:val="left"/>
      </w:pPr>
      <w:r>
        <w:rPr>
          <w:rFonts w:eastAsia="等线" w:ascii="Arial" w:cs="Arial" w:hAnsi="Arial"/>
          <w:sz w:val="22"/>
        </w:rPr>
        <w:t>普通货物：每月盘点</w:t>
      </w:r>
    </w:p>
    <w:p>
      <w:pPr>
        <w:numPr>
          <w:numId w:val="513"/>
        </w:numPr>
        <w:spacing w:before="120" w:after="120" w:line="288" w:lineRule="auto"/>
        <w:ind w:left="0"/>
        <w:jc w:val="left"/>
      </w:pPr>
      <w:r>
        <w:rPr>
          <w:rFonts w:eastAsia="等线" w:ascii="Arial" w:cs="Arial" w:hAnsi="Arial"/>
          <w:sz w:val="22"/>
        </w:rPr>
        <w:t>促销季/新品发布期：加密盘点（每3天）</w:t>
      </w:r>
    </w:p>
    <w:p>
      <w:pPr>
        <w:spacing w:before="120" w:after="120" w:line="288" w:lineRule="auto"/>
        <w:ind w:left="0"/>
        <w:jc w:val="left"/>
      </w:pPr>
      <w:r>
        <w:rPr>
          <w:rFonts w:eastAsia="等线" w:ascii="Arial" w:cs="Arial" w:hAnsi="Arial"/>
          <w:b w:val="true"/>
          <w:sz w:val="22"/>
        </w:rPr>
        <w:t>差异处理</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IF 差异率 ≤ 2% THEN</w:t>
              <w:br/>
              <w:t xml:space="preserve">    记录差异，列入下次重点核查</w:t>
              <w:br/>
              <w:t>ELSE IF 差异率 &gt; 2% AND ≤ 5% THEN</w:t>
              <w:br/>
              <w:t xml:space="preserve">    触发人工复盘</w:t>
              <w:br/>
              <w:t>ELSE IF 差异率 &gt; 5% THEN</w:t>
              <w:br/>
              <w:t xml:space="preserve">    冻结客户融资</w:t>
              <w:br/>
              <w:t xml:space="preserve">    实地核查</w:t>
              <w:br/>
              <w:t xml:space="preserve">    追究仓储方责任</w:t>
              <w:br/>
            </w:r>
            <w:r>
              <w:rPr>
                <w:rFonts w:eastAsia="Consolas" w:ascii="Consolas" w:cs="Consolas" w:hAnsi="Consolas"/>
                <w:sz w:val="22"/>
              </w:rPr>
              <w:t>END IF</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75" w:id="75"/>
      <w:r>
        <w:rPr>
          <w:rFonts w:eastAsia="等线" w:ascii="Arial" w:cs="Arial" w:hAnsi="Arial"/>
          <w:color w:val="3370ff"/>
          <w:sz w:val="24"/>
        </w:rPr>
        <w:t xml:space="preserve">3.3.4.3.4 </w:t>
      </w:r>
      <w:r>
        <w:rPr>
          <w:rFonts w:eastAsia="等线" w:ascii="Arial" w:cs="Arial" w:hAnsi="Arial"/>
          <w:b w:val="true"/>
          <w:sz w:val="24"/>
        </w:rPr>
        <w:t>仓单管理</w:t>
      </w:r>
      <w:bookmarkEnd w:id="75"/>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：管理质押物的权属凭证，确保法律效力</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514"/>
        </w:numPr>
        <w:spacing w:before="120" w:after="120" w:line="288" w:lineRule="auto"/>
        <w:ind w:left="0"/>
        <w:jc w:val="left"/>
      </w:pPr>
      <w:r>
        <w:rPr>
          <w:rFonts w:eastAsia="等线" w:ascii="Arial" w:cs="Arial" w:hAnsi="Arial"/>
          <w:sz w:val="22"/>
        </w:rPr>
        <w:t>仓单开立（货物入库后自动生成电子仓单）</w:t>
      </w:r>
    </w:p>
    <w:p>
      <w:pPr>
        <w:numPr>
          <w:numId w:val="515"/>
        </w:numPr>
        <w:spacing w:before="120" w:after="120" w:line="288" w:lineRule="auto"/>
        <w:ind w:left="0"/>
        <w:jc w:val="left"/>
      </w:pPr>
      <w:r>
        <w:rPr>
          <w:rFonts w:eastAsia="等线" w:ascii="Arial" w:cs="Arial" w:hAnsi="Arial"/>
          <w:sz w:val="22"/>
        </w:rPr>
        <w:t>质押登记（记录质押关系和质权人）</w:t>
      </w:r>
    </w:p>
    <w:p>
      <w:pPr>
        <w:numPr>
          <w:numId w:val="516"/>
        </w:numPr>
        <w:spacing w:before="120" w:after="120" w:line="288" w:lineRule="auto"/>
        <w:ind w:left="0"/>
        <w:jc w:val="left"/>
      </w:pPr>
      <w:r>
        <w:rPr>
          <w:rFonts w:eastAsia="等线" w:ascii="Arial" w:cs="Arial" w:hAnsi="Arial"/>
          <w:sz w:val="22"/>
        </w:rPr>
        <w:t>仓单变更（出库、补充质押物时更新）</w:t>
      </w:r>
    </w:p>
    <w:p>
      <w:pPr>
        <w:numPr>
          <w:numId w:val="517"/>
        </w:numPr>
        <w:spacing w:before="120" w:after="120" w:line="288" w:lineRule="auto"/>
        <w:ind w:left="0"/>
        <w:jc w:val="left"/>
      </w:pPr>
      <w:r>
        <w:rPr>
          <w:rFonts w:eastAsia="等线" w:ascii="Arial" w:cs="Arial" w:hAnsi="Arial"/>
          <w:sz w:val="22"/>
        </w:rPr>
        <w:t>仓单解押（融资结清后解除质押）</w:t>
      </w:r>
    </w:p>
    <w:p>
      <w:pPr>
        <w:spacing w:before="120" w:after="120" w:line="288" w:lineRule="auto"/>
        <w:ind w:left="0"/>
        <w:jc w:val="left"/>
      </w:pPr>
      <w:r>
        <w:rPr>
          <w:rFonts w:eastAsia="等线" w:ascii="Arial" w:cs="Arial" w:hAnsi="Arial"/>
          <w:b w:val="true"/>
          <w:sz w:val="22"/>
        </w:rPr>
        <w:t>电子仓单特性</w:t>
      </w:r>
      <w:r>
        <w:rPr>
          <w:rFonts w:eastAsia="等线" w:ascii="Arial" w:cs="Arial" w:hAnsi="Arial"/>
          <w:sz w:val="22"/>
        </w:rPr>
        <w:t>：</w:t>
      </w:r>
    </w:p>
    <w:p>
      <w:pPr>
        <w:numPr>
          <w:numId w:val="518"/>
        </w:numPr>
        <w:spacing w:before="120" w:after="120" w:line="288" w:lineRule="auto"/>
        <w:ind w:left="0"/>
        <w:jc w:val="left"/>
      </w:pPr>
      <w:r>
        <w:rPr>
          <w:rFonts w:eastAsia="等线" w:ascii="Arial" w:cs="Arial" w:hAnsi="Arial"/>
          <w:sz w:val="22"/>
        </w:rPr>
        <w:t>唯一编码（防伪、防重）</w:t>
      </w:r>
    </w:p>
    <w:p>
      <w:pPr>
        <w:numPr>
          <w:numId w:val="519"/>
        </w:numPr>
        <w:spacing w:before="120" w:after="120" w:line="288" w:lineRule="auto"/>
        <w:ind w:left="0"/>
        <w:jc w:val="left"/>
      </w:pPr>
      <w:r>
        <w:rPr>
          <w:rFonts w:eastAsia="等线" w:ascii="Arial" w:cs="Arial" w:hAnsi="Arial"/>
          <w:sz w:val="22"/>
        </w:rPr>
        <w:t>电子签章（平台、仓储方、客户）</w:t>
      </w:r>
    </w:p>
    <w:p>
      <w:pPr>
        <w:numPr>
          <w:numId w:val="520"/>
        </w:numPr>
        <w:spacing w:before="120" w:after="120" w:line="288" w:lineRule="auto"/>
        <w:ind w:left="0"/>
        <w:jc w:val="left"/>
      </w:pPr>
      <w:r>
        <w:rPr>
          <w:rFonts w:eastAsia="等线" w:ascii="Arial" w:cs="Arial" w:hAnsi="Arial"/>
          <w:sz w:val="22"/>
        </w:rPr>
        <w:t>区块链存证（操作记录不可篡改）</w:t>
      </w:r>
    </w:p>
    <w:p>
      <w:pPr>
        <w:numPr>
          <w:numId w:val="521"/>
        </w:numPr>
        <w:spacing w:before="120" w:after="120" w:line="288" w:lineRule="auto"/>
        <w:ind w:left="0"/>
        <w:jc w:val="left"/>
      </w:pPr>
      <w:r>
        <w:rPr>
          <w:rFonts w:eastAsia="等线" w:ascii="Arial" w:cs="Arial" w:hAnsi="Arial"/>
          <w:sz w:val="22"/>
        </w:rPr>
        <w:t>与货物监控实时联动（仓单货物 = 实际库存）</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6" w:id="76"/>
      <w:r>
        <w:rPr>
          <w:rFonts w:eastAsia="等线" w:ascii="Arial" w:cs="Arial" w:hAnsi="Arial"/>
          <w:color w:val="3370ff"/>
          <w:sz w:val="30"/>
        </w:rPr>
        <w:t xml:space="preserve">3.3.5 </w:t>
      </w:r>
      <w:r>
        <w:rPr>
          <w:rFonts w:eastAsia="等线" w:ascii="Arial" w:cs="Arial" w:hAnsi="Arial"/>
          <w:b w:val="true"/>
          <w:sz w:val="30"/>
        </w:rPr>
        <w:t>运营策略</w:t>
      </w:r>
      <w:bookmarkEnd w:id="76"/>
    </w:p>
    <w:p>
      <w:pPr>
        <w:pStyle w:val="4"/>
        <w:spacing w:before="260" w:after="120" w:line="288" w:lineRule="auto"/>
        <w:ind w:left="0"/>
        <w:jc w:val="left"/>
        <w:outlineLvl w:val="3"/>
      </w:pPr>
      <w:bookmarkStart w:name="heading_77" w:id="77"/>
      <w:r>
        <w:rPr>
          <w:rFonts w:eastAsia="等线" w:ascii="Arial" w:cs="Arial" w:hAnsi="Arial"/>
          <w:color w:val="3370ff"/>
          <w:sz w:val="28"/>
        </w:rPr>
        <w:t xml:space="preserve">3.3.5.1 </w:t>
      </w:r>
      <w:r>
        <w:rPr>
          <w:rFonts w:eastAsia="等线" w:ascii="Arial" w:cs="Arial" w:hAnsi="Arial"/>
          <w:b w:val="true"/>
          <w:sz w:val="28"/>
        </w:rPr>
        <w:t>3C电子品类</w:t>
      </w:r>
      <w:bookmarkEnd w:id="77"/>
    </w:p>
    <w:p>
      <w:pPr>
        <w:pStyle w:val="5"/>
        <w:spacing w:before="240" w:after="120" w:line="288" w:lineRule="auto"/>
        <w:ind w:left="0"/>
        <w:jc w:val="left"/>
        <w:outlineLvl w:val="4"/>
      </w:pPr>
      <w:bookmarkStart w:name="heading_78" w:id="78"/>
      <w:r>
        <w:rPr>
          <w:rFonts w:eastAsia="等线" w:ascii="Arial" w:cs="Arial" w:hAnsi="Arial"/>
          <w:color w:val="3370ff"/>
          <w:sz w:val="24"/>
        </w:rPr>
        <w:t xml:space="preserve">3.3.5.1.1 </w:t>
      </w:r>
      <w:r>
        <w:rPr>
          <w:rFonts w:eastAsia="等线" w:ascii="Arial" w:cs="Arial" w:hAnsi="Arial"/>
          <w:b w:val="true"/>
          <w:sz w:val="24"/>
        </w:rPr>
        <w:t>新品发布监控机制</w:t>
      </w:r>
      <w:bookmarkEnd w:id="78"/>
    </w:p>
    <w:p>
      <w:pPr>
        <w:spacing w:before="120" w:after="120" w:line="288" w:lineRule="auto"/>
        <w:ind w:left="0"/>
        <w:jc w:val="left"/>
      </w:pPr>
      <w:r>
        <w:rPr>
          <w:rFonts w:eastAsia="等线" w:ascii="Arial" w:cs="Arial" w:hAnsi="Arial"/>
          <w:b w:val="true"/>
          <w:sz w:val="22"/>
        </w:rPr>
        <w:t>数据来源</w:t>
      </w:r>
      <w:r>
        <w:rPr>
          <w:rFonts w:eastAsia="等线" w:ascii="Arial" w:cs="Arial" w:hAnsi="Arial"/>
          <w:sz w:val="22"/>
        </w:rPr>
        <w:t>：</w:t>
      </w:r>
    </w:p>
    <w:p>
      <w:pPr>
        <w:numPr>
          <w:numId w:val="522"/>
        </w:numPr>
        <w:spacing w:before="120" w:after="120" w:line="288" w:lineRule="auto"/>
        <w:ind w:left="0"/>
        <w:jc w:val="left"/>
      </w:pPr>
      <w:r>
        <w:rPr>
          <w:rFonts w:eastAsia="等线" w:ascii="Arial" w:cs="Arial" w:hAnsi="Arial"/>
          <w:sz w:val="22"/>
        </w:rPr>
        <w:t>品牌官网发布日历（苹果、华为、小米等主流品牌）</w:t>
      </w:r>
    </w:p>
    <w:p>
      <w:pPr>
        <w:numPr>
          <w:numId w:val="523"/>
        </w:numPr>
        <w:spacing w:before="120" w:after="120" w:line="288" w:lineRule="auto"/>
        <w:ind w:left="0"/>
        <w:jc w:val="left"/>
      </w:pPr>
      <w:r>
        <w:rPr>
          <w:rFonts w:eastAsia="等线" w:ascii="Arial" w:cs="Arial" w:hAnsi="Arial"/>
          <w:sz w:val="22"/>
        </w:rPr>
        <w:t>核心企业推送（核心企业提前获知供应商发布计划）</w:t>
      </w:r>
    </w:p>
    <w:p>
      <w:pPr>
        <w:numPr>
          <w:numId w:val="524"/>
        </w:numPr>
        <w:spacing w:before="120" w:after="120" w:line="288" w:lineRule="auto"/>
        <w:ind w:left="0"/>
        <w:jc w:val="left"/>
      </w:pPr>
      <w:r>
        <w:rPr>
          <w:rFonts w:eastAsia="等线" w:ascii="Arial" w:cs="Arial" w:hAnsi="Arial"/>
          <w:sz w:val="22"/>
        </w:rPr>
        <w:t>行业资讯平台（中关村在线、IT之家等）</w:t>
      </w:r>
    </w:p>
    <w:p>
      <w:pPr>
        <w:spacing w:before="120" w:after="120" w:line="288" w:lineRule="auto"/>
        <w:ind w:left="0"/>
        <w:jc w:val="left"/>
      </w:pPr>
      <w:r>
        <w:rPr>
          <w:rFonts w:eastAsia="等线" w:ascii="Arial" w:cs="Arial" w:hAnsi="Arial"/>
          <w:b w:val="true"/>
          <w:sz w:val="22"/>
        </w:rPr>
        <w:t>监控规则</w:t>
      </w:r>
      <w:r>
        <w:rPr>
          <w:rFonts w:eastAsia="等线" w:ascii="Arial" w:cs="Arial" w:hAnsi="Arial"/>
          <w:sz w:val="22"/>
        </w:rPr>
        <w:t>：</w:t>
      </w:r>
    </w:p>
    <w:p>
      <w:pPr>
        <w:spacing w:before="120" w:after="120" w:line="288" w:lineRule="auto"/>
        <w:ind w:left="0"/>
      </w:pPr>
      <w:r>
        <w:object>
          <v:shape id="_x0000_i1051" style="width:414pt;height:197pt;mso-width-percent:0;mso-height-percent:0;mso-width-percent:0;mso-height-percent:0" type="#_x0000_t75" o:ole="">
            <v:imagedata r:id="rId76" o:title=""/>
          </v:shape>
          <o:OLEObject DrawAspect="Icon" ObjectID="_1718471245" ProgID="Excel.Sheet.12" ShapeID="_x0000_i1051" Type="Embed" r:id="rId7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客户通知与处置</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触发：新品发布前30天，系统检测到客户张三质押的iPhone15 Pro质押率62%</w:t>
              <w:br/>
              <w:t xml:space="preserve">      （下调后上限60%，相对质押率103%，超标）</w:t>
              <w:br/>
              <w:br/>
              <w:t>执行流程：</w:t>
              <w:br/>
              <w:t xml:space="preserve">  1. 系统自动发送通知：</w:t>
              <w:br/>
              <w:t xml:space="preserve">     "您质押的iPhone15 Pro受新品发布影响，质押率上限已从70%调整为60%，</w:t>
              <w:br/>
              <w:t xml:space="preserve">      当前质押率62%，已超标。请在3个工作日内选择以下方式处理：</w:t>
              <w:br/>
              <w:t xml:space="preserve">      方案A：补充质押物约8万元，使质押率降至55%以下</w:t>
              <w:br/>
              <w:t xml:space="preserve">      方案B：部分还款约5万元，使质押率降至55%以下"</w:t>
              <w:br/>
              <w:t xml:space="preserve">  </w:t>
              <w:br/>
              <w:t xml:space="preserve">  2. 客户3日内响应：</w:t>
              <w:br/>
              <w:t xml:space="preserve">     - 配合处置 → 质押率恢复正常 → 继续监控</w:t>
              <w:br/>
              <w:t xml:space="preserve">     - 未响应 → 冻结新增融资 → 客户经理电话跟进</w:t>
              <w:br/>
            </w:r>
            <w:r>
              <w:rPr>
                <w:rFonts w:eastAsia="Consolas" w:ascii="Consolas" w:cs="Consolas" w:hAnsi="Consolas"/>
                <w:sz w:val="22"/>
              </w:rPr>
              <w:t xml:space="preserve">     - 明确拒绝 → 启动货物处置评估</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79" w:id="79"/>
      <w:r>
        <w:rPr>
          <w:rFonts w:eastAsia="等线" w:ascii="Arial" w:cs="Arial" w:hAnsi="Arial"/>
          <w:color w:val="3370ff"/>
          <w:sz w:val="24"/>
        </w:rPr>
        <w:t xml:space="preserve">3.3.5.1.2 </w:t>
      </w:r>
      <w:r>
        <w:rPr>
          <w:rFonts w:eastAsia="等线" w:ascii="Arial" w:cs="Arial" w:hAnsi="Arial"/>
          <w:b w:val="true"/>
          <w:sz w:val="24"/>
        </w:rPr>
        <w:t>价格波动监控机制</w:t>
      </w:r>
      <w:bookmarkEnd w:id="79"/>
    </w:p>
    <w:p>
      <w:pPr>
        <w:pStyle w:val="6"/>
        <w:spacing w:before="240" w:after="120" w:line="288" w:lineRule="auto"/>
        <w:ind w:left="0"/>
        <w:jc w:val="left"/>
        <w:outlineLvl w:val="5"/>
      </w:pPr>
      <w:bookmarkStart w:name="heading_80" w:id="80"/>
      <w:r>
        <w:rPr>
          <w:rFonts w:eastAsia="等线" w:ascii="Arial" w:cs="Arial" w:hAnsi="Arial"/>
          <w:b w:val="true"/>
          <w:sz w:val="24"/>
        </w:rPr>
        <w:t>数据来源与权重设计</w:t>
      </w:r>
      <w:r>
        <w:rPr>
          <w:rFonts w:eastAsia="等线" w:ascii="Arial" w:cs="Arial" w:hAnsi="Arial"/>
          <w:b w:val="true"/>
          <w:sz w:val="24"/>
        </w:rPr>
        <w:t>：</w:t>
      </w:r>
      <w:bookmarkEnd w:id="80"/>
    </w:p>
    <w:p>
      <w:pPr>
        <w:spacing w:before="120" w:after="120" w:line="288" w:lineRule="auto"/>
        <w:ind w:left="0"/>
      </w:pPr>
      <w:r>
        <w:object>
          <v:shape id="_x0000_i1052" style="width:414pt;height:192pt;mso-width-percent:0;mso-height-percent:0;mso-width-percent:0;mso-height-percent:0" type="#_x0000_t75" o:ole="">
            <v:imagedata r:id="rId78" o:title=""/>
          </v:shape>
          <o:OLEObject DrawAspect="Icon" ObjectID="_1718471246" ProgID="Excel.Sheet.12" ShapeID="_x0000_i1052" Type="Embed" r:id="rId77"/>
        </w:object>
      </w:r>
    </w:p>
    <w:p>
      <w:pPr>
        <w:spacing w:after="120"/>
        <w:ind w:left="0"/>
        <w:jc w:val="center"/>
      </w:pPr>
      <w:r>
        <w:rPr>
          <w:rFonts w:eastAsia="等线" w:ascii="Arial" w:cs="Arial" w:hAnsi="Arial"/>
          <w:b w:val="true"/>
          <w:sz w:val="22"/>
        </w:rPr>
        <w:t>点击图片可查看完整电子表格</w:t>
      </w:r>
    </w:p>
    <w:p>
      <w:pPr>
        <w:pStyle w:val="6"/>
        <w:spacing w:before="240" w:after="120" w:line="288" w:lineRule="auto"/>
        <w:ind w:left="0"/>
        <w:jc w:val="left"/>
        <w:outlineLvl w:val="5"/>
      </w:pPr>
      <w:bookmarkStart w:name="heading_81" w:id="81"/>
      <w:r>
        <w:rPr>
          <w:rFonts w:eastAsia="等线" w:ascii="Arial" w:cs="Arial" w:hAnsi="Arial"/>
          <w:b w:val="true"/>
          <w:sz w:val="24"/>
        </w:rPr>
        <w:t>差异化权重策略：核心企业报价优先机制</w:t>
      </w:r>
      <w:bookmarkEnd w:id="8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为什么核心企业报价更有参考价值？</w:t>
            </w:r>
          </w:p>
          <w:p>
            <w:pPr>
              <w:spacing w:before="120" w:after="120" w:line="288" w:lineRule="auto"/>
              <w:ind w:left="0"/>
              <w:jc w:val="left"/>
            </w:pPr>
            <w:r>
              <w:rPr>
                <w:rFonts w:eastAsia="等线" w:ascii="Arial" w:cs="Arial" w:hAnsi="Arial"/>
                <w:sz w:val="22"/>
              </w:rPr>
              <w:t>在控货质押业务中，质押物的最终变现渠道主要有三种：核心企业回购（优先）、核心企业渠道销售、市场拍卖。前两种渠道占比超过70%，而这两种渠道的定价基准正是</w:t>
            </w:r>
            <w:r>
              <w:rPr>
                <w:rFonts w:eastAsia="等线" w:ascii="Arial" w:cs="Arial" w:hAnsi="Arial"/>
                <w:b w:val="true"/>
                <w:sz w:val="22"/>
              </w:rPr>
              <w:t>核心企业的B2B批发价</w:t>
            </w:r>
            <w:r>
              <w:rPr>
                <w:rFonts w:eastAsia="等线" w:ascii="Arial" w:cs="Arial" w:hAnsi="Arial"/>
                <w:sz w:val="22"/>
              </w:rPr>
              <w:t>，而非京东/天猫的B2C零售价。</w:t>
            </w:r>
          </w:p>
        </w:tc>
      </w:tr>
    </w:tbl>
    <w:p>
      <w:pPr>
        <w:spacing w:before="120" w:after="120" w:line="288" w:lineRule="auto"/>
        <w:ind w:left="0"/>
      </w:pPr>
      <w:r>
        <w:object>
          <v:shape id="_x0000_i1053" style="width:414pt;height:168pt;mso-width-percent:0;mso-height-percent:0;mso-width-percent:0;mso-height-percent:0" type="#_x0000_t75" o:ole="">
            <v:imagedata r:id="rId80" o:title=""/>
          </v:shape>
          <o:OLEObject DrawAspect="Icon" ObjectID="_1718471247" ProgID="Excel.Sheet.12" ShapeID="_x0000_i1053" Type="Embed" r:id="rId7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核心企业报价的业务逻辑</w:t>
      </w:r>
      <w:r>
        <w:rPr>
          <w:rFonts w:eastAsia="等线" w:ascii="Arial" w:cs="Arial" w:hAnsi="Arial"/>
          <w:sz w:val="22"/>
        </w:rPr>
        <w:t>：核心企业作为品牌方或一级代理，掌握最真实的渠道出货价。更重要的是，核心企业在平台有</w:t>
      </w:r>
      <w:r>
        <w:rPr>
          <w:rFonts w:eastAsia="等线" w:ascii="Arial" w:cs="Arial" w:hAnsi="Arial"/>
          <w:b w:val="true"/>
          <w:sz w:val="22"/>
        </w:rPr>
        <w:t>回购责任</w:t>
      </w:r>
      <w:r>
        <w:rPr>
          <w:rFonts w:eastAsia="等线" w:ascii="Arial" w:cs="Arial" w:hAnsi="Arial"/>
          <w:sz w:val="22"/>
        </w:rPr>
        <w:t>和</w:t>
      </w:r>
      <w:r>
        <w:rPr>
          <w:rFonts w:eastAsia="等线" w:ascii="Arial" w:cs="Arial" w:hAnsi="Arial"/>
          <w:b w:val="true"/>
          <w:sz w:val="22"/>
        </w:rPr>
        <w:t>分润利益</w:t>
      </w:r>
      <w:r>
        <w:rPr>
          <w:rFonts w:eastAsia="等线" w:ascii="Arial" w:cs="Arial" w:hAnsi="Arial"/>
          <w:sz w:val="22"/>
        </w:rPr>
        <w:t>——如果报价虚高导致质押率失真，最终回购时核心企业自己要承担损失；如果报价过低，会压缩经销商的融资额度，影响核心企业的推荐佣金收入。这种</w:t>
      </w:r>
      <w:r>
        <w:rPr>
          <w:rFonts w:eastAsia="等线" w:ascii="Arial" w:cs="Arial" w:hAnsi="Arial"/>
          <w:b w:val="true"/>
          <w:sz w:val="22"/>
        </w:rPr>
        <w:t>利益绑定机制</w:t>
      </w:r>
      <w:r>
        <w:rPr>
          <w:rFonts w:eastAsia="等线" w:ascii="Arial" w:cs="Arial" w:hAnsi="Arial"/>
          <w:sz w:val="22"/>
        </w:rPr>
        <w:t>确保了核心企业报价的可信度。</w:t>
      </w:r>
    </w:p>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82" w:id="82"/>
      <w:r>
        <w:rPr>
          <w:rFonts w:eastAsia="等线" w:ascii="Arial" w:cs="Arial" w:hAnsi="Arial"/>
          <w:b w:val="true"/>
          <w:sz w:val="24"/>
        </w:rPr>
        <w:t>权重配比方案：按核心企业合作等级差异化</w:t>
      </w:r>
      <w:bookmarkEnd w:id="82"/>
    </w:p>
    <w:p>
      <w:pPr>
        <w:spacing w:before="120" w:after="120" w:line="288" w:lineRule="auto"/>
        <w:ind w:left="0"/>
        <w:jc w:val="left"/>
      </w:pPr>
      <w:r>
        <w:rPr>
          <w:rFonts w:eastAsia="等线" w:ascii="Arial" w:cs="Arial" w:hAnsi="Arial"/>
          <w:sz w:val="22"/>
        </w:rPr>
        <w:t>根据核心企业的合作深度和数据可信度，采用差异化的权重配比：</w:t>
      </w:r>
    </w:p>
    <w:p>
      <w:pPr>
        <w:spacing w:before="120" w:after="120" w:line="288" w:lineRule="auto"/>
        <w:ind w:left="0"/>
        <w:jc w:val="left"/>
      </w:pPr>
      <w:r>
        <w:rPr>
          <w:rFonts w:eastAsia="等线" w:ascii="Arial" w:cs="Arial" w:hAnsi="Arial"/>
          <w:b w:val="true"/>
          <w:sz w:val="22"/>
        </w:rPr>
        <w:t>方案A：S级核心企业（深度合作，数据高度可信）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当日参考价 = 核心企业报价×60% + 京东价×25% + 天猫价×15%</w:t>
            </w:r>
          </w:p>
        </w:tc>
      </w:tr>
    </w:tbl>
    <w:p>
      <w:pPr>
        <w:spacing w:before="120" w:after="120" w:line="288" w:lineRule="auto"/>
        <w:ind w:left="0"/>
      </w:pPr>
      <w:r>
        <w:object>
          <v:shape id="_x0000_i1054" style="width:414pt;height:187pt;mso-width-percent:0;mso-height-percent:0;mso-width-percent:0;mso-height-percent:0" type="#_x0000_t75" o:ole="">
            <v:imagedata r:id="rId82" o:title=""/>
          </v:shape>
          <o:OLEObject DrawAspect="Icon" ObjectID="_1718471248" ProgID="Excel.Sheet.12" ShapeID="_x0000_i1054" Type="Embed" r:id="rId8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方案B：A/B级核心企业（常规合作）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当日参考价 = 核心企业报价×40% + 京东价×35% + 天猫价×15% + 中关村价×10%</w:t>
            </w:r>
          </w:p>
        </w:tc>
      </w:tr>
    </w:tbl>
    <w:p>
      <w:pPr>
        <w:spacing w:before="120" w:after="120" w:line="288" w:lineRule="auto"/>
        <w:ind w:left="0"/>
      </w:pPr>
      <w:r>
        <w:object>
          <v:shape id="_x0000_i1055" style="width:414pt;height:182pt;mso-width-percent:0;mso-height-percent:0;mso-width-percent:0;mso-height-percent:0" type="#_x0000_t75" o:ole="">
            <v:imagedata r:id="rId84" o:title=""/>
          </v:shape>
          <o:OLEObject DrawAspect="Icon" ObjectID="_1718471249" ProgID="Excel.Sheet.12" ShapeID="_x0000_i1055" Type="Embed" r:id="rId8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方案C：C级核心企业或无核心企业推荐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当日参考价 = 京东价×50% + 天猫价×30% + 中关村价×20%</w:t>
            </w:r>
          </w:p>
        </w:tc>
      </w:tr>
    </w:tbl>
    <w:p>
      <w:pPr>
        <w:spacing w:before="120" w:after="120" w:line="288" w:lineRule="auto"/>
        <w:ind w:left="0"/>
      </w:pPr>
      <w:r>
        <w:object>
          <v:shape id="_x0000_i1056" style="width:414pt;height:126pt;mso-width-percent:0;mso-height-percent:0;mso-width-percent:0;mso-height-percent:0" type="#_x0000_t75" o:ole="">
            <v:imagedata r:id="rId86" o:title=""/>
          </v:shape>
          <o:OLEObject DrawAspect="Icon" ObjectID="_1718471250" ProgID="Excel.Sheet.12" ShapeID="_x0000_i1056" Type="Embed" r:id="rId8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83" w:id="83"/>
      <w:r>
        <w:rPr>
          <w:rFonts w:eastAsia="等线" w:ascii="Arial" w:cs="Arial" w:hAnsi="Arial"/>
          <w:b w:val="true"/>
          <w:sz w:val="24"/>
        </w:rPr>
        <w:t>核心企业报价可信度校验机制</w:t>
      </w:r>
      <w:bookmarkEnd w:id="83"/>
    </w:p>
    <w:p>
      <w:pPr>
        <w:spacing w:before="120" w:after="120" w:line="288" w:lineRule="auto"/>
        <w:ind w:left="0"/>
        <w:jc w:val="left"/>
      </w:pPr>
      <w:r>
        <w:rPr>
          <w:rFonts w:eastAsia="等线" w:ascii="Arial" w:cs="Arial" w:hAnsi="Arial"/>
          <w:b w:val="true"/>
          <w:sz w:val="22"/>
        </w:rPr>
        <w:t>偏离度校验</w:t>
      </w:r>
      <w:r>
        <w:rPr>
          <w:rFonts w:eastAsia="等线" w:ascii="Arial" w:cs="Arial" w:hAnsi="Arial"/>
          <w:sz w:val="22"/>
        </w:rPr>
        <w:t>：</w:t>
      </w:r>
    </w:p>
    <w:p>
      <w:pPr>
        <w:spacing w:before="120" w:after="120" w:line="288" w:lineRule="auto"/>
        <w:ind w:left="0"/>
      </w:pPr>
      <w:r>
        <w:object>
          <v:shape id="_x0000_i1057" style="width:414pt;height:177pt;mso-width-percent:0;mso-height-percent:0;mso-width-percent:0;mso-height-percent:0" type="#_x0000_t75" o:ole="">
            <v:imagedata r:id="rId88" o:title=""/>
          </v:shape>
          <o:OLEObject DrawAspect="Icon" ObjectID="_1718471251" ProgID="Excel.Sheet.12" ShapeID="_x0000_i1057" Type="Embed" r:id="rId8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历史准确率追踪</w:t>
      </w:r>
      <w:r>
        <w:rPr>
          <w:rFonts w:eastAsia="等线" w:ascii="Arial" w:cs="Arial" w:hAnsi="Arial"/>
          <w:sz w:val="22"/>
        </w:rPr>
        <w:t>：</w:t>
      </w:r>
    </w:p>
    <w:p>
      <w:pPr>
        <w:spacing w:before="120" w:after="120" w:line="288" w:lineRule="auto"/>
        <w:ind w:left="0"/>
        <w:jc w:val="left"/>
      </w:pPr>
      <w:r>
        <w:rPr>
          <w:rFonts w:eastAsia="等线" w:ascii="Arial" w:cs="Arial" w:hAnsi="Arial"/>
          <w:sz w:val="22"/>
        </w:rPr>
        <w:t>系统记录核心企业报价与最终处置价格（回购价/拍卖价）的偏离情况，计算历史准确率：</w:t>
      </w:r>
    </w:p>
    <w:p>
      <w:pPr>
        <w:numPr>
          <w:numId w:val="525"/>
        </w:numPr>
        <w:spacing w:before="120" w:after="120" w:line="288" w:lineRule="auto"/>
        <w:ind w:left="0"/>
        <w:jc w:val="left"/>
      </w:pPr>
      <w:r>
        <w:rPr>
          <w:rFonts w:eastAsia="等线" w:ascii="Arial" w:cs="Arial" w:hAnsi="Arial"/>
          <w:sz w:val="22"/>
        </w:rPr>
        <w:t>准确率≥95%：维持当前权重</w:t>
      </w:r>
    </w:p>
    <w:p>
      <w:pPr>
        <w:numPr>
          <w:numId w:val="526"/>
        </w:numPr>
        <w:spacing w:before="120" w:after="120" w:line="288" w:lineRule="auto"/>
        <w:ind w:left="0"/>
        <w:jc w:val="left"/>
      </w:pPr>
      <w:r>
        <w:rPr>
          <w:rFonts w:eastAsia="等线" w:ascii="Arial" w:cs="Arial" w:hAnsi="Arial"/>
          <w:sz w:val="22"/>
        </w:rPr>
        <w:t>准确率90-95%：权重下调10个百分点</w:t>
      </w:r>
    </w:p>
    <w:p>
      <w:pPr>
        <w:numPr>
          <w:numId w:val="527"/>
        </w:numPr>
        <w:spacing w:before="120" w:after="120" w:line="288" w:lineRule="auto"/>
        <w:ind w:left="0"/>
        <w:jc w:val="left"/>
      </w:pPr>
      <w:r>
        <w:rPr>
          <w:rFonts w:eastAsia="等线" w:ascii="Arial" w:cs="Arial" w:hAnsi="Arial"/>
          <w:sz w:val="22"/>
        </w:rPr>
        <w:t>准确率&lt;90%：权重下调至20%以下，重点依赖市场公开价格</w:t>
      </w:r>
    </w:p>
    <w:p>
      <w:pPr>
        <w:pBdr>
          <w:bottom w:val="single" w:color="dee0e3"/>
          <w:between w:val="single" w:color="dee0e3"/>
        </w:pBdr>
        <w:spacing w:before="120" w:after="120" w:line="288" w:lineRule="auto"/>
        <w:ind w:left="0"/>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价格计算示例</w:t>
            </w:r>
          </w:p>
          <w:p>
            <w:pPr>
              <w:spacing w:before="120" w:after="120" w:line="288" w:lineRule="auto"/>
              <w:ind w:left="0"/>
              <w:jc w:val="left"/>
            </w:pPr>
            <w:r>
              <w:rPr>
                <w:rFonts w:eastAsia="等线" w:ascii="Arial" w:cs="Arial" w:hAnsi="Arial"/>
                <w:b w:val="true"/>
                <w:sz w:val="22"/>
              </w:rPr>
              <w:t>示例：S级核心企业推荐的iPhone 15 Pro</w:t>
            </w:r>
          </w:p>
          <w:p>
            <w:pPr>
              <w:spacing w:before="120" w:after="120" w:line="288" w:lineRule="auto"/>
              <w:ind w:left="0"/>
              <w:jc w:val="left"/>
            </w:pPr>
            <w:r>
              <w:rPr>
                <w:rFonts w:eastAsia="等线" w:ascii="Arial" w:cs="Arial" w:hAnsi="Arial"/>
                <w:sz w:val="22"/>
              </w:rPr>
              <w:t>对比分析：</w:t>
            </w:r>
          </w:p>
          <w:p>
            <w:pPr>
              <w:numPr>
                <w:numId w:val="528"/>
              </w:numPr>
              <w:spacing w:before="120" w:after="120" w:line="288" w:lineRule="auto"/>
              <w:ind w:left="0"/>
              <w:jc w:val="left"/>
            </w:pPr>
            <w:r>
              <w:rPr>
                <w:rFonts w:eastAsia="等线" w:ascii="Arial" w:cs="Arial" w:hAnsi="Arial"/>
                <w:sz w:val="22"/>
              </w:rPr>
              <w:t>如果仅用京东价（7,999元），货值会被高估约7%</w:t>
            </w:r>
          </w:p>
          <w:p>
            <w:pPr>
              <w:numPr>
                <w:numId w:val="529"/>
              </w:numPr>
              <w:spacing w:before="120" w:after="120" w:line="288" w:lineRule="auto"/>
              <w:ind w:left="0"/>
              <w:jc w:val="left"/>
            </w:pPr>
            <w:r>
              <w:rPr>
                <w:rFonts w:eastAsia="等线" w:ascii="Arial" w:cs="Arial" w:hAnsi="Arial"/>
                <w:sz w:val="22"/>
              </w:rPr>
              <w:t>采用核心企业报价为主（7,505元），更接近实际出货价和回购价</w:t>
            </w:r>
          </w:p>
          <w:p>
            <w:pPr>
              <w:numPr>
                <w:numId w:val="530"/>
              </w:numPr>
              <w:spacing w:before="120" w:after="120" w:line="288" w:lineRule="auto"/>
              <w:ind w:left="0"/>
              <w:jc w:val="left"/>
            </w:pPr>
            <w:r>
              <w:rPr>
                <w:rFonts w:eastAsia="等线" w:ascii="Arial" w:cs="Arial" w:hAnsi="Arial"/>
                <w:sz w:val="22"/>
              </w:rPr>
              <w:t>当质押物需要处置时，核心企业回购价通常在7,000-7,300元，与加权参考价更匹配</w:t>
            </w:r>
          </w:p>
        </w:tc>
      </w:tr>
    </w:tbl>
    <w:p>
      <w:pPr>
        <w:spacing w:before="120" w:after="120" w:line="288" w:lineRule="auto"/>
        <w:ind w:left="0"/>
      </w:pPr>
      <w:r>
        <w:object>
          <v:shape id="_x0000_i1058" style="width:414pt;height:90pt;mso-width-percent:0;mso-height-percent:0;mso-width-percent:0;mso-height-percent:0" type="#_x0000_t75" o:ole="">
            <v:imagedata r:id="rId90" o:title=""/>
          </v:shape>
          <o:OLEObject DrawAspect="Icon" ObjectID="_1718471252" ProgID="Excel.Sheet.12" ShapeID="_x0000_i1058" Type="Embed" r:id="rId8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4" w:id="84"/>
      <w:r>
        <w:rPr>
          <w:rFonts w:eastAsia="等线" w:ascii="Arial" w:cs="Arial" w:hAnsi="Arial"/>
          <w:b w:val="true"/>
          <w:sz w:val="28"/>
        </w:rPr>
        <w:t>异常处理机制</w:t>
      </w:r>
      <w:bookmarkEnd w:id="84"/>
    </w:p>
    <w:p>
      <w:pPr>
        <w:spacing w:before="120" w:after="120" w:line="288" w:lineRule="auto"/>
        <w:ind w:left="0"/>
        <w:jc w:val="left"/>
      </w:pPr>
      <w:r>
        <w:rPr>
          <w:rFonts w:eastAsia="等线" w:ascii="Arial" w:cs="Arial" w:hAnsi="Arial"/>
          <w:b w:val="true"/>
          <w:sz w:val="22"/>
        </w:rPr>
        <w:t>异常处理规则</w:t>
      </w:r>
      <w:r>
        <w:rPr>
          <w:rFonts w:eastAsia="等线" w:ascii="Arial" w:cs="Arial" w:hAnsi="Arial"/>
          <w:sz w:val="22"/>
        </w:rPr>
        <w:t>：</w:t>
      </w:r>
    </w:p>
    <w:p>
      <w:pPr>
        <w:spacing w:before="120" w:after="120" w:line="288" w:lineRule="auto"/>
        <w:ind w:left="0"/>
      </w:pPr>
      <w:r>
        <w:object>
          <v:shape id="_x0000_i1059" style="width:414pt;height:150pt;mso-width-percent:0;mso-height-percent:0;mso-width-percent:0;mso-height-percent:0" type="#_x0000_t75" o:ole="">
            <v:imagedata r:id="rId92" o:title=""/>
          </v:shape>
          <o:OLEObject DrawAspect="Icon" ObjectID="_1718471253" ProgID="Excel.Sheet.12" ShapeID="_x0000_i1059" Type="Embed" r:id="rId9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价格计算规则</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当日参考价 = 京东价×50% + 天猫价×30% + 中关村价×20%</w:t>
              <w:br/>
              <w:t>货值 = Σ(各SKU数量 × 当日参考价)</w:t>
              <w:br/>
            </w:r>
            <w:r>
              <w:rPr>
                <w:rFonts w:eastAsia="Consolas" w:ascii="Consolas" w:cs="Consolas" w:hAnsi="Consolas"/>
                <w:sz w:val="22"/>
              </w:rPr>
              <w:t>质押率 = 融资本金 ÷ 货值 × 100%</w:t>
            </w:r>
          </w:p>
        </w:tc>
      </w:tr>
    </w:tbl>
    <w:p>
      <w:pPr>
        <w:spacing w:before="120" w:after="120" w:line="288" w:lineRule="auto"/>
        <w:ind w:left="0"/>
        <w:jc w:val="left"/>
      </w:pPr>
      <w:r>
        <w:rPr>
          <w:rFonts w:eastAsia="等线" w:ascii="Arial" w:cs="Arial" w:hAnsi="Arial"/>
          <w:b w:val="true"/>
          <w:sz w:val="22"/>
        </w:rPr>
        <w:t>异常处理</w:t>
      </w:r>
      <w:r>
        <w:rPr>
          <w:rFonts w:eastAsia="等线" w:ascii="Arial" w:cs="Arial" w:hAnsi="Arial"/>
          <w:sz w:val="22"/>
        </w:rPr>
        <w:t>：</w:t>
      </w:r>
    </w:p>
    <w:p>
      <w:pPr>
        <w:numPr>
          <w:numId w:val="531"/>
        </w:numPr>
        <w:spacing w:before="120" w:after="120" w:line="288" w:lineRule="auto"/>
        <w:ind w:left="0"/>
        <w:jc w:val="left"/>
      </w:pPr>
      <w:r>
        <w:rPr>
          <w:rFonts w:eastAsia="等线" w:ascii="Arial" w:cs="Arial" w:hAnsi="Arial"/>
          <w:sz w:val="22"/>
        </w:rPr>
        <w:t>单日价格波动&gt;10%：需人工复核，确认非数据抓取错误</w:t>
      </w:r>
    </w:p>
    <w:p>
      <w:pPr>
        <w:numPr>
          <w:numId w:val="532"/>
        </w:numPr>
        <w:spacing w:before="120" w:after="120" w:line="288" w:lineRule="auto"/>
        <w:ind w:left="0"/>
        <w:jc w:val="left"/>
      </w:pPr>
      <w:r>
        <w:rPr>
          <w:rFonts w:eastAsia="等线" w:ascii="Arial" w:cs="Arial" w:hAnsi="Arial"/>
          <w:sz w:val="22"/>
        </w:rPr>
        <w:t>多渠道价差&gt;15%：取较低价格，保守估值</w:t>
      </w:r>
    </w:p>
    <w:p>
      <w:pPr>
        <w:spacing w:before="120" w:after="120" w:line="288" w:lineRule="auto"/>
        <w:ind w:left="0"/>
        <w:jc w:val="left"/>
      </w:pPr>
      <w:r>
        <w:rPr>
          <w:rFonts w:eastAsia="等线" w:ascii="Arial" w:cs="Arial" w:hAnsi="Arial"/>
          <w:b w:val="true"/>
          <w:sz w:val="22"/>
        </w:rPr>
        <w:t>监控规则</w:t>
      </w:r>
      <w:r>
        <w:rPr>
          <w:rFonts w:eastAsia="等线" w:ascii="Arial" w:cs="Arial" w:hAnsi="Arial"/>
          <w:sz w:val="22"/>
        </w:rPr>
        <w:t>：</w:t>
      </w:r>
    </w:p>
    <w:p>
      <w:pPr>
        <w:spacing w:before="120" w:after="120" w:line="288" w:lineRule="auto"/>
        <w:ind w:left="0"/>
      </w:pPr>
      <w:r>
        <w:object>
          <v:shape id="_x0000_i1060" style="width:414pt;height:150pt;mso-width-percent:0;mso-height-percent:0;mso-width-percent:0;mso-height-percent:0" type="#_x0000_t75" o:ole="">
            <v:imagedata r:id="rId94" o:title=""/>
          </v:shape>
          <o:OLEObject DrawAspect="Icon" ObjectID="_1718471254" ProgID="Excel.Sheet.12" ShapeID="_x0000_i1060" Type="Embed" r:id="rId9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85" w:id="85"/>
      <w:r>
        <w:rPr>
          <w:rFonts w:eastAsia="等线" w:ascii="Arial" w:cs="Arial" w:hAnsi="Arial"/>
          <w:color w:val="3370ff"/>
          <w:sz w:val="24"/>
        </w:rPr>
        <w:t xml:space="preserve">3.3.5.1.3 </w:t>
      </w:r>
      <w:r>
        <w:rPr>
          <w:rFonts w:eastAsia="等线" w:ascii="Arial" w:cs="Arial" w:hAnsi="Arial"/>
          <w:b w:val="true"/>
          <w:sz w:val="24"/>
        </w:rPr>
        <w:t>促销季监控机制</w:t>
      </w:r>
      <w:bookmarkEnd w:id="85"/>
    </w:p>
    <w:p>
      <w:pPr>
        <w:spacing w:before="120" w:after="120" w:line="288" w:lineRule="auto"/>
        <w:ind w:left="0"/>
        <w:jc w:val="left"/>
      </w:pPr>
      <w:r>
        <w:rPr>
          <w:rFonts w:eastAsia="等线" w:ascii="Arial" w:cs="Arial" w:hAnsi="Arial"/>
          <w:b w:val="true"/>
          <w:sz w:val="22"/>
        </w:rPr>
        <w:t>监控周期</w:t>
      </w:r>
      <w:r>
        <w:rPr>
          <w:rFonts w:eastAsia="等线" w:ascii="Arial" w:cs="Arial" w:hAnsi="Arial"/>
          <w:sz w:val="22"/>
        </w:rPr>
        <w:t>：</w:t>
      </w:r>
    </w:p>
    <w:p>
      <w:pPr>
        <w:spacing w:before="120" w:after="120" w:line="288" w:lineRule="auto"/>
        <w:ind w:left="0"/>
      </w:pPr>
      <w:r>
        <w:object>
          <v:shape id="_x0000_i1061" style="width:414pt;height:141pt;mso-width-percent:0;mso-height-percent:0;mso-width-percent:0;mso-height-percent:0" type="#_x0000_t75" o:ole="">
            <v:imagedata r:id="rId96" o:title=""/>
          </v:shape>
          <o:OLEObject DrawAspect="Icon" ObjectID="_1718471255" ProgID="Excel.Sheet.12" ShapeID="_x0000_i1061" Type="Embed" r:id="rId9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执行流程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促销季前15天：</w:t>
              <w:br/>
              <w:t xml:space="preserve">  1. 系统自动下调质押率上限</w:t>
              <w:br/>
              <w:t xml:space="preserve">  2. 批量重算所有3C业务质押率</w:t>
              <w:br/>
              <w:t xml:space="preserve">  3. 超标业务自动生成预警</w:t>
              <w:br/>
              <w:t xml:space="preserve">  4. 推送客户补充质押物或还款通知</w:t>
              <w:br/>
              <w:br/>
              <w:t>促销季期间：</w:t>
              <w:br/>
              <w:t xml:space="preserve">  1. 价格监控频率提高至每4小时</w:t>
              <w:br/>
              <w:t xml:space="preserve">  2. 价格跌幅&gt;5%立即预警</w:t>
              <w:br/>
              <w:t xml:space="preserve">  3. 暂停高价值单品（&gt;10万）新增入库</w:t>
              <w:br/>
              <w:br/>
              <w:t>促销季结束后：</w:t>
              <w:br/>
              <w:t xml:space="preserve">  1. 观察7天价格走势</w:t>
              <w:br/>
              <w:t xml:space="preserve">  2. 价格稳定后恢复正常质押率上限</w:t>
              <w:br/>
            </w:r>
            <w:r>
              <w:rPr>
                <w:rFonts w:eastAsia="Consolas" w:ascii="Consolas" w:cs="Consolas" w:hAnsi="Consolas"/>
                <w:sz w:val="22"/>
              </w:rPr>
              <w:t xml:space="preserve">  3. 解除入库限制</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6" w:id="86"/>
      <w:r>
        <w:rPr>
          <w:rFonts w:eastAsia="等线" w:ascii="Arial" w:cs="Arial" w:hAnsi="Arial"/>
          <w:color w:val="3370ff"/>
          <w:sz w:val="28"/>
        </w:rPr>
        <w:t xml:space="preserve">3.3.5.2 </w:t>
      </w:r>
      <w:r>
        <w:rPr>
          <w:rFonts w:eastAsia="等线" w:ascii="Arial" w:cs="Arial" w:hAnsi="Arial"/>
          <w:b w:val="true"/>
          <w:sz w:val="28"/>
        </w:rPr>
        <w:t>白酒品类</w:t>
      </w:r>
      <w:bookmarkEnd w:id="86"/>
    </w:p>
    <w:p>
      <w:pPr>
        <w:pStyle w:val="5"/>
        <w:spacing w:before="240" w:after="120" w:line="288" w:lineRule="auto"/>
        <w:ind w:left="0"/>
        <w:jc w:val="left"/>
        <w:outlineLvl w:val="4"/>
      </w:pPr>
      <w:bookmarkStart w:name="heading_87" w:id="87"/>
      <w:r>
        <w:rPr>
          <w:rFonts w:eastAsia="等线" w:ascii="Arial" w:cs="Arial" w:hAnsi="Arial"/>
          <w:color w:val="3370ff"/>
          <w:sz w:val="24"/>
        </w:rPr>
        <w:t xml:space="preserve">3.3.5.2.1 </w:t>
      </w:r>
      <w:r>
        <w:rPr>
          <w:rFonts w:eastAsia="等线" w:ascii="Arial" w:cs="Arial" w:hAnsi="Arial"/>
          <w:b w:val="true"/>
          <w:sz w:val="24"/>
        </w:rPr>
        <w:t>串货风险监控机制</w:t>
      </w:r>
      <w:bookmarkEnd w:id="87"/>
    </w:p>
    <w:p>
      <w:pPr>
        <w:spacing w:before="120" w:after="120" w:line="288" w:lineRule="auto"/>
        <w:ind w:left="0"/>
        <w:jc w:val="left"/>
      </w:pPr>
      <w:r>
        <w:rPr>
          <w:rFonts w:eastAsia="等线" w:ascii="Arial" w:cs="Arial" w:hAnsi="Arial"/>
          <w:b w:val="true"/>
          <w:sz w:val="22"/>
        </w:rPr>
        <w:t>数据来源</w:t>
      </w:r>
      <w:r>
        <w:rPr>
          <w:rFonts w:eastAsia="等线" w:ascii="Arial" w:cs="Arial" w:hAnsi="Arial"/>
          <w:sz w:val="22"/>
        </w:rPr>
        <w:t>：</w:t>
      </w:r>
    </w:p>
    <w:p>
      <w:pPr>
        <w:numPr>
          <w:numId w:val="533"/>
        </w:numPr>
        <w:spacing w:before="120" w:after="120" w:line="288" w:lineRule="auto"/>
        <w:ind w:left="0"/>
        <w:jc w:val="left"/>
      </w:pPr>
      <w:r>
        <w:rPr>
          <w:rFonts w:eastAsia="等线" w:ascii="Arial" w:cs="Arial" w:hAnsi="Arial"/>
          <w:sz w:val="22"/>
        </w:rPr>
        <w:t>核心企业推送（经销商跨区销售数据）</w:t>
      </w:r>
    </w:p>
    <w:p>
      <w:pPr>
        <w:numPr>
          <w:numId w:val="534"/>
        </w:numPr>
        <w:spacing w:before="120" w:after="120" w:line="288" w:lineRule="auto"/>
        <w:ind w:left="0"/>
        <w:jc w:val="left"/>
      </w:pPr>
      <w:r>
        <w:rPr>
          <w:rFonts w:eastAsia="等线" w:ascii="Arial" w:cs="Arial" w:hAnsi="Arial"/>
          <w:sz w:val="22"/>
        </w:rPr>
        <w:t>扫码溯源系统（产品流向追踪）</w:t>
      </w:r>
    </w:p>
    <w:p>
      <w:pPr>
        <w:numPr>
          <w:numId w:val="535"/>
        </w:numPr>
        <w:spacing w:before="120" w:after="120" w:line="288" w:lineRule="auto"/>
        <w:ind w:left="0"/>
        <w:jc w:val="left"/>
      </w:pPr>
      <w:r>
        <w:rPr>
          <w:rFonts w:eastAsia="等线" w:ascii="Arial" w:cs="Arial" w:hAnsi="Arial"/>
          <w:sz w:val="22"/>
        </w:rPr>
        <w:t>平台出库记录（出库区域与销售区域比对）</w:t>
      </w:r>
    </w:p>
    <w:p>
      <w:pPr>
        <w:spacing w:before="120" w:after="120" w:line="288" w:lineRule="auto"/>
        <w:ind w:left="0"/>
        <w:jc w:val="left"/>
      </w:pPr>
      <w:r>
        <w:rPr>
          <w:rFonts w:eastAsia="等线" w:ascii="Arial" w:cs="Arial" w:hAnsi="Arial"/>
          <w:b w:val="true"/>
          <w:sz w:val="22"/>
        </w:rPr>
        <w:t>监控规则</w:t>
      </w:r>
      <w:r>
        <w:rPr>
          <w:rFonts w:eastAsia="等线" w:ascii="Arial" w:cs="Arial" w:hAnsi="Arial"/>
          <w:sz w:val="22"/>
        </w:rPr>
        <w:t>：</w:t>
      </w:r>
    </w:p>
    <w:p>
      <w:pPr>
        <w:spacing w:before="120" w:after="120" w:line="288" w:lineRule="auto"/>
        <w:ind w:left="0"/>
      </w:pPr>
      <w:r>
        <w:object>
          <v:shape id="_x0000_i1062" style="width:414pt;height:126pt;mso-width-percent:0;mso-height-percent:0;mso-width-percent:0;mso-height-percent:0" type="#_x0000_t75" o:ole="">
            <v:imagedata r:id="rId98" o:title=""/>
          </v:shape>
          <o:OLEObject DrawAspect="Icon" ObjectID="_1718471256" ProgID="Excel.Sheet.12" ShapeID="_x0000_i1062" Type="Embed" r:id="rId9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处置流程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触发：核心企业推送"泸州AA酒业跨区串货"</w:t>
              <w:br/>
              <w:br/>
              <w:t>执行流程：</w:t>
              <w:br/>
              <w:t xml:space="preserve">  1. 系统立即冻结该客户新增融资</w:t>
              <w:br/>
              <w:t xml:space="preserve">  2. 系统自动关联该客户所有在途业务（2笔，余额80万）</w:t>
              <w:br/>
              <w:t xml:space="preserve">  3. 推送紧急预警给风控人员</w:t>
              <w:br/>
              <w:t xml:space="preserve">  4. 风控人员2小时内联系核心企业了解详情：</w:t>
              <w:br/>
              <w:t xml:space="preserve">     - 串货数量、金额、流向区域</w:t>
              <w:br/>
              <w:t xml:space="preserve">     - 核心企业处置意见（停止供货？扣除保证金？）</w:t>
              <w:br/>
              <w:t xml:space="preserve">  5. 根据核心企业反馈决定平台处置：</w:t>
              <w:br/>
              <w:t xml:space="preserve">     - 轻微（金额&lt;5万）：警告 + 保持冻结30天</w:t>
              <w:br/>
              <w:t xml:space="preserve">     - 严重（金额&gt;5万）：要求提前还款 + 降低授信额度</w:t>
              <w:br/>
            </w:r>
            <w:r>
              <w:rPr>
                <w:rFonts w:eastAsia="Consolas" w:ascii="Consolas" w:cs="Consolas" w:hAnsi="Consolas"/>
                <w:sz w:val="22"/>
              </w:rPr>
              <w:t xml:space="preserve">     - 恶意（屡次发生）：终止合作 + 启动货物处置</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88" w:id="88"/>
      <w:r>
        <w:rPr>
          <w:rFonts w:eastAsia="等线" w:ascii="Arial" w:cs="Arial" w:hAnsi="Arial"/>
          <w:color w:val="3370ff"/>
          <w:sz w:val="24"/>
        </w:rPr>
        <w:t xml:space="preserve">3.3.5.2.2 </w:t>
      </w:r>
      <w:r>
        <w:rPr>
          <w:rFonts w:eastAsia="等线" w:ascii="Arial" w:cs="Arial" w:hAnsi="Arial"/>
          <w:b w:val="true"/>
          <w:sz w:val="24"/>
        </w:rPr>
        <w:t>真伪验证机制</w:t>
      </w:r>
      <w:bookmarkEnd w:id="88"/>
    </w:p>
    <w:p>
      <w:pPr>
        <w:spacing w:before="120" w:after="120" w:line="288" w:lineRule="auto"/>
        <w:ind w:left="0"/>
        <w:jc w:val="left"/>
      </w:pPr>
      <w:r>
        <w:rPr>
          <w:rFonts w:eastAsia="等线" w:ascii="Arial" w:cs="Arial" w:hAnsi="Arial"/>
          <w:b w:val="true"/>
          <w:sz w:val="22"/>
        </w:rPr>
        <w:t>验证方式</w:t>
      </w:r>
      <w:r>
        <w:rPr>
          <w:rFonts w:eastAsia="等线" w:ascii="Arial" w:cs="Arial" w:hAnsi="Arial"/>
          <w:sz w:val="22"/>
        </w:rPr>
        <w:t>：</w:t>
      </w:r>
    </w:p>
    <w:p>
      <w:pPr>
        <w:numPr>
          <w:numId w:val="536"/>
        </w:numPr>
        <w:spacing w:before="120" w:after="120" w:line="288" w:lineRule="auto"/>
        <w:ind w:left="0"/>
        <w:jc w:val="left"/>
      </w:pPr>
      <w:r>
        <w:rPr>
          <w:rFonts w:eastAsia="等线" w:ascii="Arial" w:cs="Arial" w:hAnsi="Arial"/>
          <w:sz w:val="22"/>
        </w:rPr>
        <w:t>入库扫码：100%扫码验证，记录产品溯源码</w:t>
      </w:r>
    </w:p>
    <w:p>
      <w:pPr>
        <w:numPr>
          <w:numId w:val="537"/>
        </w:numPr>
        <w:spacing w:before="120" w:after="120" w:line="288" w:lineRule="auto"/>
        <w:ind w:left="0"/>
        <w:jc w:val="left"/>
      </w:pPr>
      <w:r>
        <w:rPr>
          <w:rFonts w:eastAsia="等线" w:ascii="Arial" w:cs="Arial" w:hAnsi="Arial"/>
          <w:sz w:val="22"/>
        </w:rPr>
        <w:t>在库抽检：每月随机抽检5%，扫码复核</w:t>
      </w:r>
    </w:p>
    <w:p>
      <w:pPr>
        <w:numPr>
          <w:numId w:val="538"/>
        </w:numPr>
        <w:spacing w:before="120" w:after="120" w:line="288" w:lineRule="auto"/>
        <w:ind w:left="0"/>
        <w:jc w:val="left"/>
      </w:pPr>
      <w:r>
        <w:rPr>
          <w:rFonts w:eastAsia="等线" w:ascii="Arial" w:cs="Arial" w:hAnsi="Arial"/>
          <w:sz w:val="22"/>
        </w:rPr>
        <w:t>出库复核：出库时再次扫码确认</w:t>
      </w:r>
    </w:p>
    <w:p>
      <w:pPr>
        <w:spacing w:before="120" w:after="120" w:line="288" w:lineRule="auto"/>
        <w:ind w:left="0"/>
        <w:jc w:val="left"/>
      </w:pPr>
      <w:r>
        <w:rPr>
          <w:rFonts w:eastAsia="等线" w:ascii="Arial" w:cs="Arial" w:hAnsi="Arial"/>
          <w:b w:val="true"/>
          <w:sz w:val="22"/>
        </w:rPr>
        <w:t>异常处理</w:t>
      </w:r>
      <w:r>
        <w:rPr>
          <w:rFonts w:eastAsia="等线" w:ascii="Arial" w:cs="Arial" w:hAnsi="Arial"/>
          <w:sz w:val="22"/>
        </w:rPr>
        <w:t>：</w:t>
      </w:r>
    </w:p>
    <w:p>
      <w:pPr>
        <w:spacing w:before="120" w:after="120" w:line="288" w:lineRule="auto"/>
        <w:ind w:left="0"/>
      </w:pPr>
      <w:r>
        <w:object>
          <v:shape id="_x0000_i1063" style="width:414pt;height:126pt;mso-width-percent:0;mso-height-percent:0;mso-width-percent:0;mso-height-percent:0" type="#_x0000_t75" o:ole="">
            <v:imagedata r:id="rId100" o:title=""/>
          </v:shape>
          <o:OLEObject DrawAspect="Icon" ObjectID="_1718471257" ProgID="Excel.Sheet.12" ShapeID="_x0000_i1063" Type="Embed" r:id="rId9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9" w:id="89"/>
      <w:r>
        <w:rPr>
          <w:rFonts w:eastAsia="等线" w:ascii="Arial" w:cs="Arial" w:hAnsi="Arial"/>
          <w:color w:val="3370ff"/>
          <w:sz w:val="28"/>
        </w:rPr>
        <w:t xml:space="preserve">3.3.5.3 </w:t>
      </w:r>
      <w:r>
        <w:rPr>
          <w:rFonts w:eastAsia="等线" w:ascii="Arial" w:cs="Arial" w:hAnsi="Arial"/>
          <w:b w:val="true"/>
          <w:sz w:val="28"/>
        </w:rPr>
        <w:t>食品品类</w:t>
      </w:r>
      <w:bookmarkEnd w:id="89"/>
    </w:p>
    <w:p>
      <w:pPr>
        <w:pStyle w:val="5"/>
        <w:spacing w:before="240" w:after="120" w:line="288" w:lineRule="auto"/>
        <w:ind w:left="0"/>
        <w:jc w:val="left"/>
        <w:outlineLvl w:val="4"/>
      </w:pPr>
      <w:bookmarkStart w:name="heading_90" w:id="90"/>
      <w:r>
        <w:rPr>
          <w:rFonts w:eastAsia="等线" w:ascii="Arial" w:cs="Arial" w:hAnsi="Arial"/>
          <w:color w:val="3370ff"/>
          <w:sz w:val="24"/>
        </w:rPr>
        <w:t xml:space="preserve">3.3.5.3.1 </w:t>
      </w:r>
      <w:r>
        <w:rPr>
          <w:rFonts w:eastAsia="等线" w:ascii="Arial" w:cs="Arial" w:hAnsi="Arial"/>
          <w:b w:val="true"/>
          <w:sz w:val="24"/>
        </w:rPr>
        <w:t>保质期监控机制</w:t>
      </w:r>
      <w:bookmarkEnd w:id="90"/>
    </w:p>
    <w:p>
      <w:pPr>
        <w:spacing w:before="120" w:after="120" w:line="288" w:lineRule="auto"/>
        <w:ind w:left="0"/>
        <w:jc w:val="left"/>
      </w:pPr>
      <w:r>
        <w:rPr>
          <w:rFonts w:eastAsia="等线" w:ascii="Arial" w:cs="Arial" w:hAnsi="Arial"/>
          <w:b w:val="true"/>
          <w:sz w:val="22"/>
        </w:rPr>
        <w:t>入库规则</w:t>
      </w:r>
      <w:r>
        <w:rPr>
          <w:rFonts w:eastAsia="等线" w:ascii="Arial" w:cs="Arial" w:hAnsi="Arial"/>
          <w:sz w:val="22"/>
        </w:rPr>
        <w:t>：</w:t>
      </w:r>
    </w:p>
    <w:p>
      <w:pPr>
        <w:spacing w:before="120" w:after="120" w:line="288" w:lineRule="auto"/>
        <w:ind w:left="0"/>
      </w:pPr>
      <w:r>
        <w:object>
          <v:shape id="_x0000_i1064" style="width:414pt;height:85pt;mso-width-percent:0;mso-height-percent:0;mso-width-percent:0;mso-height-percent:0" type="#_x0000_t75" o:ole="">
            <v:imagedata r:id="rId102" o:title=""/>
          </v:shape>
          <o:OLEObject DrawAspect="Icon" ObjectID="_1718471258" ProgID="Excel.Sheet.12" ShapeID="_x0000_i1064" Type="Embed" r:id="rId10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在库监控规则</w:t>
      </w:r>
      <w:r>
        <w:rPr>
          <w:rFonts w:eastAsia="等线" w:ascii="Arial" w:cs="Arial" w:hAnsi="Arial"/>
          <w:sz w:val="22"/>
        </w:rPr>
        <w:t>：</w:t>
      </w:r>
    </w:p>
    <w:p>
      <w:pPr>
        <w:spacing w:before="120" w:after="120" w:line="288" w:lineRule="auto"/>
        <w:ind w:left="0"/>
      </w:pPr>
      <w:r>
        <w:object>
          <v:shape id="_x0000_i1065" style="width:414pt;height:136pt;mso-width-percent:0;mso-height-percent:0;mso-width-percent:0;mso-height-percent:0" type="#_x0000_t75" o:ole="">
            <v:imagedata r:id="rId104" o:title=""/>
          </v:shape>
          <o:OLEObject DrawAspect="Icon" ObjectID="_1718471259" ProgID="Excel.Sheet.12" ShapeID="_x0000_i1065" Type="Embed" r:id="rId10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处置流程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触发：德阳BB食品质押物剩余保质期58天</w:t>
              <w:br/>
              <w:br/>
              <w:t>执行流程：</w:t>
              <w:br/>
              <w:t xml:space="preserve">  1. 系统自动将该批货物质押率上限从75%降至50%</w:t>
              <w:br/>
              <w:t xml:space="preserve">  2. 重算质押率（原58% → 新相对质押率116%，超标）</w:t>
              <w:br/>
              <w:t xml:space="preserve">  3. 发送通知：</w:t>
              <w:br/>
              <w:t xml:space="preserve">     "您质押的XX食品剩余保质期58天，质押率上限已调整为50%，</w:t>
              <w:br/>
              <w:t xml:space="preserve">      当前质押率58%，已超标。请在5个工作日内处置：</w:t>
              <w:br/>
              <w:t xml:space="preserve">      方案A：申请出库销售（推荐）</w:t>
              <w:br/>
              <w:t xml:space="preserve">      方案B：部分还款使质押率降至45%以下</w:t>
              <w:br/>
              <w:t xml:space="preserve">      方案C：平台协助处置（回收率约60-70%）"</w:t>
              <w:br/>
              <w:t xml:space="preserve">  </w:t>
              <w:br/>
              <w:t xml:space="preserve">  4. 客户响应：</w:t>
              <w:br/>
              <w:t xml:space="preserve">     - 申请出库 → 加急审批（当日完成）</w:t>
              <w:br/>
              <w:t xml:space="preserve">     - 部分还款 → 质押率恢复 → 继续监控</w:t>
              <w:br/>
            </w:r>
            <w:r>
              <w:rPr>
                <w:rFonts w:eastAsia="Consolas" w:ascii="Consolas" w:cs="Consolas" w:hAnsi="Consolas"/>
                <w:sz w:val="22"/>
              </w:rPr>
              <w:t xml:space="preserve">     - 平台处置 → 联系处置渠道 → 回款抵扣本金</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91" w:id="91"/>
      <w:r>
        <w:rPr>
          <w:rFonts w:eastAsia="等线" w:ascii="Arial" w:cs="Arial" w:hAnsi="Arial"/>
          <w:color w:val="3370ff"/>
          <w:sz w:val="24"/>
        </w:rPr>
        <w:t xml:space="preserve">3.3.5.3.2 </w:t>
      </w:r>
      <w:r>
        <w:rPr>
          <w:rFonts w:eastAsia="等线" w:ascii="Arial" w:cs="Arial" w:hAnsi="Arial"/>
          <w:b w:val="true"/>
          <w:sz w:val="24"/>
        </w:rPr>
        <w:t>存储条件监控机制</w:t>
      </w:r>
      <w:bookmarkEnd w:id="91"/>
    </w:p>
    <w:p>
      <w:pPr>
        <w:spacing w:before="120" w:after="120" w:line="288" w:lineRule="auto"/>
        <w:ind w:left="0"/>
        <w:jc w:val="left"/>
      </w:pPr>
      <w:r>
        <w:rPr>
          <w:rFonts w:eastAsia="等线" w:ascii="Arial" w:cs="Arial" w:hAnsi="Arial"/>
          <w:b w:val="true"/>
          <w:sz w:val="22"/>
        </w:rPr>
        <w:t>监控指标</w:t>
      </w:r>
      <w:r>
        <w:rPr>
          <w:rFonts w:eastAsia="等线" w:ascii="Arial" w:cs="Arial" w:hAnsi="Arial"/>
          <w:sz w:val="22"/>
        </w:rPr>
        <w:t>：</w:t>
      </w:r>
    </w:p>
    <w:p>
      <w:pPr>
        <w:spacing w:before="120" w:after="120" w:line="288" w:lineRule="auto"/>
        <w:ind w:left="0"/>
      </w:pPr>
      <w:r>
        <w:object>
          <v:shape id="_x0000_i1066" style="width:414pt;height:75pt;mso-width-percent:0;mso-height-percent:0;mso-width-percent:0;mso-height-percent:0" type="#_x0000_t75" o:ole="">
            <v:imagedata r:id="rId106" o:title=""/>
          </v:shape>
          <o:OLEObject DrawAspect="Icon" ObjectID="_1718471260" ProgID="Excel.Sheet.12" ShapeID="_x0000_i1066" Type="Embed" r:id="rId10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异常处理</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触发：仓库温度传感器显示28℃（超出25℃上限）</w:t>
              <w:br/>
              <w:br/>
              <w:t>执行流程：</w:t>
              <w:br/>
              <w:t xml:space="preserve">  1. 系统立即推送预警给仓储方和平台运营</w:t>
              <w:br/>
              <w:t xml:space="preserve">  2. 仓储方30分钟内反馈原因和处置措施</w:t>
              <w:br/>
              <w:t xml:space="preserve">  3. 超过2小时未恢复正常：</w:t>
              <w:br/>
              <w:t xml:space="preserve">     - 评估货物受损情况</w:t>
              <w:br/>
              <w:t xml:space="preserve">     - 必要时降低货值评估（按受损比例）</w:t>
              <w:br/>
            </w:r>
            <w:r>
              <w:rPr>
                <w:rFonts w:eastAsia="Consolas" w:ascii="Consolas" w:cs="Consolas" w:hAnsi="Consolas"/>
                <w:sz w:val="22"/>
              </w:rPr>
              <w:t xml:space="preserve">     - 严重情况启动货物处置</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92" w:id="92"/>
      <w:r>
        <w:rPr>
          <w:rFonts w:eastAsia="等线" w:ascii="Arial" w:cs="Arial" w:hAnsi="Arial"/>
          <w:color w:val="3370ff"/>
          <w:sz w:val="28"/>
        </w:rPr>
        <w:t xml:space="preserve">3.3.5.4 </w:t>
      </w:r>
      <w:r>
        <w:rPr>
          <w:rFonts w:eastAsia="等线" w:ascii="Arial" w:cs="Arial" w:hAnsi="Arial"/>
          <w:b w:val="true"/>
          <w:sz w:val="28"/>
        </w:rPr>
        <w:t>执行保障机制</w:t>
      </w:r>
      <w:bookmarkEnd w:id="92"/>
    </w:p>
    <w:p>
      <w:pPr>
        <w:pStyle w:val="5"/>
        <w:spacing w:before="240" w:after="120" w:line="288" w:lineRule="auto"/>
        <w:ind w:left="0"/>
        <w:jc w:val="left"/>
        <w:outlineLvl w:val="4"/>
      </w:pPr>
      <w:bookmarkStart w:name="heading_93" w:id="93"/>
      <w:r>
        <w:rPr>
          <w:rFonts w:eastAsia="等线" w:ascii="Arial" w:cs="Arial" w:hAnsi="Arial"/>
          <w:color w:val="3370ff"/>
          <w:sz w:val="24"/>
        </w:rPr>
        <w:t xml:space="preserve">3.3.5.4.1 </w:t>
      </w:r>
      <w:r>
        <w:rPr>
          <w:rFonts w:eastAsia="等线" w:ascii="Arial" w:cs="Arial" w:hAnsi="Arial"/>
          <w:b w:val="true"/>
          <w:sz w:val="24"/>
        </w:rPr>
        <w:t>数据源管理</w:t>
      </w:r>
      <w:bookmarkEnd w:id="93"/>
    </w:p>
    <w:p>
      <w:pPr>
        <w:spacing w:before="120" w:after="120" w:line="288" w:lineRule="auto"/>
        <w:ind w:left="0"/>
      </w:pPr>
      <w:r>
        <w:object>
          <v:shape id="_x0000_i1067" style="width:414pt;height:131pt;mso-width-percent:0;mso-height-percent:0;mso-width-percent:0;mso-height-percent:0" type="#_x0000_t75" o:ole="">
            <v:imagedata r:id="rId108" o:title=""/>
          </v:shape>
          <o:OLEObject DrawAspect="Icon" ObjectID="_1718471261" ProgID="Excel.Sheet.12" ShapeID="_x0000_i1067" Type="Embed" r:id="rId107"/>
        </w:object>
      </w:r>
    </w:p>
    <w:p>
      <w:pPr>
        <w:spacing w:after="120"/>
        <w:ind w:left="0"/>
        <w:jc w:val="center"/>
      </w:pPr>
      <w:r>
        <w:rPr>
          <w:rFonts w:eastAsia="等线" w:ascii="Arial" w:cs="Arial" w:hAnsi="Arial"/>
          <w:b w:val="true"/>
          <w:sz w:val="22"/>
        </w:rPr>
        <w:t>点击图片可查看完整电子表格</w:t>
      </w:r>
    </w:p>
    <w:p>
      <w:pPr>
        <w:pStyle w:val="5"/>
        <w:spacing w:before="240" w:after="120" w:line="288" w:lineRule="auto"/>
        <w:ind w:left="0"/>
        <w:jc w:val="left"/>
        <w:outlineLvl w:val="4"/>
      </w:pPr>
      <w:bookmarkStart w:name="heading_94" w:id="94"/>
      <w:r>
        <w:rPr>
          <w:rFonts w:eastAsia="等线" w:ascii="Arial" w:cs="Arial" w:hAnsi="Arial"/>
          <w:color w:val="3370ff"/>
          <w:sz w:val="24"/>
        </w:rPr>
        <w:t xml:space="preserve">3.3.5.4.2 </w:t>
      </w:r>
      <w:r>
        <w:rPr>
          <w:rFonts w:eastAsia="等线" w:ascii="Arial" w:cs="Arial" w:hAnsi="Arial"/>
          <w:b w:val="true"/>
          <w:sz w:val="24"/>
        </w:rPr>
        <w:t>客户不配合处理升级机制</w:t>
      </w:r>
      <w:bookmarkEnd w:id="94"/>
    </w:p>
    <w:p>
      <w:pPr>
        <w:spacing w:before="120" w:after="120" w:line="288" w:lineRule="auto"/>
        <w:ind w:left="0"/>
      </w:pPr>
      <w:r>
        <w:object>
          <v:shape id="_x0000_i1068" style="width:414pt;height:197pt;mso-width-percent:0;mso-height-percent:0;mso-width-percent:0;mso-height-percent:0" type="#_x0000_t75" o:ole="">
            <v:imagedata r:id="rId110" o:title=""/>
          </v:shape>
          <o:OLEObject DrawAspect="Icon" ObjectID="_1718471262" ProgID="Excel.Sheet.12" ShapeID="_x0000_i1068" Type="Embed" r:id="rId10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5" w:id="95"/>
      <w:r>
        <w:rPr>
          <w:rFonts w:eastAsia="等线" w:ascii="Arial" w:cs="Arial" w:hAnsi="Arial"/>
          <w:color w:val="3370ff"/>
          <w:sz w:val="30"/>
        </w:rPr>
        <w:t xml:space="preserve">3.3.6 </w:t>
      </w:r>
      <w:r>
        <w:rPr>
          <w:rFonts w:eastAsia="等线" w:ascii="Arial" w:cs="Arial" w:hAnsi="Arial"/>
          <w:b w:val="true"/>
          <w:sz w:val="30"/>
        </w:rPr>
        <w:t>上线效果</w:t>
      </w:r>
      <w:bookmarkEnd w:id="95"/>
    </w:p>
    <w:p>
      <w:pPr>
        <w:spacing w:before="120" w:after="120" w:line="288" w:lineRule="auto"/>
        <w:ind w:left="0"/>
        <w:jc w:val="left"/>
      </w:pPr>
      <w:r>
        <w:rPr>
          <w:rFonts w:eastAsia="等线" w:ascii="Arial" w:cs="Arial" w:hAnsi="Arial"/>
          <w:b w:val="true"/>
          <w:sz w:val="22"/>
        </w:rPr>
        <w:t>核心数据</w:t>
      </w:r>
    </w:p>
    <w:p>
      <w:pPr>
        <w:spacing w:before="120" w:after="120" w:line="288" w:lineRule="auto"/>
        <w:ind w:left="0"/>
      </w:pPr>
      <w:r>
        <w:object>
          <v:shape id="_x0000_i1069" style="width:414pt;height:160pt;mso-width-percent:0;mso-height-percent:0;mso-width-percent:0;mso-height-percent:0" type="#_x0000_t75" o:ole="">
            <v:imagedata r:id="rId112" o:title=""/>
          </v:shape>
          <o:OLEObject DrawAspect="Icon" ObjectID="_1718471263" ProgID="Excel.Sheet.12" ShapeID="_x0000_i1069" Type="Embed" r:id="rId1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color w:val="d83931"/>
          <w:sz w:val="22"/>
          <w:shd w:fill="fff67a"/>
        </w:rPr>
        <w:t>KPI达成情况</w:t>
      </w:r>
    </w:p>
    <w:p>
      <w:pPr>
        <w:spacing w:before="120" w:after="120" w:line="288" w:lineRule="auto"/>
        <w:ind w:left="0"/>
      </w:pPr>
      <w:r>
        <w:object>
          <v:shape id="_x0000_i1070" style="width:414pt;height:123pt;mso-width-percent:0;mso-height-percent:0;mso-width-percent:0;mso-height-percent:0" type="#_x0000_t75" o:ole="">
            <v:imagedata r:id="rId114" o:title=""/>
          </v:shape>
          <o:OLEObject DrawAspect="Icon" ObjectID="_1718471264" ProgID="Excel.Sheet.12" ShapeID="_x0000_i1070" Type="Embed" r:id="rId1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风险控制效果</w:t>
      </w:r>
    </w:p>
    <w:p>
      <w:pPr>
        <w:spacing w:before="120" w:after="120" w:line="288" w:lineRule="auto"/>
        <w:ind w:left="0"/>
        <w:jc w:val="left"/>
      </w:pPr>
      <w:r>
        <w:rPr>
          <w:rFonts w:eastAsia="等线" w:ascii="Arial" w:cs="Arial" w:hAnsi="Arial"/>
          <w:b w:val="true"/>
          <w:sz w:val="22"/>
        </w:rPr>
        <w:t>货物损失降低</w:t>
      </w:r>
      <w:r>
        <w:rPr>
          <w:rFonts w:eastAsia="等线" w:ascii="Arial" w:cs="Arial" w:hAnsi="Arial"/>
          <w:sz w:val="22"/>
        </w:rPr>
        <w:t>：</w:t>
      </w:r>
    </w:p>
    <w:p>
      <w:pPr>
        <w:numPr>
          <w:numId w:val="539"/>
        </w:numPr>
        <w:spacing w:before="120" w:after="120" w:line="288" w:lineRule="auto"/>
        <w:ind w:left="0"/>
        <w:jc w:val="left"/>
      </w:pPr>
      <w:r>
        <w:rPr>
          <w:rFonts w:eastAsia="等线" w:ascii="Arial" w:cs="Arial" w:hAnsi="Arial"/>
          <w:sz w:val="22"/>
        </w:rPr>
        <w:t>上线前：年均货物损失（差异、灭失）约120万元</w:t>
      </w:r>
    </w:p>
    <w:p>
      <w:pPr>
        <w:numPr>
          <w:numId w:val="540"/>
        </w:numPr>
        <w:spacing w:before="120" w:after="120" w:line="288" w:lineRule="auto"/>
        <w:ind w:left="0"/>
        <w:jc w:val="left"/>
      </w:pPr>
      <w:r>
        <w:rPr>
          <w:rFonts w:eastAsia="等线" w:ascii="Arial" w:cs="Arial" w:hAnsi="Arial"/>
          <w:sz w:val="22"/>
        </w:rPr>
        <w:t>上线后：年均货物损失约15万元</w:t>
      </w:r>
    </w:p>
    <w:p>
      <w:pPr>
        <w:numPr>
          <w:numId w:val="541"/>
        </w:numPr>
        <w:spacing w:before="120" w:after="120" w:line="288" w:lineRule="auto"/>
        <w:ind w:left="0"/>
        <w:jc w:val="left"/>
      </w:pPr>
      <w:r>
        <w:rPr>
          <w:rFonts w:eastAsia="等线" w:ascii="Arial" w:cs="Arial" w:hAnsi="Arial"/>
          <w:sz w:val="22"/>
        </w:rPr>
        <w:t>降低：87.5%</w:t>
      </w:r>
    </w:p>
    <w:p>
      <w:pPr>
        <w:spacing w:before="120" w:after="120" w:line="288" w:lineRule="auto"/>
        <w:ind w:left="0"/>
        <w:jc w:val="left"/>
      </w:pPr>
      <w:r>
        <w:rPr>
          <w:rFonts w:eastAsia="等线" w:ascii="Arial" w:cs="Arial" w:hAnsi="Arial"/>
          <w:b w:val="true"/>
          <w:sz w:val="22"/>
        </w:rPr>
        <w:t>质押率超标处置</w:t>
      </w:r>
      <w:r>
        <w:rPr>
          <w:rFonts w:eastAsia="等线" w:ascii="Arial" w:cs="Arial" w:hAnsi="Arial"/>
          <w:sz w:val="22"/>
        </w:rPr>
        <w:t>：</w:t>
      </w:r>
    </w:p>
    <w:p>
      <w:pPr>
        <w:numPr>
          <w:numId w:val="542"/>
        </w:numPr>
        <w:spacing w:before="120" w:after="120" w:line="288" w:lineRule="auto"/>
        <w:ind w:left="0"/>
        <w:jc w:val="left"/>
      </w:pPr>
      <w:r>
        <w:rPr>
          <w:rFonts w:eastAsia="等线" w:ascii="Arial" w:cs="Arial" w:hAnsi="Arial"/>
          <w:sz w:val="22"/>
        </w:rPr>
        <w:t>上线前：发现质押率超标平均5天后才处置</w:t>
      </w:r>
    </w:p>
    <w:p>
      <w:pPr>
        <w:numPr>
          <w:numId w:val="543"/>
        </w:numPr>
        <w:spacing w:before="120" w:after="120" w:line="288" w:lineRule="auto"/>
        <w:ind w:left="0"/>
        <w:jc w:val="left"/>
      </w:pPr>
      <w:r>
        <w:rPr>
          <w:rFonts w:eastAsia="等线" w:ascii="Arial" w:cs="Arial" w:hAnsi="Arial"/>
          <w:sz w:val="22"/>
        </w:rPr>
        <w:t>上线后：4小时内预警并启动处置</w:t>
      </w:r>
    </w:p>
    <w:p>
      <w:pPr>
        <w:numPr>
          <w:numId w:val="544"/>
        </w:numPr>
        <w:spacing w:before="120" w:after="120" w:line="288" w:lineRule="auto"/>
        <w:ind w:left="0"/>
        <w:jc w:val="left"/>
      </w:pPr>
      <w:r>
        <w:rPr>
          <w:rFonts w:eastAsia="等线" w:ascii="Arial" w:cs="Arial" w:hAnsi="Arial"/>
          <w:sz w:val="22"/>
        </w:rPr>
        <w:t>避免因延迟处置导致的损失扩大</w:t>
      </w:r>
    </w:p>
    <w:p>
      <w:pPr>
        <w:spacing w:before="120" w:after="120" w:line="288" w:lineRule="auto"/>
        <w:ind w:left="0"/>
        <w:jc w:val="left"/>
      </w:pPr>
      <w:r>
        <w:rPr>
          <w:rFonts w:eastAsia="等线" w:ascii="Arial" w:cs="Arial" w:hAnsi="Arial"/>
          <w:b w:val="true"/>
          <w:sz w:val="22"/>
        </w:rPr>
        <w:t>典型案例</w:t>
      </w:r>
    </w:p>
    <w:p>
      <w:pPr>
        <w:spacing w:before="120" w:after="120" w:line="288" w:lineRule="auto"/>
        <w:ind w:left="0"/>
        <w:jc w:val="left"/>
      </w:pPr>
      <w:r>
        <w:rPr>
          <w:rFonts w:eastAsia="等线" w:ascii="Arial" w:cs="Arial" w:hAnsi="Arial"/>
          <w:b w:val="true"/>
          <w:sz w:val="22"/>
        </w:rPr>
        <w:t>案例1：3C电子价格下跌及时预警</w:t>
      </w:r>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w:t>
      </w:r>
    </w:p>
    <w:p>
      <w:pPr>
        <w:numPr>
          <w:numId w:val="545"/>
        </w:numPr>
        <w:spacing w:before="120" w:after="120" w:line="288" w:lineRule="auto"/>
        <w:ind w:left="0"/>
        <w:jc w:val="left"/>
      </w:pPr>
      <w:r>
        <w:rPr>
          <w:rFonts w:eastAsia="等线" w:ascii="Arial" w:cs="Arial" w:hAnsi="Arial"/>
          <w:sz w:val="22"/>
        </w:rPr>
        <w:t>品类：某品牌手机A型号</w:t>
      </w:r>
    </w:p>
    <w:p>
      <w:pPr>
        <w:numPr>
          <w:numId w:val="546"/>
        </w:numPr>
        <w:spacing w:before="120" w:after="120" w:line="288" w:lineRule="auto"/>
        <w:ind w:left="0"/>
        <w:jc w:val="left"/>
      </w:pPr>
      <w:r>
        <w:rPr>
          <w:rFonts w:eastAsia="等线" w:ascii="Arial" w:cs="Arial" w:hAnsi="Arial"/>
          <w:sz w:val="22"/>
        </w:rPr>
        <w:t>质押物货值：200万（500台×4000元/台）</w:t>
      </w:r>
    </w:p>
    <w:p>
      <w:pPr>
        <w:numPr>
          <w:numId w:val="547"/>
        </w:numPr>
        <w:spacing w:before="120" w:after="120" w:line="288" w:lineRule="auto"/>
        <w:ind w:left="0"/>
        <w:jc w:val="left"/>
      </w:pPr>
      <w:r>
        <w:rPr>
          <w:rFonts w:eastAsia="等线" w:ascii="Arial" w:cs="Arial" w:hAnsi="Arial"/>
          <w:sz w:val="22"/>
        </w:rPr>
        <w:t>融资本金：130万</w:t>
      </w:r>
    </w:p>
    <w:p>
      <w:pPr>
        <w:numPr>
          <w:numId w:val="548"/>
        </w:numPr>
        <w:spacing w:before="120" w:after="120" w:line="288" w:lineRule="auto"/>
        <w:ind w:left="0"/>
        <w:jc w:val="left"/>
      </w:pPr>
      <w:r>
        <w:rPr>
          <w:rFonts w:eastAsia="等线" w:ascii="Arial" w:cs="Arial" w:hAnsi="Arial"/>
          <w:sz w:val="22"/>
        </w:rPr>
        <w:t>质押率：65%</w:t>
      </w:r>
    </w:p>
    <w:p>
      <w:pPr>
        <w:spacing w:before="120" w:after="120" w:line="288" w:lineRule="auto"/>
        <w:ind w:left="0"/>
        <w:jc w:val="left"/>
      </w:pPr>
      <w:r>
        <w:rPr>
          <w:rFonts w:eastAsia="等线" w:ascii="Arial" w:cs="Arial" w:hAnsi="Arial"/>
          <w:b w:val="true"/>
          <w:sz w:val="22"/>
        </w:rPr>
        <w:t>风险事件</w:t>
      </w:r>
      <w:r>
        <w:rPr>
          <w:rFonts w:eastAsia="等线" w:ascii="Arial" w:cs="Arial" w:hAnsi="Arial"/>
          <w:sz w:val="22"/>
        </w:rPr>
        <w:t>：</w:t>
      </w:r>
    </w:p>
    <w:p>
      <w:pPr>
        <w:numPr>
          <w:numId w:val="549"/>
        </w:numPr>
        <w:spacing w:before="120" w:after="120" w:line="288" w:lineRule="auto"/>
        <w:ind w:left="0"/>
        <w:jc w:val="left"/>
      </w:pPr>
      <w:r>
        <w:rPr>
          <w:rFonts w:eastAsia="等线" w:ascii="Arial" w:cs="Arial" w:hAnsi="Arial"/>
          <w:sz w:val="22"/>
        </w:rPr>
        <w:t>该型号手机新款发布，旧款价格快速下跌</w:t>
      </w:r>
    </w:p>
    <w:p>
      <w:pPr>
        <w:numPr>
          <w:numId w:val="550"/>
        </w:numPr>
        <w:spacing w:before="120" w:after="120" w:line="288" w:lineRule="auto"/>
        <w:ind w:left="0"/>
        <w:jc w:val="left"/>
      </w:pPr>
      <w:r>
        <w:rPr>
          <w:rFonts w:eastAsia="等线" w:ascii="Arial" w:cs="Arial" w:hAnsi="Arial"/>
          <w:sz w:val="22"/>
        </w:rPr>
        <w:t>3天内价格从4000元降至3400元（-15%）</w:t>
      </w:r>
    </w:p>
    <w:p>
      <w:pPr>
        <w:spacing w:before="120" w:after="120" w:line="288" w:lineRule="auto"/>
        <w:ind w:left="0"/>
        <w:jc w:val="left"/>
      </w:pPr>
      <w:r>
        <w:rPr>
          <w:rFonts w:eastAsia="等线" w:ascii="Arial" w:cs="Arial" w:hAnsi="Arial"/>
          <w:b w:val="true"/>
          <w:sz w:val="22"/>
        </w:rPr>
        <w:t>系统响应</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Day 1：价格3900元（-2.5%）</w:t>
              <w:br/>
              <w:t xml:space="preserve">  → 系统黄色预警"单日跌幅超3%"</w:t>
              <w:br/>
              <w:t xml:space="preserve">  → 通知客户经理</w:t>
              <w:br/>
              <w:br/>
              <w:t>Day 2：价格3600元（-10%）</w:t>
              <w:br/>
              <w:t xml:space="preserve">  → 系统红色预警"7日跌幅超8%"</w:t>
              <w:br/>
              <w:t xml:space="preserve">  → 自动重算质押率：79%</w:t>
              <w:br/>
              <w:t xml:space="preserve">  → 触发补充质押物流程</w:t>
              <w:br/>
              <w:t xml:space="preserve">  → 冻结新增融资</w:t>
              <w:br/>
              <w:br/>
              <w:t>Day 3：价格3400元（-15%）</w:t>
              <w:br/>
              <w:t xml:space="preserve">  → 质押率：86%</w:t>
              <w:br/>
              <w:t xml:space="preserve">  → 要求客户补充质押物或还款30万</w:t>
              <w:br/>
              <w:t xml:space="preserve">  </w:t>
              <w:br/>
              <w:t>客户响应：</w:t>
              <w:br/>
              <w:t xml:space="preserve">  → 补充其他品牌手机30万货值</w:t>
              <w:br/>
              <w:t xml:space="preserve">  → 质押率恢复至71%</w:t>
              <w:br/>
            </w:r>
            <w:r>
              <w:rPr>
                <w:rFonts w:eastAsia="Consolas" w:ascii="Consolas" w:cs="Consolas" w:hAnsi="Consolas"/>
                <w:sz w:val="22"/>
              </w:rPr>
              <w:t xml:space="preserve">  → 解除冻结</w:t>
            </w:r>
          </w:p>
        </w:tc>
      </w:tr>
    </w:tbl>
    <w:p>
      <w:pPr>
        <w:spacing w:before="120" w:after="120" w:line="288" w:lineRule="auto"/>
        <w:ind w:left="0"/>
        <w:jc w:val="left"/>
      </w:pPr>
      <w:r>
        <w:rPr>
          <w:rFonts w:eastAsia="等线" w:ascii="Arial" w:cs="Arial" w:hAnsi="Arial"/>
          <w:b w:val="true"/>
          <w:sz w:val="22"/>
        </w:rPr>
        <w:t>价值</w:t>
      </w:r>
      <w:r>
        <w:rPr>
          <w:rFonts w:eastAsia="等线" w:ascii="Arial" w:cs="Arial" w:hAnsi="Arial"/>
          <w:sz w:val="22"/>
        </w:rPr>
        <w:t>：</w:t>
      </w:r>
    </w:p>
    <w:p>
      <w:pPr>
        <w:numPr>
          <w:numId w:val="551"/>
        </w:numPr>
        <w:spacing w:before="120" w:after="120" w:line="288" w:lineRule="auto"/>
        <w:ind w:left="0"/>
        <w:jc w:val="left"/>
      </w:pPr>
      <w:r>
        <w:rPr>
          <w:rFonts w:eastAsia="等线" w:ascii="Arial" w:cs="Arial" w:hAnsi="Arial"/>
          <w:sz w:val="22"/>
        </w:rPr>
        <w:t>及时发现价格风险，避免质押率失控</w:t>
      </w:r>
    </w:p>
    <w:p>
      <w:pPr>
        <w:numPr>
          <w:numId w:val="552"/>
        </w:numPr>
        <w:spacing w:before="120" w:after="120" w:line="288" w:lineRule="auto"/>
        <w:ind w:left="0"/>
        <w:jc w:val="left"/>
      </w:pPr>
      <w:r>
        <w:rPr>
          <w:rFonts w:eastAsia="等线" w:ascii="Arial" w:cs="Arial" w:hAnsi="Arial"/>
          <w:sz w:val="22"/>
        </w:rPr>
        <w:t>3天内完成风险处置，未造成实际损失</w:t>
      </w:r>
    </w:p>
    <w:p>
      <w:pPr>
        <w:numPr>
          <w:numId w:val="553"/>
        </w:numPr>
        <w:spacing w:before="120" w:after="120" w:line="288" w:lineRule="auto"/>
        <w:ind w:left="0"/>
        <w:jc w:val="left"/>
      </w:pPr>
      <w:r>
        <w:rPr>
          <w:rFonts w:eastAsia="等线" w:ascii="Arial" w:cs="Arial" w:hAnsi="Arial"/>
          <w:sz w:val="22"/>
        </w:rPr>
        <w:t>上线前同类情况平均发现时间5-7天，往往损失已经发生</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案例2：未经审批出库及时拦截</w:t>
      </w:r>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w:t>
      </w:r>
    </w:p>
    <w:p>
      <w:pPr>
        <w:numPr>
          <w:numId w:val="554"/>
        </w:numPr>
        <w:spacing w:before="120" w:after="120" w:line="288" w:lineRule="auto"/>
        <w:ind w:left="0"/>
        <w:jc w:val="left"/>
      </w:pPr>
      <w:r>
        <w:rPr>
          <w:rFonts w:eastAsia="等线" w:ascii="Arial" w:cs="Arial" w:hAnsi="Arial"/>
          <w:sz w:val="22"/>
        </w:rPr>
        <w:t>某仓储方违规，未经平台审批直接从WMS放货</w:t>
      </w:r>
    </w:p>
    <w:p>
      <w:pPr>
        <w:numPr>
          <w:numId w:val="555"/>
        </w:numPr>
        <w:spacing w:before="120" w:after="120" w:line="288" w:lineRule="auto"/>
        <w:ind w:left="0"/>
        <w:jc w:val="left"/>
      </w:pPr>
      <w:r>
        <w:rPr>
          <w:rFonts w:eastAsia="等线" w:ascii="Arial" w:cs="Arial" w:hAnsi="Arial"/>
          <w:sz w:val="22"/>
        </w:rPr>
        <w:t>出库货值：50万</w:t>
      </w:r>
    </w:p>
    <w:p>
      <w:pPr>
        <w:spacing w:before="120" w:after="120" w:line="288" w:lineRule="auto"/>
        <w:ind w:left="0"/>
        <w:jc w:val="left"/>
      </w:pPr>
      <w:r>
        <w:rPr>
          <w:rFonts w:eastAsia="等线" w:ascii="Arial" w:cs="Arial" w:hAnsi="Arial"/>
          <w:b w:val="true"/>
          <w:sz w:val="22"/>
        </w:rPr>
        <w:t>系统响应</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WMS出库数据实时推送到平台</w:t>
              <w:br/>
              <w:t xml:space="preserve">  ↓</w:t>
              <w:br/>
              <w:t>系统自动比对：该业务无出库审批记录</w:t>
              <w:br/>
              <w:t xml:space="preserve">  ↓</w:t>
              <w:br/>
              <w:t>立即预警："⚠ 发现未经审批出库"</w:t>
              <w:br/>
              <w:t xml:space="preserve">  ↓</w:t>
              <w:br/>
              <w:t>自动冻结该仓库所有客户的出库权限</w:t>
              <w:br/>
              <w:t xml:space="preserve">  ↓</w:t>
              <w:br/>
              <w:t>风控部门立即联系仓储方和客户核实情况</w:t>
              <w:br/>
              <w:t xml:space="preserve">  ↓</w:t>
              <w:br/>
              <w:t>原因：操作失误，货物未实际出库</w:t>
              <w:br/>
              <w:t xml:space="preserve">  ↓</w:t>
              <w:br/>
            </w:r>
            <w:r>
              <w:rPr>
                <w:rFonts w:eastAsia="Consolas" w:ascii="Consolas" w:cs="Consolas" w:hAnsi="Consolas"/>
                <w:sz w:val="22"/>
              </w:rPr>
              <w:t>仓储方整改，恢复出库权限</w:t>
            </w:r>
          </w:p>
        </w:tc>
      </w:tr>
    </w:tbl>
    <w:p>
      <w:pPr>
        <w:spacing w:before="120" w:after="120" w:line="288" w:lineRule="auto"/>
        <w:ind w:left="0"/>
        <w:jc w:val="left"/>
      </w:pPr>
      <w:r>
        <w:rPr>
          <w:rFonts w:eastAsia="等线" w:ascii="Arial" w:cs="Arial" w:hAnsi="Arial"/>
          <w:b w:val="true"/>
          <w:sz w:val="22"/>
        </w:rPr>
        <w:t>价值</w:t>
      </w:r>
      <w:r>
        <w:rPr>
          <w:rFonts w:eastAsia="等线" w:ascii="Arial" w:cs="Arial" w:hAnsi="Arial"/>
          <w:sz w:val="22"/>
        </w:rPr>
        <w:t>：</w:t>
      </w:r>
    </w:p>
    <w:p>
      <w:pPr>
        <w:numPr>
          <w:numId w:val="556"/>
        </w:numPr>
        <w:spacing w:before="120" w:after="120" w:line="288" w:lineRule="auto"/>
        <w:ind w:left="0"/>
        <w:jc w:val="left"/>
      </w:pPr>
      <w:r>
        <w:rPr>
          <w:rFonts w:eastAsia="等线" w:ascii="Arial" w:cs="Arial" w:hAnsi="Arial"/>
          <w:sz w:val="22"/>
        </w:rPr>
        <w:t>异常出库15分钟内发现</w:t>
      </w:r>
    </w:p>
    <w:p>
      <w:pPr>
        <w:numPr>
          <w:numId w:val="557"/>
        </w:numPr>
        <w:spacing w:before="120" w:after="120" w:line="288" w:lineRule="auto"/>
        <w:ind w:left="0"/>
        <w:jc w:val="left"/>
      </w:pPr>
      <w:r>
        <w:rPr>
          <w:rFonts w:eastAsia="等线" w:ascii="Arial" w:cs="Arial" w:hAnsi="Arial"/>
          <w:sz w:val="22"/>
        </w:rPr>
        <w:t>及时拦截，避免货物实际流失</w:t>
      </w:r>
    </w:p>
    <w:p>
      <w:pPr>
        <w:numPr>
          <w:numId w:val="558"/>
        </w:numPr>
        <w:spacing w:before="120" w:after="120" w:line="288" w:lineRule="auto"/>
        <w:ind w:left="0"/>
        <w:jc w:val="left"/>
      </w:pPr>
      <w:r>
        <w:rPr>
          <w:rFonts w:eastAsia="等线" w:ascii="Arial" w:cs="Arial" w:hAnsi="Arial"/>
          <w:sz w:val="22"/>
        </w:rPr>
        <w:t>对仓储方形成震慑，规范操作流程</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6" w:id="96"/>
      <w:r>
        <w:rPr>
          <w:rFonts w:eastAsia="等线" w:ascii="Arial" w:cs="Arial" w:hAnsi="Arial"/>
          <w:color w:val="3370ff"/>
          <w:sz w:val="32"/>
        </w:rPr>
        <w:t xml:space="preserve">3.4 </w:t>
      </w:r>
      <w:r>
        <w:rPr>
          <w:rFonts w:eastAsia="等线" w:ascii="Arial" w:cs="Arial" w:hAnsi="Arial"/>
          <w:b w:val="true"/>
          <w:sz w:val="32"/>
        </w:rPr>
        <w:t>风险监控</w:t>
      </w:r>
      <w:bookmarkEnd w:id="96"/>
    </w:p>
    <w:p>
      <w:pPr>
        <w:pStyle w:val="3"/>
        <w:spacing w:before="300" w:after="120" w:line="288" w:lineRule="auto"/>
        <w:ind w:left="0"/>
        <w:jc w:val="left"/>
        <w:outlineLvl w:val="2"/>
      </w:pPr>
      <w:bookmarkStart w:name="heading_97" w:id="97"/>
      <w:r>
        <w:rPr>
          <w:rFonts w:eastAsia="等线" w:ascii="Arial" w:cs="Arial" w:hAnsi="Arial"/>
          <w:color w:val="3370ff"/>
          <w:sz w:val="30"/>
        </w:rPr>
        <w:t xml:space="preserve">3.4.1 </w:t>
      </w:r>
      <w:r>
        <w:rPr>
          <w:rFonts w:eastAsia="等线" w:ascii="Arial" w:cs="Arial" w:hAnsi="Arial"/>
          <w:b w:val="true"/>
          <w:sz w:val="30"/>
        </w:rPr>
        <w:t>业务概述</w:t>
      </w:r>
      <w:bookmarkEnd w:id="97"/>
    </w:p>
    <w:p>
      <w:pPr>
        <w:spacing w:before="120" w:after="120" w:line="288" w:lineRule="auto"/>
        <w:ind w:left="0"/>
        <w:jc w:val="left"/>
      </w:pPr>
      <w:r>
        <w:rPr>
          <w:rFonts w:eastAsia="等线" w:ascii="Arial" w:cs="Arial" w:hAnsi="Arial"/>
          <w:sz w:val="22"/>
        </w:rPr>
        <w:t>风险监控是平台风险管理的核心工具，通过</w:t>
      </w:r>
      <w:r>
        <w:rPr>
          <w:rFonts w:eastAsia="等线" w:ascii="Arial" w:cs="Arial" w:hAnsi="Arial"/>
          <w:b w:val="true"/>
          <w:sz w:val="22"/>
        </w:rPr>
        <w:t>7×24小时自动监控</w:t>
      </w:r>
      <w:r>
        <w:rPr>
          <w:rFonts w:eastAsia="等线" w:ascii="Arial" w:cs="Arial" w:hAnsi="Arial"/>
          <w:sz w:val="22"/>
        </w:rPr>
        <w:t>融资业务、质押物状态、客户行为和市场变化，实现风险的早发现、早预警、早处置。系统整合客户、融资、货权、核心企业等多维度数据，建立可配置的风控规则引擎，支持品类差异化监控，与核心企业风险信息实时联动，将风控经验沉淀为标准化规则。</w:t>
      </w:r>
    </w:p>
    <w:p>
      <w:pPr>
        <w:spacing w:before="120" w:after="120" w:line="288" w:lineRule="auto"/>
        <w:ind w:left="0"/>
        <w:jc w:val="left"/>
      </w:pPr>
      <w:r>
        <w:rPr>
          <w:rFonts w:eastAsia="等线" w:ascii="Arial" w:cs="Arial" w:hAnsi="Arial"/>
          <w:b w:val="true"/>
          <w:sz w:val="22"/>
        </w:rPr>
        <w:t>模块定位</w:t>
      </w:r>
      <w:r>
        <w:rPr>
          <w:rFonts w:eastAsia="等线" w:ascii="Arial" w:cs="Arial" w:hAnsi="Arial"/>
          <w:sz w:val="22"/>
        </w:rPr>
        <w:t>：</w:t>
      </w:r>
    </w:p>
    <w:p>
      <w:pPr>
        <w:numPr>
          <w:numId w:val="559"/>
        </w:numPr>
        <w:spacing w:before="120" w:after="120" w:line="288" w:lineRule="auto"/>
        <w:ind w:left="0"/>
        <w:jc w:val="left"/>
      </w:pPr>
      <w:r>
        <w:rPr>
          <w:rFonts w:eastAsia="等线" w:ascii="Arial" w:cs="Arial" w:hAnsi="Arial"/>
          <w:b w:val="true"/>
          <w:sz w:val="22"/>
        </w:rPr>
        <w:t>事前预防</w:t>
      </w:r>
      <w:r>
        <w:rPr>
          <w:rFonts w:eastAsia="等线" w:ascii="Arial" w:cs="Arial" w:hAnsi="Arial"/>
          <w:sz w:val="22"/>
        </w:rPr>
        <w:t>：基于规则自动识别风险信号</w:t>
      </w:r>
    </w:p>
    <w:p>
      <w:pPr>
        <w:numPr>
          <w:numId w:val="560"/>
        </w:numPr>
        <w:spacing w:before="120" w:after="120" w:line="288" w:lineRule="auto"/>
        <w:ind w:left="0"/>
        <w:jc w:val="left"/>
      </w:pPr>
      <w:r>
        <w:rPr>
          <w:rFonts w:eastAsia="等线" w:ascii="Arial" w:cs="Arial" w:hAnsi="Arial"/>
          <w:b w:val="true"/>
          <w:sz w:val="22"/>
        </w:rPr>
        <w:t>事中监控</w:t>
      </w:r>
      <w:r>
        <w:rPr>
          <w:rFonts w:eastAsia="等线" w:ascii="Arial" w:cs="Arial" w:hAnsi="Arial"/>
          <w:sz w:val="22"/>
        </w:rPr>
        <w:t>：实时跟踪业务和货物状态</w:t>
      </w:r>
    </w:p>
    <w:p>
      <w:pPr>
        <w:numPr>
          <w:numId w:val="561"/>
        </w:numPr>
        <w:spacing w:before="120" w:after="120" w:line="288" w:lineRule="auto"/>
        <w:ind w:left="0"/>
        <w:jc w:val="left"/>
      </w:pPr>
      <w:r>
        <w:rPr>
          <w:rFonts w:eastAsia="等线" w:ascii="Arial" w:cs="Arial" w:hAnsi="Arial"/>
          <w:b w:val="true"/>
          <w:sz w:val="22"/>
        </w:rPr>
        <w:t>事后追溯</w:t>
      </w:r>
      <w:r>
        <w:rPr>
          <w:rFonts w:eastAsia="等线" w:ascii="Arial" w:cs="Arial" w:hAnsi="Arial"/>
          <w:sz w:val="22"/>
        </w:rPr>
        <w:t>：完整记录风险事件轨迹</w:t>
      </w:r>
    </w:p>
    <w:p>
      <w:pPr>
        <w:spacing w:before="120" w:after="120" w:line="288" w:lineRule="auto"/>
        <w:ind w:left="0"/>
        <w:jc w:val="left"/>
      </w:pPr>
      <w:r>
        <w:rPr>
          <w:rFonts w:eastAsia="等线" w:ascii="Arial" w:cs="Arial" w:hAnsi="Arial"/>
          <w:b w:val="true"/>
          <w:sz w:val="22"/>
        </w:rPr>
        <w:t>核心业务目标</w:t>
      </w:r>
      <w:r>
        <w:rPr>
          <w:rFonts w:eastAsia="等线" w:ascii="Arial" w:cs="Arial" w:hAnsi="Arial"/>
          <w:sz w:val="22"/>
        </w:rPr>
        <w:t>：风险识别覆盖率≥90%、预警准确率≥80%、预警响应时效≤4小时、核心企业预警响应率100%。</w:t>
      </w:r>
    </w:p>
    <w:p>
      <w:pPr>
        <w:spacing w:before="120" w:after="120" w:line="288" w:lineRule="auto"/>
        <w:ind w:left="0"/>
        <w:jc w:val="left"/>
      </w:pPr>
      <w:r>
        <w:rPr>
          <w:rFonts w:eastAsia="等线" w:ascii="Arial" w:cs="Arial" w:hAnsi="Arial"/>
          <w:b w:val="true"/>
          <w:sz w:val="22"/>
        </w:rPr>
        <w:t>核心运营策略</w:t>
      </w:r>
      <w:r>
        <w:rPr>
          <w:rFonts w:eastAsia="等线" w:ascii="Arial" w:cs="Arial" w:hAnsi="Arial"/>
          <w:sz w:val="22"/>
        </w:rPr>
        <w:t>：通过</w:t>
      </w:r>
      <w:r>
        <w:rPr>
          <w:rFonts w:eastAsia="等线" w:ascii="Arial" w:cs="Arial" w:hAnsi="Arial"/>
          <w:b w:val="true"/>
          <w:sz w:val="22"/>
        </w:rPr>
        <w:t>分级预警响应机制</w:t>
      </w:r>
      <w:r>
        <w:rPr>
          <w:rFonts w:eastAsia="等线" w:ascii="Arial" w:cs="Arial" w:hAnsi="Arial"/>
          <w:sz w:val="22"/>
        </w:rPr>
        <w:t>确保及时处置，通过</w:t>
      </w:r>
      <w:r>
        <w:rPr>
          <w:rFonts w:eastAsia="等线" w:ascii="Arial" w:cs="Arial" w:hAnsi="Arial"/>
          <w:b w:val="true"/>
          <w:sz w:val="22"/>
        </w:rPr>
        <w:t>品类差异化监控</w:t>
      </w:r>
      <w:r>
        <w:rPr>
          <w:rFonts w:eastAsia="等线" w:ascii="Arial" w:cs="Arial" w:hAnsi="Arial"/>
          <w:sz w:val="22"/>
        </w:rPr>
        <w:t>实现精准风控，通过核心企业风险联动实现早发现早处置。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8" w:id="98"/>
      <w:r>
        <w:rPr>
          <w:rFonts w:eastAsia="等线" w:ascii="Arial" w:cs="Arial" w:hAnsi="Arial"/>
          <w:color w:val="3370ff"/>
          <w:sz w:val="30"/>
        </w:rPr>
        <w:t xml:space="preserve">3.4.2 </w:t>
      </w:r>
      <w:r>
        <w:rPr>
          <w:rFonts w:eastAsia="等线" w:ascii="Arial" w:cs="Arial" w:hAnsi="Arial"/>
          <w:b w:val="true"/>
          <w:sz w:val="30"/>
        </w:rPr>
        <w:t>核心痛点</w:t>
      </w:r>
      <w:bookmarkEnd w:id="9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决策层：</w:t>
            </w:r>
          </w:p>
          <w:p>
            <w:pPr>
              <w:numPr>
                <w:numId w:val="562"/>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缺乏统一的风险监控视图和品类差异化预警机制，无法及时发现和应对各类风险。风险监控依赖人工定期查看报表，不同类型风险分散在不同系统，约30%的风险未被及时识别。核心企业发现经销商异常后信息传递延迟1-3天，某经销商串货被发现时平台已新增放款50万。</w:t>
            </w:r>
          </w:p>
          <w:p>
            <w:pPr>
              <w:numPr>
                <w:numId w:val="563"/>
              </w:numPr>
              <w:spacing w:before="120" w:after="120" w:line="288" w:lineRule="auto"/>
              <w:ind w:left="0"/>
              <w:jc w:val="left"/>
            </w:pPr>
            <w:r>
              <w:rPr>
                <w:rFonts w:eastAsia="等线" w:ascii="Arial" w:cs="Arial" w:hAnsi="Arial"/>
                <w:b w:val="true"/>
                <w:color w:val="d83931"/>
                <w:sz w:val="22"/>
              </w:rPr>
              <w:t>【期望】</w:t>
            </w:r>
            <w:r>
              <w:rPr>
                <w:rFonts w:eastAsia="等线" w:ascii="Arial" w:cs="Arial" w:hAnsi="Arial"/>
                <w:sz w:val="22"/>
              </w:rPr>
              <w:t>通过统一风控看板实时掌握客户、业务、质押物、市场等全维度风险指标，支持7×24小时自动监控。建立品类差异化监控规则和核心企业风险联动机制，推动风险识别覆盖率从70%提升至90%，核心企业预警响应率达100%。</w:t>
            </w:r>
          </w:p>
          <w:p>
            <w:pPr>
              <w:numPr>
                <w:numId w:val="564"/>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建立多维度的风险监控体系，通过可配置的风控规则引擎7×24小时自动监控并识别风险事件，提供可视化的风控看板实时展示关键风险指标，系统记录所有风险事件的完整轨迹提供风险分析报告。系统支持按品类配置差异化的风控规则和预警阈值，系统与核心企业对接获取经销商的渠道异常预警信息，系统通过行为分析模型识别异常行为模式。</w:t>
            </w:r>
          </w:p>
          <w:p>
            <w:pPr>
              <w:spacing w:before="120" w:after="120" w:line="288" w:lineRule="auto"/>
              <w:ind w:left="0"/>
              <w:jc w:val="left"/>
            </w:pPr>
            <w:r>
              <w:rPr>
                <w:rFonts w:eastAsia="等线" w:ascii="Arial" w:cs="Arial" w:hAnsi="Arial"/>
                <w:b w:val="true"/>
                <w:sz w:val="22"/>
              </w:rPr>
              <w:t>📋 管理层：</w:t>
            </w:r>
          </w:p>
          <w:p>
            <w:pPr>
              <w:numPr>
                <w:numId w:val="565"/>
              </w:numPr>
              <w:spacing w:before="120" w:after="120" w:line="288" w:lineRule="auto"/>
              <w:ind w:left="0"/>
              <w:jc w:val="left"/>
            </w:pPr>
            <w:r>
              <w:rPr>
                <w:rFonts w:eastAsia="等线" w:ascii="Arial" w:cs="Arial" w:hAnsi="Arial"/>
                <w:b w:val="true"/>
                <w:sz w:val="22"/>
              </w:rPr>
              <w:t>风险预警体系</w:t>
            </w:r>
          </w:p>
          <w:p>
            <w:pPr>
              <w:numPr>
                <w:numId w:val="566"/>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将风险识别覆盖率提升至90%、预警准确率提升至80%</w:t>
            </w:r>
            <w:r>
              <w:rPr>
                <w:rFonts w:eastAsia="等线" w:ascii="Arial" w:cs="Arial" w:hAnsi="Arial"/>
                <w:sz w:val="22"/>
              </w:rPr>
              <w:t>（业务KPI），需要建立全面的风险预警体系。但由于：</w:t>
            </w:r>
          </w:p>
          <w:p>
            <w:pPr>
              <w:numPr>
                <w:numId w:val="567"/>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：风险监控依赖人工定期查看报表（每日或每周），监控频率低；缺乏分级响应制度，预警响应时效平均8小时；风险处置经验未沉淀，处置方案因人而异</w:t>
            </w:r>
          </w:p>
          <w:p>
            <w:pPr>
              <w:numPr>
                <w:numId w:val="568"/>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：不同类型风险分散在不同系统（客户风险在客户系统、货值风险在WMS、业务风险在融资系统），缺乏统一视图；预警规则固化在代码中，调整需提IT需求，响应慢成本高</w:t>
            </w:r>
          </w:p>
          <w:p>
            <w:pPr>
              <w:spacing w:before="120" w:after="120" w:line="288" w:lineRule="auto"/>
              <w:ind w:left="453"/>
              <w:jc w:val="left"/>
            </w:pPr>
            <w:r>
              <w:rPr>
                <w:rFonts w:eastAsia="等线" w:ascii="Arial" w:cs="Arial" w:hAnsi="Arial"/>
                <w:sz w:val="22"/>
              </w:rPr>
              <w:t>导致风险识别覆盖率仅70%，预警准确率仅60%。例如某业务质押率从75%上升至95%，平台3天后才发现，错过最佳处置时机。</w:t>
            </w:r>
          </w:p>
          <w:p>
            <w:pPr>
              <w:numPr>
                <w:numId w:val="569"/>
              </w:numPr>
              <w:spacing w:before="120" w:after="120" w:line="288" w:lineRule="auto"/>
              <w:ind w:left="453"/>
              <w:jc w:val="left"/>
            </w:pPr>
            <w:r>
              <w:rPr>
                <w:rFonts w:eastAsia="等线" w:ascii="Arial" w:cs="Arial" w:hAnsi="Arial"/>
                <w:b w:val="true"/>
                <w:color w:val="d83931"/>
                <w:sz w:val="22"/>
              </w:rPr>
              <w:t>【期望】</w:t>
            </w:r>
          </w:p>
          <w:p>
            <w:pPr>
              <w:numPr>
                <w:numId w:val="570"/>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分级预警响应制度》（紧急立即响应、超标4小时、警戒24小时）；制定《预警升级机制》（超时未响应自动升级、高风险3天未解决升级至总监）；建立《风险知识库管理制度》（典型案例、处置方案库、风险识别模型）</w:t>
            </w:r>
          </w:p>
          <w:p>
            <w:pPr>
              <w:numPr>
                <w:numId w:val="571"/>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：统一风险监控工作台集中展示所有预警，可配置的风控规则引擎支持可视化设置监控指标和预警阈值，7×24小时自动监控并多渠道推送通知（系统消息、短信、邮件）</w:t>
            </w:r>
          </w:p>
          <w:p>
            <w:pPr>
              <w:spacing w:before="120" w:after="120" w:line="288" w:lineRule="auto"/>
              <w:ind w:left="453"/>
              <w:jc w:val="left"/>
            </w:pPr>
            <w:r>
              <w:rPr>
                <w:rFonts w:eastAsia="等线" w:ascii="Arial" w:cs="Arial" w:hAnsi="Arial"/>
                <w:sz w:val="22"/>
              </w:rPr>
              <w:t>通过以上措施，风险识别覆盖率提升至90%，预警响应时效缩短至4小时以内，预警准确率提升至80%。</w:t>
            </w:r>
          </w:p>
          <w:p>
            <w:pPr>
              <w:numPr>
                <w:numId w:val="572"/>
              </w:numPr>
              <w:spacing w:before="120" w:after="120" w:line="288" w:lineRule="auto"/>
              <w:ind w:left="0"/>
              <w:jc w:val="left"/>
            </w:pPr>
            <w:r>
              <w:rPr>
                <w:rFonts w:eastAsia="等线" w:ascii="Arial" w:cs="Arial" w:hAnsi="Arial"/>
                <w:b w:val="true"/>
                <w:sz w:val="22"/>
              </w:rPr>
              <w:t>品类差异化监控</w:t>
            </w:r>
          </w:p>
          <w:p>
            <w:pPr>
              <w:numPr>
                <w:numId w:val="573"/>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将品类风险预警及时率提升至95%</w:t>
            </w:r>
            <w:r>
              <w:rPr>
                <w:rFonts w:eastAsia="等线" w:ascii="Arial" w:cs="Arial" w:hAnsi="Arial"/>
                <w:sz w:val="22"/>
              </w:rPr>
              <w:t>（业务KPI），需要针对不同品类建立差异化监控机制。但由于：</w:t>
            </w:r>
          </w:p>
          <w:p>
            <w:pPr>
              <w:numPr>
                <w:numId w:val="574"/>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：不同品类风险特性差异大（3C价格波动、白酒串货、食品保质期），但采用统一监控规则，缺乏品类专属风控策略</w:t>
            </w:r>
          </w:p>
          <w:p>
            <w:pPr>
              <w:numPr>
                <w:numId w:val="575"/>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：缺乏品类特有风险的自动监控能力，新品发布周期、串货流向、保质期临期等需人工分别关注</w:t>
            </w:r>
          </w:p>
          <w:p>
            <w:pPr>
              <w:spacing w:before="120" w:after="120" w:line="288" w:lineRule="auto"/>
              <w:ind w:left="453"/>
              <w:jc w:val="left"/>
            </w:pPr>
            <w:r>
              <w:rPr>
                <w:rFonts w:eastAsia="等线" w:ascii="Arial" w:cs="Arial" w:hAnsi="Arial"/>
                <w:sz w:val="22"/>
              </w:rPr>
              <w:t>导致约25%的品类风险未及时发现。</w:t>
            </w:r>
          </w:p>
          <w:p>
            <w:pPr>
              <w:numPr>
                <w:numId w:val="576"/>
              </w:numPr>
              <w:spacing w:before="120" w:after="120" w:line="288" w:lineRule="auto"/>
              <w:ind w:left="453"/>
              <w:jc w:val="left"/>
            </w:pPr>
            <w:r>
              <w:rPr>
                <w:rFonts w:eastAsia="等线" w:ascii="Arial" w:cs="Arial" w:hAnsi="Arial"/>
                <w:b w:val="true"/>
                <w:color w:val="d83931"/>
                <w:sz w:val="22"/>
              </w:rPr>
              <w:t>【期望】</w:t>
            </w:r>
          </w:p>
          <w:p>
            <w:pPr>
              <w:numPr>
                <w:numId w:val="577"/>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：制定《品类差异化风控规则》（3C：价格波动+新品发布周期监控；白酒：串货风险+真伪验证；食品：保质期临期+存储条件）；建立《品类风控规则模板库》，支持快速配置新品类规则</w:t>
            </w:r>
          </w:p>
          <w:p>
            <w:pPr>
              <w:numPr>
                <w:numId w:val="578"/>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：系统根据品类自动加载对应风控规则和预警阈值，品类特有风险自动监控并统一推送预警</w:t>
            </w:r>
          </w:p>
          <w:p>
            <w:pPr>
              <w:spacing w:before="120" w:after="120" w:line="288" w:lineRule="auto"/>
              <w:ind w:left="453"/>
              <w:jc w:val="left"/>
            </w:pPr>
            <w:r>
              <w:rPr>
                <w:rFonts w:eastAsia="等线" w:ascii="Arial" w:cs="Arial" w:hAnsi="Arial"/>
                <w:sz w:val="22"/>
              </w:rPr>
              <w:t>通过以上措施，品类风险预警及时率提升至95%以上。</w:t>
            </w:r>
          </w:p>
          <w:p>
            <w:pPr>
              <w:numPr>
                <w:numId w:val="579"/>
              </w:numPr>
              <w:spacing w:before="120" w:after="120" w:line="288" w:lineRule="auto"/>
              <w:ind w:left="0"/>
              <w:jc w:val="left"/>
            </w:pPr>
            <w:r>
              <w:rPr>
                <w:rFonts w:eastAsia="等线" w:ascii="Arial" w:cs="Arial" w:hAnsi="Arial"/>
                <w:b w:val="true"/>
                <w:sz w:val="22"/>
              </w:rPr>
              <w:t>核心企业风险联动</w:t>
            </w:r>
          </w:p>
          <w:p>
            <w:pPr>
              <w:numPr>
                <w:numId w:val="580"/>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将核心企业预警响应率提升至100%</w:t>
            </w:r>
            <w:r>
              <w:rPr>
                <w:rFonts w:eastAsia="等线" w:ascii="Arial" w:cs="Arial" w:hAnsi="Arial"/>
                <w:sz w:val="22"/>
              </w:rPr>
              <w:t>（业务KPI），需要建立与核心企业的风险信息共享机制。但由于：</w:t>
            </w:r>
          </w:p>
          <w:p>
            <w:pPr>
              <w:numPr>
                <w:numId w:val="581"/>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：缺乏核心企业风险推送的标准化流程和激励机制，核心企业推送预警的积极性不高</w:t>
            </w:r>
          </w:p>
          <w:p>
            <w:pPr>
              <w:numPr>
                <w:numId w:val="582"/>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：核心企业发现经销商异常（串货、销售下滑等）需电话或邮件通知平台，信息传递延迟1-3天</w:t>
            </w:r>
          </w:p>
          <w:p>
            <w:pPr>
              <w:numPr>
                <w:numId w:val="583"/>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：收到核心企业预警后需手工查找客户所有业务并逐个评估风险，耗时2-4小时</w:t>
            </w:r>
          </w:p>
          <w:p>
            <w:pPr>
              <w:spacing w:before="120" w:after="120" w:line="288" w:lineRule="auto"/>
              <w:ind w:left="453"/>
              <w:jc w:val="left"/>
            </w:pPr>
            <w:r>
              <w:rPr>
                <w:rFonts w:eastAsia="等线" w:ascii="Arial" w:cs="Arial" w:hAnsi="Arial"/>
                <w:sz w:val="22"/>
              </w:rPr>
              <w:t>导致约40%的核心企业预警未得到及时响应。例如某经销商串货被核心企业发现，平台收到通知时该经销商已新增融资50万。</w:t>
            </w:r>
          </w:p>
          <w:p>
            <w:pPr>
              <w:numPr>
                <w:numId w:val="584"/>
              </w:numPr>
              <w:spacing w:before="120" w:after="120" w:line="288" w:lineRule="auto"/>
              <w:ind w:left="453"/>
              <w:jc w:val="left"/>
            </w:pPr>
            <w:r>
              <w:rPr>
                <w:rFonts w:eastAsia="等线" w:ascii="Arial" w:cs="Arial" w:hAnsi="Arial"/>
                <w:b w:val="true"/>
                <w:color w:val="d83931"/>
                <w:sz w:val="22"/>
              </w:rPr>
              <w:t>【期望】</w:t>
            </w:r>
          </w:p>
          <w:p>
            <w:pPr>
              <w:numPr>
                <w:numId w:val="585"/>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：建立《核心企业风险联动机制》（风险推送类型、响应流程、协同处置流程）；制定《核心企业预警激励制度》（主动推送奖励积分、协助处置及时提高合作等级、推送准确率高增加推荐额度）</w:t>
            </w:r>
          </w:p>
          <w:p>
            <w:pPr>
              <w:numPr>
                <w:numId w:val="586"/>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：API接口对接核心企业实现预警实时推送，系统自动关联客户所有在途业务并评估风险等级，高风险自动冻结新增融资</w:t>
            </w:r>
          </w:p>
          <w:p>
            <w:pPr>
              <w:spacing w:before="120" w:after="120" w:line="288" w:lineRule="auto"/>
              <w:ind w:left="453"/>
              <w:jc w:val="left"/>
            </w:pPr>
            <w:r>
              <w:rPr>
                <w:rFonts w:eastAsia="等线" w:ascii="Arial" w:cs="Arial" w:hAnsi="Arial"/>
                <w:sz w:val="22"/>
              </w:rPr>
              <w:t>通过以上措施，核心企业预警从电话通知（1-3天延迟）变为实时推送，核心企业预警响应率达100%。</w:t>
            </w:r>
          </w:p>
          <w:p>
            <w:pPr>
              <w:numPr>
                <w:numId w:val="587"/>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建立多维度的风险监控体系，通过可配置的风控规则引擎7×24小时自动监控并识别风险事件，提供可视化的风控看板实时展示关键风险指标。系统提供可配置的风控规则引擎，支持通过可视化界面设置监控指标和预警阈值，系统自动监控各类风险指标达到预警条件时自动触发预警，提供统一的风险监控工作台集中展示所有预警事件。预警触发后系统自动推送通知（系统消息、短信、邮件等多渠道）并跟踪处置进度。系统支持按品类配置差异化的风控规则和预警阈值，系统预置多品类的风控规则模板，支持快速配置新品类的风控规则，系统根据商品品类自动展示监控清单和风险提示。系统通过API接口与核心企业对接，核心企业发现经销商异常时实时推送预警到平台，系统自动关联该客户所有在途业务并自动评估风险等级，高风险自动冻结新增融资并推送给风控人员处理。</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执行层：</w:t>
            </w:r>
          </w:p>
          <w:p>
            <w:pPr>
              <w:numPr>
                <w:numId w:val="588"/>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每天需手工查看多个报表和系统逐项检查异常，工作量大易遗漏。收到预警后不清楚具体问题在哪里，需在多个系统查找相关信息。预警信息只有系统消息，外出或下班后无法及时收到。处置风险事件时需手工记录处置过程，填写报告繁琐。</w:t>
            </w:r>
          </w:p>
          <w:p>
            <w:pPr>
              <w:numPr>
                <w:numId w:val="589"/>
              </w:numPr>
              <w:spacing w:before="120" w:after="120" w:line="288" w:lineRule="auto"/>
              <w:ind w:left="0"/>
              <w:jc w:val="left"/>
            </w:pPr>
            <w:r>
              <w:rPr>
                <w:rFonts w:eastAsia="等线" w:ascii="Arial" w:cs="Arial" w:hAnsi="Arial"/>
                <w:b w:val="true"/>
                <w:color w:val="d83931"/>
                <w:sz w:val="22"/>
              </w:rPr>
              <w:t>【期望】</w:t>
            </w:r>
          </w:p>
          <w:p>
            <w:pPr>
              <w:numPr>
                <w:numId w:val="590"/>
              </w:numPr>
              <w:spacing w:before="120" w:after="120" w:line="288" w:lineRule="auto"/>
              <w:ind w:left="453"/>
              <w:jc w:val="left"/>
            </w:pPr>
            <w:r>
              <w:rPr>
                <w:rFonts w:eastAsia="等线" w:ascii="Arial" w:cs="Arial" w:hAnsi="Arial"/>
                <w:b w:val="true"/>
                <w:sz w:val="22"/>
              </w:rPr>
              <w:t>操作规范</w:t>
            </w:r>
            <w:r>
              <w:rPr>
                <w:rFonts w:eastAsia="等线" w:ascii="Arial" w:cs="Arial" w:hAnsi="Arial"/>
                <w:sz w:val="22"/>
              </w:rPr>
              <w:t>：按《分级预警响应制度》在规定时效内处理预警任务，按《风险知识库》中的处置方案库选择合适的处置措施，处置完成后按标准模板记录过程</w:t>
            </w:r>
          </w:p>
          <w:p>
            <w:pPr>
              <w:numPr>
                <w:numId w:val="591"/>
              </w:numPr>
              <w:spacing w:before="120" w:after="120" w:line="288" w:lineRule="auto"/>
              <w:ind w:left="453"/>
              <w:jc w:val="left"/>
            </w:pPr>
            <w:r>
              <w:rPr>
                <w:rFonts w:eastAsia="等线" w:ascii="Arial" w:cs="Arial" w:hAnsi="Arial"/>
                <w:b w:val="true"/>
                <w:sz w:val="22"/>
              </w:rPr>
              <w:t>系统支持</w:t>
            </w:r>
            <w:r>
              <w:rPr>
                <w:rFonts w:eastAsia="等线" w:ascii="Arial" w:cs="Arial" w:hAnsi="Arial"/>
                <w:sz w:val="22"/>
              </w:rPr>
              <w:t>：系统自动监控并推送异常无需手工查看报表，预警详情页集成展示问题原因和相关数据，支持多渠道通知（系统消息、短信、邮件、移动端），个人工作台清晰展示待处理预警和处理进度，处置记录支持快捷操作和模板化记录</w:t>
            </w:r>
          </w:p>
          <w:p>
            <w:pPr>
              <w:numPr>
                <w:numId w:val="592"/>
              </w:numPr>
              <w:spacing w:before="120" w:after="120" w:line="288" w:lineRule="auto"/>
              <w:ind w:left="0"/>
              <w:jc w:val="left"/>
            </w:pPr>
            <w:r>
              <w:rPr>
                <w:rFonts w:eastAsia="等线" w:ascii="Arial" w:cs="Arial" w:hAnsi="Arial"/>
                <w:b w:val="true"/>
                <w:sz w:val="22"/>
              </w:rPr>
              <w:t xml:space="preserve">【解决方案】 </w:t>
            </w:r>
            <w:r>
              <w:rPr>
                <w:rFonts w:eastAsia="等线" w:ascii="Arial" w:cs="Arial" w:hAnsi="Arial"/>
                <w:sz w:val="22"/>
              </w:rPr>
              <w:t>系统7×24小时自动监控风险指标触发预警时自动推送给责任人，预警详情页面集成化设计自动展示预警原因和相关信息，支持多渠道预警通知和移动端操作，预警处置采用标准化流程和模板化记录，个人工作台清晰展示待处理预警和处理进度。系统根据商品品类自动监控对应风险指标并统一推送预警，系统异常识别模型发现风险后自动生成预警并在详情页面展示证据链，系统接收核心企业推送的经销商异常预警后自动关联该客户的所有在途业务自动评估风险等级并推送给风控人员。</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9" w:id="99"/>
      <w:r>
        <w:rPr>
          <w:rFonts w:eastAsia="等线" w:ascii="Arial" w:cs="Arial" w:hAnsi="Arial"/>
          <w:color w:val="3370ff"/>
          <w:sz w:val="30"/>
        </w:rPr>
        <w:t xml:space="preserve">3.4.3 </w:t>
      </w:r>
      <w:r>
        <w:rPr>
          <w:rFonts w:eastAsia="等线" w:ascii="Arial" w:cs="Arial" w:hAnsi="Arial"/>
          <w:b w:val="true"/>
          <w:sz w:val="30"/>
        </w:rPr>
        <w:t>功能架构</w:t>
      </w:r>
      <w:bookmarkEnd w:id="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风险监控</w:t>
              <w:br/>
              <w:t>├─ 风控看板 ← 基础功能（风险可视化）</w:t>
              <w:br/>
              <w:t>├─ 实时预警 ← 重点功能（规则引擎、多维监控、品类差异化）</w:t>
              <w:br/>
              <w:t>├─ 风控规则配置 ← 重点功能（可视化配置、灵活调整）</w:t>
              <w:br/>
              <w:t>├─ 预警处理 ← 基础功能（流程管理）</w:t>
              <w:br/>
            </w:r>
            <w:r>
              <w:rPr>
                <w:rFonts w:eastAsia="Consolas" w:ascii="Consolas" w:cs="Consolas" w:hAnsi="Consolas"/>
                <w:sz w:val="22"/>
              </w:rPr>
              <w:t>└─ 风险指标监控 ← 基础功能（数据追踪）</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0" w:id="100"/>
      <w:r>
        <w:rPr>
          <w:rFonts w:eastAsia="等线" w:ascii="Arial" w:cs="Arial" w:hAnsi="Arial"/>
          <w:color w:val="3370ff"/>
          <w:sz w:val="30"/>
        </w:rPr>
        <w:t xml:space="preserve">3.4.4 </w:t>
      </w:r>
      <w:r>
        <w:rPr>
          <w:rFonts w:eastAsia="等线" w:ascii="Arial" w:cs="Arial" w:hAnsi="Arial"/>
          <w:b w:val="true"/>
          <w:sz w:val="30"/>
        </w:rPr>
        <w:t>核心功能详解</w:t>
      </w:r>
      <w:bookmarkEnd w:id="100"/>
    </w:p>
    <w:p>
      <w:pPr>
        <w:pStyle w:val="4"/>
        <w:spacing w:before="260" w:after="120" w:line="288" w:lineRule="auto"/>
        <w:ind w:left="0"/>
        <w:jc w:val="left"/>
        <w:outlineLvl w:val="3"/>
      </w:pPr>
      <w:bookmarkStart w:name="heading_101" w:id="101"/>
      <w:r>
        <w:rPr>
          <w:rFonts w:eastAsia="等线" w:ascii="Arial" w:cs="Arial" w:hAnsi="Arial"/>
          <w:color w:val="3370ff"/>
          <w:sz w:val="28"/>
        </w:rPr>
        <w:t xml:space="preserve">3.4.4.1 </w:t>
      </w:r>
      <w:r>
        <w:rPr>
          <w:rFonts w:eastAsia="等线" w:ascii="Arial" w:cs="Arial" w:hAnsi="Arial"/>
          <w:b w:val="true"/>
          <w:sz w:val="28"/>
        </w:rPr>
        <w:t>实时预警（重点功能）</w:t>
      </w:r>
      <w:bookmarkEnd w:id="101"/>
    </w:p>
    <w:p>
      <w:pPr>
        <w:pStyle w:val="5"/>
        <w:spacing w:before="240" w:after="120" w:line="288" w:lineRule="auto"/>
        <w:ind w:left="0"/>
        <w:jc w:val="left"/>
        <w:outlineLvl w:val="4"/>
      </w:pPr>
      <w:bookmarkStart w:name="heading_102" w:id="102"/>
      <w:r>
        <w:rPr>
          <w:rFonts w:eastAsia="等线" w:ascii="Arial" w:cs="Arial" w:hAnsi="Arial"/>
          <w:color w:val="3370ff"/>
          <w:sz w:val="24"/>
        </w:rPr>
        <w:t xml:space="preserve">3.4.4.1.1 </w:t>
      </w:r>
      <w:r>
        <w:rPr>
          <w:rFonts w:eastAsia="等线" w:ascii="Arial" w:cs="Arial" w:hAnsi="Arial"/>
          <w:b w:val="true"/>
          <w:sz w:val="24"/>
        </w:rPr>
        <w:t>解决的核心问题</w:t>
      </w:r>
      <w:bookmarkEnd w:id="102"/>
    </w:p>
    <w:p>
      <w:pPr>
        <w:spacing w:before="120" w:after="120" w:line="288" w:lineRule="auto"/>
        <w:ind w:left="0"/>
      </w:pPr>
      <w:r>
        <w:object>
          <v:shape id="_x0000_i1071" style="width:414pt;height:197pt;mso-width-percent:0;mso-height-percent:0;mso-width-percent:0;mso-height-percent:0" type="#_x0000_t75" o:ole="">
            <v:imagedata r:id="rId116" o:title=""/>
          </v:shape>
          <o:OLEObject DrawAspect="Icon" ObjectID="_1718471265" ProgID="Excel.Sheet.12" ShapeID="_x0000_i1071" Type="Embed" r:id="rId11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103" w:id="103"/>
      <w:r>
        <w:rPr>
          <w:rFonts w:eastAsia="等线" w:ascii="Arial" w:cs="Arial" w:hAnsi="Arial"/>
          <w:color w:val="3370ff"/>
          <w:sz w:val="24"/>
        </w:rPr>
        <w:t xml:space="preserve">3.4.4.1.2 </w:t>
      </w:r>
      <w:r>
        <w:rPr>
          <w:rFonts w:eastAsia="等线" w:ascii="Arial" w:cs="Arial" w:hAnsi="Arial"/>
          <w:b w:val="true"/>
          <w:sz w:val="24"/>
        </w:rPr>
        <w:t>预警体系架构</w:t>
      </w:r>
      <w:bookmarkEnd w:id="1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graph TB</w:t>
              <w:br/>
              <w:t xml:space="preserve">    subgraph 数据采集层</w:t>
              <w:br/>
              <w:t xml:space="preserve">        A1[客户数据]</w:t>
              <w:br/>
              <w:t xml:space="preserve">        A2[融资业务数据]</w:t>
              <w:br/>
              <w:t xml:space="preserve">        A3[质押物数据]</w:t>
              <w:br/>
              <w:t xml:space="preserve">        A4[市场价格数据]</w:t>
              <w:br/>
              <w:t xml:space="preserve">        A5[核心企业推送]</w:t>
              <w:br/>
              <w:t xml:space="preserve">    end</w:t>
              <w:br/>
              <w:t xml:space="preserve">    </w:t>
              <w:br/>
              <w:t xml:space="preserve">    A1 --&gt; B[风控规则引擎]</w:t>
              <w:br/>
              <w:t xml:space="preserve">    A2 --&gt; B</w:t>
              <w:br/>
              <w:t xml:space="preserve">    A3 --&gt; B</w:t>
              <w:br/>
              <w:t xml:space="preserve">    A4 --&gt; B</w:t>
              <w:br/>
              <w:t xml:space="preserve">    A5 --&gt; B</w:t>
              <w:br/>
              <w:t xml:space="preserve">    </w:t>
              <w:br/>
              <w:t xml:space="preserve">    B --&gt; C{风险识别}</w:t>
              <w:br/>
              <w:t xml:space="preserve">    </w:t>
              <w:br/>
              <w:t xml:space="preserve">    subgraph 风险分类</w:t>
              <w:br/>
              <w:t xml:space="preserve">        C --&gt;|客户风险| D1[证照到期/信用下降]</w:t>
              <w:br/>
              <w:t xml:space="preserve">        C --&gt;|业务风险| D2[逾期/还款异常]</w:t>
              <w:br/>
              <w:t xml:space="preserve">        C --&gt;|质押物风险| D3[价格波动/质押率超标/保质期临期]</w:t>
              <w:br/>
              <w:t xml:space="preserve">        C --&gt;|渠道风险| D4[核心企业预警/串货]</w:t>
              <w:br/>
              <w:t xml:space="preserve">    end</w:t>
              <w:br/>
              <w:t xml:space="preserve">    </w:t>
              <w:br/>
              <w:t xml:space="preserve">    D1 --&gt; E[预警生成与分级]</w:t>
              <w:br/>
              <w:t xml:space="preserve">    D2 --&gt; E</w:t>
              <w:br/>
              <w:t xml:space="preserve">    D3 --&gt; E</w:t>
              <w:br/>
              <w:t xml:space="preserve">    D4 --&gt; E</w:t>
              <w:br/>
              <w:t xml:space="preserve">    </w:t>
              <w:br/>
              <w:t xml:space="preserve">    E --&gt; F{处置路径}</w:t>
              <w:br/>
              <w:t xml:space="preserve">    </w:t>
              <w:br/>
              <w:t xml:space="preserve">    F --&gt;|自动处置| G1[冻结融资/调整质押率/发送提醒]</w:t>
              <w:br/>
              <w:t xml:space="preserve">    F --&gt;|人工处置| G2[分配责任人]</w:t>
              <w:br/>
              <w:t xml:space="preserve">    </w:t>
              <w:br/>
              <w:t xml:space="preserve">    G1 --&gt; H[处置记录]</w:t>
              <w:br/>
              <w:t xml:space="preserve">    G2 --&gt; I[预警处理中心]</w:t>
              <w:br/>
              <w:t xml:space="preserve">    I --&gt; H</w:t>
              <w:br/>
              <w:t xml:space="preserve">    </w:t>
              <w:br/>
              <w:t xml:space="preserve">    H --&gt; J{是否需要协同}</w:t>
              <w:br/>
              <w:t xml:space="preserve">    J --&gt;|是| K[核心企业协同]</w:t>
              <w:br/>
              <w:t xml:space="preserve">    J --&gt;|否| L[处置完成]</w:t>
              <w:br/>
              <w:t xml:space="preserve">    K --&gt; L</w:t>
              <w:br/>
              <w:t xml:space="preserve">    </w:t>
              <w:br/>
              <w:t xml:space="preserve">    L --&gt; M[风险知识库沉淀]</w:t>
              <w:br/>
            </w:r>
          </w:p>
        </w:tc>
      </w:tr>
    </w:tbl>
    <w:p>
      <w:pPr>
        <w:spacing w:before="120" w:after="120" w:line="288" w:lineRule="auto"/>
        <w:ind w:left="0"/>
        <w:jc w:val="left"/>
      </w:pPr>
      <w:r>
        <w:rPr>
          <w:rFonts w:eastAsia="等线" w:ascii="Arial" w:cs="Arial" w:hAnsi="Arial"/>
          <w:b w:val="true"/>
          <w:sz w:val="22"/>
        </w:rPr>
        <w:t>预警体系设计要点</w:t>
      </w:r>
      <w:r>
        <w:rPr>
          <w:rFonts w:eastAsia="等线" w:ascii="Arial" w:cs="Arial" w:hAnsi="Arial"/>
          <w:sz w:val="22"/>
        </w:rPr>
        <w:t>：</w:t>
      </w:r>
    </w:p>
    <w:p>
      <w:pPr>
        <w:numPr>
          <w:numId w:val="593"/>
        </w:numPr>
        <w:spacing w:before="120" w:after="120" w:line="288" w:lineRule="auto"/>
        <w:ind w:left="0"/>
        <w:jc w:val="left"/>
      </w:pPr>
      <w:r>
        <w:rPr>
          <w:rFonts w:eastAsia="等线" w:ascii="Arial" w:cs="Arial" w:hAnsi="Arial"/>
          <w:b w:val="true"/>
          <w:color w:val="d83931"/>
          <w:sz w:val="22"/>
          <w:shd w:fill="fff67a"/>
        </w:rPr>
        <w:t>多维度数据整合</w:t>
      </w:r>
    </w:p>
    <w:p>
      <w:pPr>
        <w:numPr>
          <w:numId w:val="594"/>
        </w:numPr>
        <w:spacing w:before="120" w:after="120" w:line="288" w:lineRule="auto"/>
        <w:ind w:left="0"/>
        <w:jc w:val="left"/>
      </w:pPr>
      <w:r>
        <w:rPr>
          <w:rFonts w:eastAsia="等线" w:ascii="Arial" w:cs="Arial" w:hAnsi="Arial"/>
          <w:sz w:val="22"/>
        </w:rPr>
        <w:t>横向整合：客户、业务、货物、市场、核心企业</w:t>
      </w:r>
    </w:p>
    <w:p>
      <w:pPr>
        <w:numPr>
          <w:numId w:val="595"/>
        </w:numPr>
        <w:spacing w:before="120" w:after="120" w:line="288" w:lineRule="auto"/>
        <w:ind w:left="0"/>
        <w:jc w:val="left"/>
      </w:pPr>
      <w:r>
        <w:rPr>
          <w:rFonts w:eastAsia="等线" w:ascii="Arial" w:cs="Arial" w:hAnsi="Arial"/>
          <w:sz w:val="22"/>
        </w:rPr>
        <w:t>纵向整合：历史数据、实时数据、预测数据</w:t>
      </w:r>
    </w:p>
    <w:p>
      <w:pPr>
        <w:numPr>
          <w:numId w:val="596"/>
        </w:numPr>
        <w:spacing w:before="120" w:after="120" w:line="288" w:lineRule="auto"/>
        <w:ind w:left="0"/>
        <w:jc w:val="left"/>
      </w:pPr>
      <w:r>
        <w:rPr>
          <w:rFonts w:eastAsia="等线" w:ascii="Arial" w:cs="Arial" w:hAnsi="Arial"/>
          <w:sz w:val="22"/>
        </w:rPr>
        <w:t>交叉验证：多个维度交叉识别风险</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满足期望：风险识别覆盖率从70%提升至90%</w:t>
            </w:r>
          </w:p>
        </w:tc>
      </w:tr>
    </w:tbl>
    <w:p>
      <w:pPr>
        <w:numPr>
          <w:numId w:val="597"/>
        </w:numPr>
        <w:spacing w:before="120" w:after="120" w:line="288" w:lineRule="auto"/>
        <w:ind w:left="0"/>
        <w:jc w:val="left"/>
      </w:pPr>
      <w:r>
        <w:rPr>
          <w:rFonts w:eastAsia="等线" w:ascii="Arial" w:cs="Arial" w:hAnsi="Arial"/>
          <w:b w:val="true"/>
          <w:sz w:val="22"/>
        </w:rPr>
        <w:t>分层预警机制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紧急（紫色）→ 立即响应：</w:t>
              <w:br/>
              <w:t xml:space="preserve">  - 相对质押率 &gt; 115%（即超过品类上限15%以上）</w:t>
              <w:br/>
              <w:t xml:space="preserve">  - 逾期 &gt; 7天</w:t>
              <w:br/>
              <w:t xml:space="preserve">  - 核心企业标注高风险</w:t>
              <w:br/>
              <w:t xml:space="preserve">  - 重大诉讼/涉诉</w:t>
              <w:br/>
              <w:br/>
              <w:t>超标（红色）→ 4小时内响应：</w:t>
              <w:br/>
              <w:t xml:space="preserve">  - 100% &lt; 相对质押率 ≤ 115%（即超过品类上限但在15%以内）</w:t>
              <w:br/>
              <w:t xml:space="preserve">  - 逾期 1-7天</w:t>
              <w:br/>
              <w:t xml:space="preserve">  - 证照到期 &lt; 30天</w:t>
              <w:br/>
              <w:t xml:space="preserve">  - 核心企业推送串货/销售异常预警</w:t>
              <w:br/>
              <w:br/>
              <w:t>警戒（黄色）→ 24小时内响应：</w:t>
              <w:br/>
              <w:t xml:space="preserve">  - 85% &lt; 相对质押率 ≤ 100%（即接近品类上限）</w:t>
              <w:br/>
              <w:t xml:space="preserve">  - 价格7日跌幅 &gt; 10%</w:t>
              <w:br/>
              <w:t xml:space="preserve">  - 证照到期 &lt; 90天</w:t>
              <w:br/>
              <w:t xml:space="preserve">  - 信用评级下降</w:t>
              <w:br/>
              <w:t xml:space="preserve">  - 保质期临期 &lt; 60天</w:t>
              <w:br/>
              <w:br/>
              <w:t>正常（绿色）→ 正常监控：</w:t>
              <w:br/>
              <w:t xml:space="preserve">  - 相对质押率 ≤ 85%</w:t>
              <w:br/>
            </w:r>
            <w:r>
              <w:rPr>
                <w:rFonts w:eastAsia="Consolas" w:ascii="Consolas" w:cs="Consolas" w:hAnsi="Consolas"/>
                <w:sz w:val="22"/>
              </w:rPr>
              <w:t xml:space="preserve">  - 各项指标正常</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相对质押率 = 当前质押率 ÷ 品类上限 × 100%</w:t>
            </w:r>
          </w:p>
        </w:tc>
      </w:tr>
    </w:tbl>
    <w:p>
      <w:pPr>
        <w:spacing w:before="120" w:after="120" w:line="288" w:lineRule="auto"/>
        <w:ind w:left="0"/>
        <w:jc w:val="left"/>
      </w:pPr>
      <w:r>
        <w:rPr>
          <w:rFonts w:eastAsia="等线" w:ascii="Arial" w:cs="Arial" w:hAnsi="Arial"/>
          <w:b w:val="true"/>
          <w:sz w:val="22"/>
        </w:rPr>
        <w:t>各品类质押率预警阈值换算</w:t>
      </w:r>
      <w:r>
        <w:rPr>
          <w:rFonts w:eastAsia="等线" w:ascii="Arial" w:cs="Arial" w:hAnsi="Arial"/>
          <w:sz w:val="22"/>
        </w:rPr>
        <w:t>：</w:t>
      </w:r>
    </w:p>
    <w:p>
      <w:pPr>
        <w:spacing w:before="120" w:after="120" w:line="288" w:lineRule="auto"/>
        <w:ind w:left="0"/>
      </w:pPr>
      <w:r>
        <w:object>
          <v:shape id="_x0000_i1072" style="width:414pt;height:90pt;mso-width-percent:0;mso-height-percent:0;mso-width-percent:0;mso-height-percent:0" type="#_x0000_t75" o:ole="">
            <v:imagedata r:id="rId118" o:title=""/>
          </v:shape>
          <o:OLEObject DrawAspect="Icon" ObjectID="_1718471266" ProgID="Excel.Sheet.12" ShapeID="_x0000_i1072" Type="Embed" r:id="rId11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104" w:id="104"/>
      <w:r>
        <w:rPr>
          <w:rFonts w:eastAsia="等线" w:ascii="Arial" w:cs="Arial" w:hAnsi="Arial"/>
          <w:color w:val="3370ff"/>
          <w:sz w:val="24"/>
        </w:rPr>
        <w:t xml:space="preserve">3.4.4.1.3 </w:t>
      </w:r>
      <w:r>
        <w:rPr>
          <w:rFonts w:eastAsia="等线" w:ascii="Arial" w:cs="Arial" w:hAnsi="Arial"/>
          <w:b w:val="true"/>
          <w:sz w:val="24"/>
        </w:rPr>
        <w:t>关键页面原型</w:t>
      </w:r>
      <w:bookmarkEnd w:id="104"/>
    </w:p>
    <w:p>
      <w:pPr>
        <w:spacing w:before="120" w:after="120" w:line="288" w:lineRule="auto"/>
        <w:ind w:left="0"/>
        <w:jc w:val="left"/>
      </w:pPr>
      <w:r>
        <w:rPr>
          <w:rFonts w:eastAsia="等线" w:ascii="Arial" w:cs="Arial" w:hAnsi="Arial"/>
          <w:b w:val="true"/>
          <w:color w:val="d83931"/>
          <w:sz w:val="22"/>
          <w:shd w:fill="fff67a"/>
        </w:rPr>
        <w:t>【实时预警中心】</w:t>
      </w:r>
      <w:r>
        <w:rPr>
          <w:rFonts w:eastAsia="等线" w:ascii="Arial" w:cs="Arial" w:hAnsi="Arial"/>
          <w:color w:val="d83931"/>
          <w:sz w:val="22"/>
          <w:shd w:fill="fff67a"/>
        </w:rPr>
        <w:t xml:space="preserve"> </w:t>
      </w:r>
    </w:p>
    <w:p>
      <w:pPr>
        <w:spacing w:before="120" w:after="120" w:line="288" w:lineRule="auto"/>
        <w:ind w:left="0"/>
        <w:jc w:val="center"/>
      </w:pPr>
      <w:r>
        <w:drawing>
          <wp:inline distT="0" distR="0" distB="0" distL="0">
            <wp:extent cx="5257800" cy="86296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9"/>
                    <a:stretch>
                      <a:fillRect/>
                    </a:stretch>
                  </pic:blipFill>
                  <pic:spPr>
                    <a:xfrm>
                      <a:off x="0" y="0"/>
                      <a:ext cx="5257800" cy="8629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页面作用：风控人员集中查看和处理各类风险预警的工作平台。</w:t>
      </w:r>
    </w:p>
    <w:p>
      <w:pPr>
        <w:spacing w:before="120" w:after="120" w:line="288" w:lineRule="auto"/>
        <w:ind w:left="0"/>
        <w:jc w:val="left"/>
      </w:pPr>
      <w:r>
        <w:rPr>
          <w:rFonts w:eastAsia="等线" w:ascii="Arial" w:cs="Arial" w:hAnsi="Arial"/>
          <w:b w:val="true"/>
          <w:sz w:val="22"/>
        </w:rPr>
        <w:t>重点设计</w:t>
      </w:r>
      <w:r>
        <w:rPr>
          <w:rFonts w:eastAsia="等线" w:ascii="Arial" w:cs="Arial" w:hAnsi="Arial"/>
          <w:sz w:val="22"/>
        </w:rPr>
        <w:t>：</w:t>
      </w:r>
    </w:p>
    <w:p>
      <w:pPr>
        <w:numPr>
          <w:numId w:val="598"/>
        </w:numPr>
        <w:spacing w:before="120" w:after="120" w:line="288" w:lineRule="auto"/>
        <w:ind w:left="0"/>
        <w:jc w:val="left"/>
      </w:pPr>
      <w:r>
        <w:rPr>
          <w:rFonts w:eastAsia="等线" w:ascii="Arial" w:cs="Arial" w:hAnsi="Arial"/>
          <w:b w:val="true"/>
          <w:sz w:val="22"/>
        </w:rPr>
        <w:t>统计卡片总览</w:t>
      </w:r>
      <w:r>
        <w:rPr>
          <w:rFonts w:eastAsia="等线" w:ascii="Arial" w:cs="Arial" w:hAnsi="Arial"/>
          <w:sz w:val="22"/>
        </w:rPr>
        <w:t>：顶部展示待处理总数、紧急预警、超标预警、警戒预警、今日新增、超时未处理，快速掌握整体风险状况</w:t>
      </w:r>
    </w:p>
    <w:p>
      <w:pPr>
        <w:numPr>
          <w:numId w:val="599"/>
        </w:numPr>
        <w:spacing w:before="120" w:after="120" w:line="288" w:lineRule="auto"/>
        <w:ind w:left="0"/>
        <w:jc w:val="left"/>
      </w:pPr>
      <w:r>
        <w:rPr>
          <w:rFonts w:eastAsia="等线" w:ascii="Arial" w:cs="Arial" w:hAnsi="Arial"/>
          <w:b w:val="true"/>
          <w:sz w:val="22"/>
        </w:rPr>
        <w:t>统一4级分级</w:t>
      </w:r>
      <w:r>
        <w:rPr>
          <w:rFonts w:eastAsia="等线" w:ascii="Arial" w:cs="Arial" w:hAnsi="Arial"/>
          <w:sz w:val="22"/>
        </w:rPr>
        <w:t>：紧急（紫色，立即）、超标（红色，4小时）、警戒（黄色，24小时）、正常（绿色），与货值监控模块保持一致</w:t>
      </w:r>
    </w:p>
    <w:p>
      <w:pPr>
        <w:numPr>
          <w:numId w:val="600"/>
        </w:numPr>
        <w:spacing w:before="120" w:after="120" w:line="288" w:lineRule="auto"/>
        <w:ind w:left="0"/>
        <w:jc w:val="left"/>
      </w:pPr>
      <w:r>
        <w:rPr>
          <w:rFonts w:eastAsia="等线" w:ascii="Arial" w:cs="Arial" w:hAnsi="Arial"/>
          <w:b w:val="true"/>
          <w:sz w:val="22"/>
        </w:rPr>
        <w:t>预警来源标注</w:t>
      </w:r>
      <w:r>
        <w:rPr>
          <w:rFonts w:eastAsia="等线" w:ascii="Arial" w:cs="Arial" w:hAnsi="Arial"/>
          <w:sz w:val="22"/>
        </w:rPr>
        <w:t>：每条预警明确标注来源（质押物监控、客户监控、业务监控、核心企业推送），便于追溯和分类处理</w:t>
      </w:r>
    </w:p>
    <w:p>
      <w:pPr>
        <w:numPr>
          <w:numId w:val="601"/>
        </w:numPr>
        <w:spacing w:before="120" w:after="120" w:line="288" w:lineRule="auto"/>
        <w:ind w:left="0"/>
        <w:jc w:val="left"/>
      </w:pPr>
      <w:r>
        <w:rPr>
          <w:rFonts w:eastAsia="等线" w:ascii="Arial" w:cs="Arial" w:hAnsi="Arial"/>
          <w:b w:val="true"/>
          <w:sz w:val="22"/>
        </w:rPr>
        <w:t>预警类型多维</w:t>
      </w:r>
      <w:r>
        <w:rPr>
          <w:rFonts w:eastAsia="等线" w:ascii="Arial" w:cs="Arial" w:hAnsi="Arial"/>
          <w:sz w:val="22"/>
        </w:rPr>
        <w:t>：覆盖质押率异常、价格下跌、核心企业预警、保质期临期、还款逾期、证照到期等多类风险，支持按类型/来源筛选</w:t>
      </w:r>
    </w:p>
    <w:p>
      <w:pPr>
        <w:numPr>
          <w:numId w:val="602"/>
        </w:numPr>
        <w:spacing w:before="120" w:after="120" w:line="288" w:lineRule="auto"/>
        <w:ind w:left="0"/>
        <w:jc w:val="left"/>
      </w:pPr>
      <w:r>
        <w:rPr>
          <w:rFonts w:eastAsia="等线" w:ascii="Arial" w:cs="Arial" w:hAnsi="Arial"/>
          <w:b w:val="true"/>
          <w:sz w:val="22"/>
        </w:rPr>
        <w:t>相对质押率展示</w:t>
      </w:r>
      <w:r>
        <w:rPr>
          <w:rFonts w:eastAsia="等线" w:ascii="Arial" w:cs="Arial" w:hAnsi="Arial"/>
          <w:sz w:val="22"/>
        </w:rPr>
        <w:t>：质押率相关预警展示"当前质押率/品类上限=相对质押率"，便于快速判断风险程度</w:t>
      </w:r>
    </w:p>
    <w:p>
      <w:pPr>
        <w:numPr>
          <w:numId w:val="603"/>
        </w:numPr>
        <w:spacing w:before="120" w:after="120" w:line="288" w:lineRule="auto"/>
        <w:ind w:left="0"/>
        <w:jc w:val="left"/>
      </w:pPr>
      <w:r>
        <w:rPr>
          <w:rFonts w:eastAsia="等线" w:ascii="Arial" w:cs="Arial" w:hAnsi="Arial"/>
          <w:b w:val="true"/>
          <w:sz w:val="22"/>
        </w:rPr>
        <w:t>核心企业预警突出</w:t>
      </w:r>
      <w:r>
        <w:rPr>
          <w:rFonts w:eastAsia="等线" w:ascii="Arial" w:cs="Arial" w:hAnsi="Arial"/>
          <w:sz w:val="22"/>
        </w:rPr>
        <w:t>：核心企业推送的风险信息（串货、销售下滑）紫色标签标注来源，高优先级展示</w:t>
      </w:r>
    </w:p>
    <w:p>
      <w:pPr>
        <w:numPr>
          <w:numId w:val="604"/>
        </w:numPr>
        <w:spacing w:before="120" w:after="120" w:line="288" w:lineRule="auto"/>
        <w:ind w:left="0"/>
        <w:jc w:val="left"/>
      </w:pPr>
      <w:r>
        <w:rPr>
          <w:rFonts w:eastAsia="等线" w:ascii="Arial" w:cs="Arial" w:hAnsi="Arial"/>
          <w:b w:val="true"/>
          <w:sz w:val="22"/>
        </w:rPr>
        <w:t>快捷操作入口</w:t>
      </w:r>
      <w:r>
        <w:rPr>
          <w:rFonts w:eastAsia="等线" w:ascii="Arial" w:cs="Arial" w:hAnsi="Arial"/>
          <w:sz w:val="22"/>
        </w:rPr>
        <w:t>：每条预警支持"立即处理"跳转详情页，紧急预警支持一键"冻结融资"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满足期望：风险预警时效性要求高，分级展示确保紧急风险优先处理；核心企业预警联动是平台差异化风控能力，需突出展示；紧急预警2小时内响应，普通预警24小时内响应；标准化处置流程，处置效率提升</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105" w:id="105"/>
      <w:r>
        <w:rPr>
          <w:rFonts w:eastAsia="等线" w:ascii="Arial" w:cs="Arial" w:hAnsi="Arial"/>
          <w:color w:val="3370ff"/>
          <w:sz w:val="24"/>
        </w:rPr>
        <w:t xml:space="preserve">3.4.4.1.4 </w:t>
      </w:r>
      <w:r>
        <w:rPr>
          <w:rFonts w:eastAsia="等线" w:ascii="Arial" w:cs="Arial" w:hAnsi="Arial"/>
          <w:b w:val="true"/>
          <w:sz w:val="24"/>
        </w:rPr>
        <w:t>预警来源分类与针对性处理策略</w:t>
      </w:r>
      <w:bookmarkEnd w:id="10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为什么要按来源分类处理？</w:t>
            </w:r>
          </w:p>
          <w:p>
            <w:pPr>
              <w:spacing w:before="120" w:after="120" w:line="288" w:lineRule="auto"/>
              <w:ind w:left="0"/>
              <w:jc w:val="left"/>
            </w:pPr>
            <w:r>
              <w:rPr>
                <w:rFonts w:eastAsia="等线" w:ascii="Arial" w:cs="Arial" w:hAnsi="Arial"/>
                <w:sz w:val="22"/>
              </w:rPr>
              <w:t>不同来源的预警，其</w:t>
            </w:r>
            <w:r>
              <w:rPr>
                <w:rFonts w:eastAsia="等线" w:ascii="Arial" w:cs="Arial" w:hAnsi="Arial"/>
                <w:b w:val="true"/>
                <w:sz w:val="22"/>
              </w:rPr>
              <w:t>风险本质</w:t>
            </w:r>
            <w:r>
              <w:rPr>
                <w:rFonts w:eastAsia="等线" w:ascii="Arial" w:cs="Arial" w:hAnsi="Arial"/>
                <w:sz w:val="22"/>
              </w:rPr>
              <w:t>、</w:t>
            </w:r>
            <w:r>
              <w:rPr>
                <w:rFonts w:eastAsia="等线" w:ascii="Arial" w:cs="Arial" w:hAnsi="Arial"/>
                <w:b w:val="true"/>
                <w:sz w:val="22"/>
              </w:rPr>
              <w:t>紧急程度</w:t>
            </w:r>
            <w:r>
              <w:rPr>
                <w:rFonts w:eastAsia="等线" w:ascii="Arial" w:cs="Arial" w:hAnsi="Arial"/>
                <w:sz w:val="22"/>
              </w:rPr>
              <w:t>和</w:t>
            </w:r>
            <w:r>
              <w:rPr>
                <w:rFonts w:eastAsia="等线" w:ascii="Arial" w:cs="Arial" w:hAnsi="Arial"/>
                <w:b w:val="true"/>
                <w:sz w:val="22"/>
              </w:rPr>
              <w:t>最佳处置方式</w:t>
            </w:r>
            <w:r>
              <w:rPr>
                <w:rFonts w:eastAsia="等线" w:ascii="Arial" w:cs="Arial" w:hAnsi="Arial"/>
                <w:sz w:val="22"/>
              </w:rPr>
              <w:t>存在显著差异：</w:t>
            </w:r>
          </w:p>
          <w:p>
            <w:pPr>
              <w:spacing w:before="120" w:after="120" w:line="288" w:lineRule="auto"/>
              <w:ind w:left="0"/>
              <w:jc w:val="left"/>
            </w:pPr>
            <w:r>
              <w:rPr>
                <w:rFonts w:eastAsia="等线" w:ascii="Arial" w:cs="Arial" w:hAnsi="Arial"/>
                <w:sz w:val="22"/>
              </w:rPr>
              <w:t>见下表</w:t>
            </w:r>
          </w:p>
          <w:p>
            <w:pPr>
              <w:spacing w:before="120" w:after="120" w:line="288" w:lineRule="auto"/>
              <w:ind w:left="0"/>
              <w:jc w:val="left"/>
            </w:pPr>
            <w:r>
              <w:rPr>
                <w:rFonts w:eastAsia="等线" w:ascii="Arial" w:cs="Arial" w:hAnsi="Arial"/>
                <w:b w:val="true"/>
                <w:sz w:val="22"/>
              </w:rPr>
              <w:t>统一处理的弊端</w:t>
            </w:r>
            <w:r>
              <w:rPr>
                <w:rFonts w:eastAsia="等线" w:ascii="Arial" w:cs="Arial" w:hAnsi="Arial"/>
                <w:sz w:val="22"/>
              </w:rPr>
              <w:t>：如果不区分来源，采用统一处理流程，会导致：</w:t>
            </w:r>
          </w:p>
          <w:p>
            <w:pPr>
              <w:numPr>
                <w:numId w:val="605"/>
              </w:numPr>
              <w:spacing w:before="120" w:after="120" w:line="288" w:lineRule="auto"/>
              <w:ind w:left="0"/>
              <w:jc w:val="left"/>
            </w:pPr>
            <w:r>
              <w:rPr>
                <w:rFonts w:eastAsia="等线" w:ascii="Arial" w:cs="Arial" w:hAnsi="Arial"/>
                <w:sz w:val="22"/>
              </w:rPr>
              <w:t>质押物风险被当作客户风险处理，错过补货时机</w:t>
            </w:r>
          </w:p>
          <w:p>
            <w:pPr>
              <w:numPr>
                <w:numId w:val="606"/>
              </w:numPr>
              <w:spacing w:before="120" w:after="120" w:line="288" w:lineRule="auto"/>
              <w:ind w:left="0"/>
              <w:jc w:val="left"/>
            </w:pPr>
            <w:r>
              <w:rPr>
                <w:rFonts w:eastAsia="等线" w:ascii="Arial" w:cs="Arial" w:hAnsi="Arial"/>
                <w:sz w:val="22"/>
              </w:rPr>
              <w:t>核心企业推送的紧急预警被淹没在大量常规预警中</w:t>
            </w:r>
          </w:p>
          <w:p>
            <w:pPr>
              <w:numPr>
                <w:numId w:val="607"/>
              </w:numPr>
              <w:spacing w:before="120" w:after="120" w:line="288" w:lineRule="auto"/>
              <w:ind w:left="0"/>
              <w:jc w:val="left"/>
            </w:pPr>
            <w:r>
              <w:rPr>
                <w:rFonts w:eastAsia="等线" w:ascii="Arial" w:cs="Arial" w:hAnsi="Arial"/>
                <w:sz w:val="22"/>
              </w:rPr>
              <w:t>责任部门不清晰，预警在部门间流转耗时</w:t>
            </w:r>
          </w:p>
        </w:tc>
      </w:tr>
    </w:tbl>
    <w:p>
      <w:pPr>
        <w:spacing w:before="120" w:after="120" w:line="288" w:lineRule="auto"/>
        <w:ind w:left="0"/>
      </w:pPr>
      <w:r>
        <w:object>
          <v:shape id="_x0000_i1073" style="width:414pt;height:182pt;mso-width-percent:0;mso-height-percent:0;mso-width-percent:0;mso-height-percent:0" type="#_x0000_t75" o:ole="">
            <v:imagedata r:id="rId121" o:title=""/>
          </v:shape>
          <o:OLEObject DrawAspect="Icon" ObjectID="_1718471267" ProgID="Excel.Sheet.12" ShapeID="_x0000_i1073" Type="Embed" r:id="rId120"/>
        </w:object>
      </w:r>
    </w:p>
    <w:p>
      <w:pPr>
        <w:spacing w:after="120"/>
        <w:ind w:left="0"/>
        <w:jc w:val="center"/>
      </w:pPr>
      <w:r>
        <w:rPr>
          <w:rFonts w:eastAsia="等线" w:ascii="Arial" w:cs="Arial" w:hAnsi="Arial"/>
          <w:b w:val="true"/>
          <w:sz w:val="22"/>
        </w:rPr>
        <w:t>点击图片可查看完整电子表格</w:t>
      </w:r>
    </w:p>
    <w:p>
      <w:pPr>
        <w:pStyle w:val="6"/>
        <w:spacing w:before="240" w:after="120" w:line="288" w:lineRule="auto"/>
        <w:ind w:left="0"/>
        <w:jc w:val="left"/>
        <w:outlineLvl w:val="5"/>
      </w:pPr>
      <w:bookmarkStart w:name="heading_106" w:id="106"/>
      <w:r>
        <w:rPr>
          <w:rFonts w:eastAsia="等线" w:ascii="Arial" w:cs="Arial" w:hAnsi="Arial"/>
          <w:color w:val="3370ff"/>
          <w:sz w:val="24"/>
        </w:rPr>
        <w:t xml:space="preserve">3.4.4.1.4.1 </w:t>
      </w:r>
      <w:r>
        <w:rPr>
          <w:rFonts w:eastAsia="等线" w:ascii="Arial" w:cs="Arial" w:hAnsi="Arial"/>
          <w:b w:val="true"/>
          <w:sz w:val="24"/>
        </w:rPr>
        <w:t>质押物监控预警</w:t>
      </w:r>
      <w:bookmarkEnd w:id="106"/>
    </w:p>
    <w:p>
      <w:pPr>
        <w:spacing w:before="120" w:after="120" w:line="288" w:lineRule="auto"/>
        <w:ind w:left="0"/>
        <w:jc w:val="left"/>
      </w:pPr>
      <w:r>
        <w:rPr>
          <w:rFonts w:eastAsia="等线" w:ascii="Arial" w:cs="Arial" w:hAnsi="Arial"/>
          <w:b w:val="true"/>
          <w:sz w:val="22"/>
        </w:rPr>
        <w:t>典型预警类型</w:t>
      </w:r>
      <w:r>
        <w:rPr>
          <w:rFonts w:eastAsia="等线" w:ascii="Arial" w:cs="Arial" w:hAnsi="Arial"/>
          <w:sz w:val="22"/>
        </w:rPr>
        <w:t>：价格下跌、质押率超标、盘点差异、货物临期、存储条件异常</w:t>
      </w:r>
    </w:p>
    <w:p>
      <w:pPr>
        <w:spacing w:before="120" w:after="120" w:line="288" w:lineRule="auto"/>
        <w:ind w:left="0"/>
        <w:jc w:val="left"/>
      </w:pPr>
      <w:r>
        <w:rPr>
          <w:rFonts w:eastAsia="等线" w:ascii="Arial" w:cs="Arial" w:hAnsi="Arial"/>
          <w:b w:val="true"/>
          <w:sz w:val="22"/>
        </w:rPr>
        <w:t>处置核心逻辑</w:t>
      </w:r>
      <w:r>
        <w:rPr>
          <w:rFonts w:eastAsia="等线" w:ascii="Arial" w:cs="Arial" w:hAnsi="Arial"/>
          <w:sz w:val="22"/>
        </w:rPr>
        <w:t>：质押物是银行资金安全的根本保障，处置重点是</w:t>
      </w:r>
      <w:r>
        <w:rPr>
          <w:rFonts w:eastAsia="等线" w:ascii="Arial" w:cs="Arial" w:hAnsi="Arial"/>
          <w:b w:val="true"/>
          <w:sz w:val="22"/>
        </w:rPr>
        <w:t>恢复质押率平衡</w:t>
      </w:r>
      <w:r>
        <w:rPr>
          <w:rFonts w:eastAsia="等线" w:ascii="Arial" w:cs="Arial" w:hAnsi="Arial"/>
          <w:sz w:val="22"/>
        </w:rPr>
        <w:t>，确保剩余货值能覆盖融资本金。</w:t>
      </w:r>
    </w:p>
    <w:p>
      <w:pPr>
        <w:spacing w:before="120" w:after="120" w:line="288" w:lineRule="auto"/>
        <w:ind w:left="0"/>
      </w:pPr>
      <w:r>
        <w:object>
          <v:shape id="_x0000_i1074" style="width:414pt;height:197pt;mso-width-percent:0;mso-height-percent:0;mso-width-percent:0;mso-height-percent:0" type="#_x0000_t75" o:ole="">
            <v:imagedata r:id="rId123" o:title=""/>
          </v:shape>
          <o:OLEObject DrawAspect="Icon" ObjectID="_1718471268" ProgID="Excel.Sheet.12" ShapeID="_x0000_i1074" Type="Embed" r:id="rId122"/>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为什么质押率超标要冻结出库？</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出库会进一步降低在库货值，加剧质押率超标程度。在质押率恢复正常之前，必须"止血"，防止风险扩大。</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处置案例</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案例：3C产品价格下跌导致质押率超标</w:t>
                  </w:r>
                </w:p>
                <w:p>
                  <w:pPr>
                    <w:spacing w:before="120" w:after="120" w:line="288" w:lineRule="auto"/>
                    <w:ind w:left="0"/>
                    <w:jc w:val="left"/>
                  </w:pPr>
                  <w:r>
                    <w:rPr>
                      <w:rFonts w:eastAsia="等线" w:ascii="Arial" w:cs="Arial" w:hAnsi="Arial"/>
                      <w:b w:val="true"/>
                      <w:color w:val="646a73"/>
                      <w:sz w:val="22"/>
                    </w:rPr>
                    <w:t>背景</w:t>
                  </w:r>
                  <w:r>
                    <w:rPr>
                      <w:rFonts w:eastAsia="等线" w:ascii="Arial" w:cs="Arial" w:hAnsi="Arial"/>
                      <w:color w:val="646a73"/>
                      <w:sz w:val="22"/>
                    </w:rPr>
                    <w:t>：客户张三质押iPhone 15 Pro 200台，货值80万，融资52万，质押率65%。</w:t>
                  </w:r>
                </w:p>
                <w:p>
                  <w:pPr>
                    <w:spacing w:before="120" w:after="120" w:line="288" w:lineRule="auto"/>
                    <w:ind w:left="0"/>
                    <w:jc w:val="left"/>
                  </w:pPr>
                  <w:r>
                    <w:rPr>
                      <w:rFonts w:eastAsia="等线" w:ascii="Arial" w:cs="Arial" w:hAnsi="Arial"/>
                      <w:b w:val="true"/>
                      <w:color w:val="646a73"/>
                      <w:sz w:val="22"/>
                    </w:rPr>
                    <w:t>预警触发</w:t>
                  </w:r>
                  <w:r>
                    <w:rPr>
                      <w:rFonts w:eastAsia="等线" w:ascii="Arial" w:cs="Arial" w:hAnsi="Arial"/>
                      <w:color w:val="646a73"/>
                      <w:sz w:val="22"/>
                    </w:rPr>
                    <w:t>：iPhone 16发布后，iPhone 15 Pro价格从4000元跌至3400元（-15%），货值降至68万，质押率升至76%，超过3C品类上限70%。</w:t>
                  </w:r>
                </w:p>
                <w:p>
                  <w:pPr>
                    <w:spacing w:before="120" w:after="120" w:line="288" w:lineRule="auto"/>
                    <w:ind w:left="0"/>
                    <w:jc w:val="left"/>
                  </w:pPr>
                  <w:r>
                    <w:rPr>
                      <w:rFonts w:eastAsia="等线" w:ascii="Arial" w:cs="Arial" w:hAnsi="Arial"/>
                      <w:b w:val="true"/>
                      <w:color w:val="646a73"/>
                      <w:sz w:val="22"/>
                    </w:rPr>
                    <w:t>系统响应</w:t>
                  </w:r>
                  <w:r>
                    <w:rPr>
                      <w:rFonts w:eastAsia="等线" w:ascii="Arial" w:cs="Arial" w:hAnsi="Arial"/>
                      <w:color w:val="646a73"/>
                      <w:sz w:val="22"/>
                    </w:rPr>
                    <w:t>：</w:t>
                  </w:r>
                </w:p>
                <w:p>
                  <w:pPr>
                    <w:numPr>
                      <w:numId w:val="608"/>
                    </w:numPr>
                    <w:spacing w:before="120" w:after="120" w:line="288" w:lineRule="auto"/>
                    <w:ind w:left="453"/>
                    <w:jc w:val="left"/>
                  </w:pPr>
                  <w:r>
                    <w:rPr>
                      <w:rFonts w:eastAsia="等线" w:ascii="Arial" w:cs="Arial" w:hAnsi="Arial"/>
                      <w:color w:val="646a73"/>
                      <w:sz w:val="22"/>
                    </w:rPr>
                    <w:t>10:00 系统检测到质押率超标（相对质押率109%），生成红色预警</w:t>
                  </w:r>
                </w:p>
                <w:p>
                  <w:pPr>
                    <w:numPr>
                      <w:numId w:val="609"/>
                    </w:numPr>
                    <w:spacing w:before="120" w:after="120" w:line="288" w:lineRule="auto"/>
                    <w:ind w:left="453"/>
                    <w:jc w:val="left"/>
                  </w:pPr>
                  <w:r>
                    <w:rPr>
                      <w:rFonts w:eastAsia="等线" w:ascii="Arial" w:cs="Arial" w:hAnsi="Arial"/>
                      <w:color w:val="646a73"/>
                      <w:sz w:val="22"/>
                    </w:rPr>
                    <w:t>10:02 自动冻结该客户新增融资和出库权限</w:t>
                  </w:r>
                </w:p>
                <w:p>
                  <w:pPr>
                    <w:numPr>
                      <w:numId w:val="610"/>
                    </w:numPr>
                    <w:spacing w:before="120" w:after="120" w:line="288" w:lineRule="auto"/>
                    <w:ind w:left="453"/>
                    <w:jc w:val="left"/>
                  </w:pPr>
                  <w:r>
                    <w:rPr>
                      <w:rFonts w:eastAsia="等线" w:ascii="Arial" w:cs="Arial" w:hAnsi="Arial"/>
                      <w:color w:val="646a73"/>
                      <w:sz w:val="22"/>
                    </w:rPr>
                    <w:t>10:05 系统发送短信+邮件通知客户，告知需在3个工作日内补充质押物12万或还款8万</w:t>
                  </w:r>
                </w:p>
                <w:p>
                  <w:pPr>
                    <w:numPr>
                      <w:numId w:val="611"/>
                    </w:numPr>
                    <w:spacing w:before="120" w:after="120" w:line="288" w:lineRule="auto"/>
                    <w:ind w:left="453"/>
                    <w:jc w:val="left"/>
                  </w:pPr>
                  <w:r>
                    <w:rPr>
                      <w:rFonts w:eastAsia="等线" w:ascii="Arial" w:cs="Arial" w:hAnsi="Arial"/>
                      <w:color w:val="646a73"/>
                      <w:sz w:val="22"/>
                    </w:rPr>
                    <w:t>10:30 货权监控专员电话联系客户确认收到通知</w:t>
                  </w:r>
                </w:p>
                <w:p>
                  <w:pPr>
                    <w:spacing w:before="120" w:after="120" w:line="288" w:lineRule="auto"/>
                    <w:ind w:left="0"/>
                    <w:jc w:val="left"/>
                  </w:pPr>
                  <w:r>
                    <w:rPr>
                      <w:rFonts w:eastAsia="等线" w:ascii="Arial" w:cs="Arial" w:hAnsi="Arial"/>
                      <w:b w:val="true"/>
                      <w:color w:val="646a73"/>
                      <w:sz w:val="22"/>
                    </w:rPr>
                    <w:t>客户响应</w:t>
                  </w:r>
                  <w:r>
                    <w:rPr>
                      <w:rFonts w:eastAsia="等线" w:ascii="Arial" w:cs="Arial" w:hAnsi="Arial"/>
                      <w:color w:val="646a73"/>
                      <w:sz w:val="22"/>
                    </w:rPr>
                    <w:t>：客户选择补充12万货值的其他型号手机</w:t>
                  </w:r>
                </w:p>
                <w:p>
                  <w:pPr>
                    <w:spacing w:before="120" w:after="120" w:line="288" w:lineRule="auto"/>
                    <w:ind w:left="0"/>
                    <w:jc w:val="left"/>
                  </w:pPr>
                  <w:r>
                    <w:rPr>
                      <w:rFonts w:eastAsia="等线" w:ascii="Arial" w:cs="Arial" w:hAnsi="Arial"/>
                      <w:b w:val="true"/>
                      <w:color w:val="646a73"/>
                      <w:sz w:val="22"/>
                    </w:rPr>
                    <w:t>结果</w:t>
                  </w:r>
                  <w:r>
                    <w:rPr>
                      <w:rFonts w:eastAsia="等线" w:ascii="Arial" w:cs="Arial" w:hAnsi="Arial"/>
                      <w:color w:val="646a73"/>
                      <w:sz w:val="22"/>
                    </w:rPr>
                    <w:t>：补货后总货值80万，质押率恢复至65%，解除冻结，业务正常继续</w:t>
                  </w:r>
                </w:p>
                <w:p>
                  <w:pPr>
                    <w:spacing w:before="120" w:after="120" w:line="288" w:lineRule="auto"/>
                    <w:ind w:left="0"/>
                    <w:jc w:val="left"/>
                  </w:pPr>
                  <w:r>
                    <w:rPr>
                      <w:rFonts w:eastAsia="等线" w:ascii="Arial" w:cs="Arial" w:hAnsi="Arial"/>
                      <w:b w:val="true"/>
                      <w:color w:val="646a73"/>
                      <w:sz w:val="22"/>
                    </w:rPr>
                    <w:t>价值</w:t>
                  </w:r>
                  <w:r>
                    <w:rPr>
                      <w:rFonts w:eastAsia="等线" w:ascii="Arial" w:cs="Arial" w:hAnsi="Arial"/>
                      <w:color w:val="646a73"/>
                      <w:sz w:val="22"/>
                    </w:rPr>
                    <w:t>：及时预警+快速冻结，避免了客户在质押率超标期间继续出库导致风险扩大</w:t>
                  </w:r>
                </w:p>
              </w:tc>
            </w:tr>
          </w:tbl>
          <w:p>
            <w:pPr>
              <w:jc w:val="left"/>
            </w:pPr>
          </w:p>
        </w:tc>
      </w:tr>
    </w:tbl>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107" w:id="107"/>
      <w:r>
        <w:rPr>
          <w:rFonts w:eastAsia="等线" w:ascii="Arial" w:cs="Arial" w:hAnsi="Arial"/>
          <w:color w:val="3370ff"/>
          <w:sz w:val="24"/>
        </w:rPr>
        <w:t xml:space="preserve">3.4.4.1.4.2 </w:t>
      </w:r>
      <w:r>
        <w:rPr>
          <w:rFonts w:eastAsia="等线" w:ascii="Arial" w:cs="Arial" w:hAnsi="Arial"/>
          <w:b w:val="true"/>
          <w:sz w:val="24"/>
        </w:rPr>
        <w:t>客户监控预警</w:t>
      </w:r>
      <w:bookmarkEnd w:id="107"/>
    </w:p>
    <w:p>
      <w:pPr>
        <w:spacing w:before="120" w:after="120" w:line="288" w:lineRule="auto"/>
        <w:ind w:left="0"/>
        <w:jc w:val="left"/>
      </w:pPr>
      <w:r>
        <w:rPr>
          <w:rFonts w:eastAsia="等线" w:ascii="Arial" w:cs="Arial" w:hAnsi="Arial"/>
          <w:b w:val="true"/>
          <w:sz w:val="22"/>
        </w:rPr>
        <w:t>典型预警类型</w:t>
      </w:r>
      <w:r>
        <w:rPr>
          <w:rFonts w:eastAsia="等线" w:ascii="Arial" w:cs="Arial" w:hAnsi="Arial"/>
          <w:sz w:val="22"/>
        </w:rPr>
        <w:t>：证照到期、信用评级下降、涉诉信息、经营异常、黑名单命中</w:t>
      </w:r>
    </w:p>
    <w:p>
      <w:pPr>
        <w:spacing w:before="120" w:after="120" w:line="288" w:lineRule="auto"/>
        <w:ind w:left="0"/>
        <w:jc w:val="left"/>
      </w:pPr>
      <w:r>
        <w:rPr>
          <w:rFonts w:eastAsia="等线" w:ascii="Arial" w:cs="Arial" w:hAnsi="Arial"/>
          <w:b w:val="true"/>
          <w:sz w:val="22"/>
        </w:rPr>
        <w:t>处置核心逻辑</w:t>
      </w:r>
      <w:r>
        <w:rPr>
          <w:rFonts w:eastAsia="等线" w:ascii="Arial" w:cs="Arial" w:hAnsi="Arial"/>
          <w:sz w:val="22"/>
        </w:rPr>
        <w:t>：客户资质是融资业务的前提条件，处置重点是</w:t>
      </w:r>
      <w:r>
        <w:rPr>
          <w:rFonts w:eastAsia="等线" w:ascii="Arial" w:cs="Arial" w:hAnsi="Arial"/>
          <w:b w:val="true"/>
          <w:sz w:val="22"/>
        </w:rPr>
        <w:t>确保合规性</w:t>
      </w:r>
      <w:r>
        <w:rPr>
          <w:rFonts w:eastAsia="等线" w:ascii="Arial" w:cs="Arial" w:hAnsi="Arial"/>
          <w:sz w:val="22"/>
        </w:rPr>
        <w:t>，评估客户是否仍具备融资资格。</w:t>
      </w:r>
    </w:p>
    <w:p>
      <w:pPr>
        <w:spacing w:before="120" w:after="120" w:line="288" w:lineRule="auto"/>
        <w:ind w:left="453"/>
      </w:pPr>
      <w:r>
        <w:object>
          <v:shape id="_x0000_i1075" style="width:414pt;height:197pt;mso-width-percent:0;mso-height-percent:0;mso-width-percent:0;mso-height-percent:0" type="#_x0000_t75" o:ole="">
            <v:imagedata r:id="rId125" o:title=""/>
          </v:shape>
          <o:OLEObject DrawAspect="Icon" ObjectID="_1718471269" ProgID="Excel.Sheet.12" ShapeID="_x0000_i1075" Type="Embed" r:id="rId124"/>
        </w:object>
      </w:r>
    </w:p>
    <w:p>
      <w:pPr>
        <w:spacing w:after="120"/>
        <w:ind w:left="453"/>
        <w:jc w:val="center"/>
      </w:pPr>
      <w:r>
        <w:rPr>
          <w:rFonts w:eastAsia="等线" w:ascii="Arial" w:cs="Arial" w:hAnsi="Arial"/>
          <w:b w:val="true"/>
          <w:sz w:val="22"/>
        </w:rPr>
        <w:t>点击图片可查看完整电子表格</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为什么证照过期必须立即冻结？</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证照过期意味着客户法律主体资格存疑，继续融资存在合规风险。即使客户经营正常，也必须在证照更新后才能恢复业务，这是监管合规的底线要求。</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处置案例</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案例：客户涉诉预警处理</w:t>
                  </w:r>
                </w:p>
                <w:p>
                  <w:pPr>
                    <w:spacing w:before="120" w:after="120" w:line="288" w:lineRule="auto"/>
                    <w:ind w:left="0"/>
                    <w:jc w:val="left"/>
                  </w:pPr>
                  <w:r>
                    <w:rPr>
                      <w:rFonts w:eastAsia="等线" w:ascii="Arial" w:cs="Arial" w:hAnsi="Arial"/>
                      <w:b w:val="true"/>
                      <w:color w:val="646a73"/>
                      <w:sz w:val="22"/>
                    </w:rPr>
                    <w:t>背景</w:t>
                  </w:r>
                  <w:r>
                    <w:rPr>
                      <w:rFonts w:eastAsia="等线" w:ascii="Arial" w:cs="Arial" w:hAnsi="Arial"/>
                      <w:color w:val="646a73"/>
                      <w:sz w:val="22"/>
                    </w:rPr>
                    <w:t>：客户李四，A级客户，授信100万，当前在途融资60万。</w:t>
                  </w:r>
                </w:p>
                <w:p>
                  <w:pPr>
                    <w:spacing w:before="120" w:after="120" w:line="288" w:lineRule="auto"/>
                    <w:ind w:left="0"/>
                    <w:jc w:val="left"/>
                  </w:pPr>
                  <w:r>
                    <w:rPr>
                      <w:rFonts w:eastAsia="等线" w:ascii="Arial" w:cs="Arial" w:hAnsi="Arial"/>
                      <w:b w:val="true"/>
                      <w:color w:val="646a73"/>
                      <w:sz w:val="22"/>
                    </w:rPr>
                    <w:t>预警触发</w:t>
                  </w:r>
                  <w:r>
                    <w:rPr>
                      <w:rFonts w:eastAsia="等线" w:ascii="Arial" w:cs="Arial" w:hAnsi="Arial"/>
                      <w:color w:val="646a73"/>
                      <w:sz w:val="22"/>
                    </w:rPr>
                    <w:t>：征信系统监测到李四公司新增一笔买卖合同纠纷诉讼，涉诉金额85万。</w:t>
                  </w:r>
                </w:p>
                <w:p>
                  <w:pPr>
                    <w:spacing w:before="120" w:after="120" w:line="288" w:lineRule="auto"/>
                    <w:ind w:left="0"/>
                    <w:jc w:val="left"/>
                  </w:pPr>
                  <w:r>
                    <w:rPr>
                      <w:rFonts w:eastAsia="等线" w:ascii="Arial" w:cs="Arial" w:hAnsi="Arial"/>
                      <w:b w:val="true"/>
                      <w:color w:val="646a73"/>
                      <w:sz w:val="22"/>
                    </w:rPr>
                    <w:t>系统响应</w:t>
                  </w:r>
                  <w:r>
                    <w:rPr>
                      <w:rFonts w:eastAsia="等线" w:ascii="Arial" w:cs="Arial" w:hAnsi="Arial"/>
                      <w:color w:val="646a73"/>
                      <w:sz w:val="22"/>
                    </w:rPr>
                    <w:t>：</w:t>
                  </w:r>
                </w:p>
                <w:p>
                  <w:pPr>
                    <w:numPr>
                      <w:numId w:val="612"/>
                    </w:numPr>
                    <w:spacing w:before="120" w:after="120" w:line="288" w:lineRule="auto"/>
                    <w:ind w:left="453"/>
                    <w:jc w:val="left"/>
                  </w:pPr>
                  <w:r>
                    <w:rPr>
                      <w:rFonts w:eastAsia="等线" w:ascii="Arial" w:cs="Arial" w:hAnsi="Arial"/>
                      <w:color w:val="646a73"/>
                      <w:sz w:val="22"/>
                    </w:rPr>
                    <w:t>系统生成红色预警"客户涉诉"，自动冻结新增融资</w:t>
                  </w:r>
                </w:p>
                <w:p>
                  <w:pPr>
                    <w:numPr>
                      <w:numId w:val="613"/>
                    </w:numPr>
                    <w:spacing w:before="120" w:after="120" w:line="288" w:lineRule="auto"/>
                    <w:ind w:left="453"/>
                    <w:jc w:val="left"/>
                  </w:pPr>
                  <w:r>
                    <w:rPr>
                      <w:rFonts w:eastAsia="等线" w:ascii="Arial" w:cs="Arial" w:hAnsi="Arial"/>
                      <w:color w:val="646a73"/>
                      <w:sz w:val="22"/>
                    </w:rPr>
                    <w:t>推送给风控专员和客户经理</w:t>
                  </w:r>
                </w:p>
                <w:p>
                  <w:pPr>
                    <w:spacing w:before="120" w:after="120" w:line="288" w:lineRule="auto"/>
                    <w:ind w:left="0"/>
                    <w:jc w:val="left"/>
                  </w:pPr>
                  <w:r>
                    <w:rPr>
                      <w:rFonts w:eastAsia="等线" w:ascii="Arial" w:cs="Arial" w:hAnsi="Arial"/>
                      <w:b w:val="true"/>
                      <w:color w:val="646a73"/>
                      <w:sz w:val="22"/>
                    </w:rPr>
                    <w:t>处置过程</w:t>
                  </w:r>
                  <w:r>
                    <w:rPr>
                      <w:rFonts w:eastAsia="等线" w:ascii="Arial" w:cs="Arial" w:hAnsi="Arial"/>
                      <w:color w:val="646a73"/>
                      <w:sz w:val="22"/>
                    </w:rPr>
                    <w:t>：</w:t>
                  </w:r>
                </w:p>
                <w:p>
                  <w:pPr>
                    <w:numPr>
                      <w:numId w:val="614"/>
                    </w:numPr>
                    <w:spacing w:before="120" w:after="120" w:line="288" w:lineRule="auto"/>
                    <w:ind w:left="453"/>
                    <w:jc w:val="left"/>
                  </w:pPr>
                  <w:r>
                    <w:rPr>
                      <w:rFonts w:eastAsia="等线" w:ascii="Arial" w:cs="Arial" w:hAnsi="Arial"/>
                      <w:color w:val="646a73"/>
                      <w:sz w:val="22"/>
                    </w:rPr>
                    <w:t>风控专员2小时内联系客户了解情况：客户与某供应商存在货款争议，已进入诉讼程序</w:t>
                  </w:r>
                </w:p>
                <w:p>
                  <w:pPr>
                    <w:numPr>
                      <w:numId w:val="615"/>
                    </w:numPr>
                    <w:spacing w:before="120" w:after="120" w:line="288" w:lineRule="auto"/>
                    <w:ind w:left="453"/>
                    <w:jc w:val="left"/>
                  </w:pPr>
                  <w:r>
                    <w:rPr>
                      <w:rFonts w:eastAsia="等线" w:ascii="Arial" w:cs="Arial" w:hAnsi="Arial"/>
                      <w:color w:val="646a73"/>
                      <w:sz w:val="22"/>
                    </w:rPr>
                    <w:t>评估：涉诉金额85万，占客户年营收的15%，存在一定偿债压力</w:t>
                  </w:r>
                </w:p>
                <w:p>
                  <w:pPr>
                    <w:numPr>
                      <w:numId w:val="616"/>
                    </w:numPr>
                    <w:spacing w:before="120" w:after="120" w:line="288" w:lineRule="auto"/>
                    <w:ind w:left="453"/>
                    <w:jc w:val="left"/>
                  </w:pPr>
                  <w:r>
                    <w:rPr>
                      <w:rFonts w:eastAsia="等线" w:ascii="Arial" w:cs="Arial" w:hAnsi="Arial"/>
                      <w:color w:val="646a73"/>
                      <w:sz w:val="22"/>
                    </w:rPr>
                    <w:t>决策：维持冻结新增融资，现有60万在途业务正常管理，但加强还款监控（到期前7天提醒改为到期前14天）</w:t>
                  </w:r>
                </w:p>
                <w:p>
                  <w:pPr>
                    <w:numPr>
                      <w:numId w:val="617"/>
                    </w:numPr>
                    <w:spacing w:before="120" w:after="120" w:line="288" w:lineRule="auto"/>
                    <w:ind w:left="453"/>
                    <w:jc w:val="left"/>
                  </w:pPr>
                  <w:r>
                    <w:rPr>
                      <w:rFonts w:eastAsia="等线" w:ascii="Arial" w:cs="Arial" w:hAnsi="Arial"/>
                      <w:color w:val="646a73"/>
                      <w:sz w:val="22"/>
                    </w:rPr>
                    <w:t>持续跟踪：每月跟进诉讼进展，直至结案</w:t>
                  </w:r>
                </w:p>
                <w:p>
                  <w:pPr>
                    <w:spacing w:before="120" w:after="120" w:line="288" w:lineRule="auto"/>
                    <w:ind w:left="0"/>
                    <w:jc w:val="left"/>
                  </w:pPr>
                  <w:r>
                    <w:rPr>
                      <w:rFonts w:eastAsia="等线" w:ascii="Arial" w:cs="Arial" w:hAnsi="Arial"/>
                      <w:b w:val="true"/>
                      <w:color w:val="646a73"/>
                      <w:sz w:val="22"/>
                    </w:rPr>
                    <w:t>结果</w:t>
                  </w:r>
                  <w:r>
                    <w:rPr>
                      <w:rFonts w:eastAsia="等线" w:ascii="Arial" w:cs="Arial" w:hAnsi="Arial"/>
                      <w:color w:val="646a73"/>
                      <w:sz w:val="22"/>
                    </w:rPr>
                    <w:t>：3个月后诉讼和解，客户正常还款，恢复融资资格</w:t>
                  </w:r>
                </w:p>
                <w:p>
                  <w:pPr>
                    <w:spacing w:before="120" w:after="120" w:line="288" w:lineRule="auto"/>
                    <w:ind w:left="0"/>
                    <w:jc w:val="left"/>
                  </w:pPr>
                  <w:r>
                    <w:rPr>
                      <w:rFonts w:eastAsia="等线" w:ascii="Arial" w:cs="Arial" w:hAnsi="Arial"/>
                      <w:b w:val="true"/>
                      <w:color w:val="646a73"/>
                      <w:sz w:val="22"/>
                    </w:rPr>
                    <w:t>价值</w:t>
                  </w:r>
                  <w:r>
                    <w:rPr>
                      <w:rFonts w:eastAsia="等线" w:ascii="Arial" w:cs="Arial" w:hAnsi="Arial"/>
                      <w:color w:val="646a73"/>
                      <w:sz w:val="22"/>
                    </w:rPr>
                    <w:t>：及时发现诉讼风险，通过冻结新增+加强监控，在不损害客户关系的前提下控制了风险敞口</w:t>
                  </w:r>
                </w:p>
              </w:tc>
            </w:tr>
          </w:tbl>
          <w:p>
            <w:pPr>
              <w:jc w:val="left"/>
            </w:pPr>
          </w:p>
        </w:tc>
      </w:tr>
    </w:tbl>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108" w:id="108"/>
      <w:r>
        <w:rPr>
          <w:rFonts w:eastAsia="等线" w:ascii="Arial" w:cs="Arial" w:hAnsi="Arial"/>
          <w:color w:val="3370ff"/>
          <w:sz w:val="24"/>
        </w:rPr>
        <w:t xml:space="preserve">3.4.4.1.4.3 </w:t>
      </w:r>
      <w:r>
        <w:rPr>
          <w:rFonts w:eastAsia="等线" w:ascii="Arial" w:cs="Arial" w:hAnsi="Arial"/>
          <w:b w:val="true"/>
          <w:sz w:val="24"/>
        </w:rPr>
        <w:t>业务监控预警</w:t>
      </w:r>
      <w:bookmarkEnd w:id="108"/>
    </w:p>
    <w:p>
      <w:pPr>
        <w:spacing w:before="120" w:after="120" w:line="288" w:lineRule="auto"/>
        <w:ind w:left="0"/>
        <w:jc w:val="left"/>
      </w:pPr>
      <w:r>
        <w:rPr>
          <w:rFonts w:eastAsia="等线" w:ascii="Arial" w:cs="Arial" w:hAnsi="Arial"/>
          <w:b w:val="true"/>
          <w:sz w:val="22"/>
        </w:rPr>
        <w:t>典型预警类型</w:t>
      </w:r>
      <w:r>
        <w:rPr>
          <w:rFonts w:eastAsia="等线" w:ascii="Arial" w:cs="Arial" w:hAnsi="Arial"/>
          <w:sz w:val="22"/>
        </w:rPr>
        <w:t>：还款逾期、还款预警、审批超时、额度预警</w:t>
      </w:r>
    </w:p>
    <w:p>
      <w:pPr>
        <w:spacing w:before="120" w:after="120" w:line="288" w:lineRule="auto"/>
        <w:ind w:left="0"/>
        <w:jc w:val="left"/>
      </w:pPr>
      <w:r>
        <w:rPr>
          <w:rFonts w:eastAsia="等线" w:ascii="Arial" w:cs="Arial" w:hAnsi="Arial"/>
          <w:b w:val="true"/>
          <w:sz w:val="22"/>
        </w:rPr>
        <w:t>处置核心逻辑</w:t>
      </w:r>
      <w:r>
        <w:rPr>
          <w:rFonts w:eastAsia="等线" w:ascii="Arial" w:cs="Arial" w:hAnsi="Arial"/>
          <w:sz w:val="22"/>
        </w:rPr>
        <w:t>：业务风险的核心是</w:t>
      </w:r>
      <w:r>
        <w:rPr>
          <w:rFonts w:eastAsia="等线" w:ascii="Arial" w:cs="Arial" w:hAnsi="Arial"/>
          <w:b w:val="true"/>
          <w:sz w:val="22"/>
        </w:rPr>
        <w:t>资金能否按时回收</w:t>
      </w:r>
      <w:r>
        <w:rPr>
          <w:rFonts w:eastAsia="等线" w:ascii="Arial" w:cs="Arial" w:hAnsi="Arial"/>
          <w:sz w:val="22"/>
        </w:rPr>
        <w:t>，处置重点是催收回款、控制损失。</w:t>
      </w:r>
    </w:p>
    <w:p>
      <w:pPr>
        <w:spacing w:before="120" w:after="120" w:line="288" w:lineRule="auto"/>
        <w:ind w:left="0"/>
      </w:pPr>
      <w:r>
        <w:object>
          <v:shape id="_x0000_i1076" style="width:414pt;height:197pt;mso-width-percent:0;mso-height-percent:0;mso-width-percent:0;mso-height-percent:0" type="#_x0000_t75" o:ole="">
            <v:imagedata r:id="rId127" o:title=""/>
          </v:shape>
          <o:OLEObject DrawAspect="Icon" ObjectID="_1718471270" ProgID="Excel.Sheet.12" ShapeID="_x0000_i1076" Type="Embed" r:id="rId126"/>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为什么逾期要分M0-M3阶段处理？</w:t>
            </w:r>
          </w:p>
          <w:p>
            <w:pPr>
              <w:spacing w:before="120" w:after="120" w:line="288" w:lineRule="auto"/>
              <w:ind w:left="453"/>
              <w:jc w:val="left"/>
            </w:pPr>
            <w:r>
              <w:rPr>
                <w:rFonts w:eastAsia="等线" w:ascii="Arial" w:cs="Arial" w:hAnsi="Arial"/>
                <w:sz w:val="22"/>
              </w:rPr>
              <w:t>不同逾期阶段，客户的还款意愿和还款能力不同，需要匹配不同强度的催收措施：</w:t>
            </w:r>
          </w:p>
          <w:p>
            <w:pPr>
              <w:numPr>
                <w:numId w:val="618"/>
              </w:numPr>
              <w:spacing w:before="120" w:after="120" w:line="288" w:lineRule="auto"/>
              <w:ind w:left="453"/>
              <w:jc w:val="left"/>
            </w:pPr>
            <w:r>
              <w:rPr>
                <w:rFonts w:eastAsia="等线" w:ascii="Arial" w:cs="Arial" w:hAnsi="Arial"/>
                <w:sz w:val="22"/>
              </w:rPr>
              <w:t>M0（1-3天）：多为遗忘或资金调度问题，自动提醒即可解决80%以上</w:t>
            </w:r>
          </w:p>
          <w:p>
            <w:pPr>
              <w:numPr>
                <w:numId w:val="619"/>
              </w:numPr>
              <w:spacing w:before="120" w:after="120" w:line="288" w:lineRule="auto"/>
              <w:ind w:left="453"/>
              <w:jc w:val="left"/>
            </w:pPr>
            <w:r>
              <w:rPr>
                <w:rFonts w:eastAsia="等线" w:ascii="Arial" w:cs="Arial" w:hAnsi="Arial"/>
                <w:sz w:val="22"/>
              </w:rPr>
              <w:t>M1（4-15天）：需人工介入了解原因，客户通常仍有还款意愿</w:t>
            </w:r>
          </w:p>
          <w:p>
            <w:pPr>
              <w:numPr>
                <w:numId w:val="620"/>
              </w:numPr>
              <w:spacing w:before="120" w:after="120" w:line="288" w:lineRule="auto"/>
              <w:ind w:left="453"/>
              <w:jc w:val="left"/>
            </w:pPr>
            <w:r>
              <w:rPr>
                <w:rFonts w:eastAsia="等线" w:ascii="Arial" w:cs="Arial" w:hAnsi="Arial"/>
                <w:sz w:val="22"/>
              </w:rPr>
              <w:t>M2（16-30天）：还款意愿明显下降，需施压+核心企业协同</w:t>
            </w:r>
          </w:p>
          <w:p>
            <w:pPr>
              <w:numPr>
                <w:numId w:val="621"/>
              </w:numPr>
              <w:spacing w:before="120" w:after="120" w:line="288" w:lineRule="auto"/>
              <w:ind w:left="453"/>
              <w:jc w:val="left"/>
            </w:pPr>
            <w:r>
              <w:rPr>
                <w:rFonts w:eastAsia="等线" w:ascii="Arial" w:cs="Arial" w:hAnsi="Arial"/>
                <w:sz w:val="22"/>
              </w:rPr>
              <w:t>M3（31天以上）：大概率需要强制手段（法律/处置）才能回款</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处置案例</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案例：M1逾期通过核心企业协同成功催收</w:t>
                  </w:r>
                </w:p>
                <w:p>
                  <w:pPr>
                    <w:spacing w:before="120" w:after="120" w:line="288" w:lineRule="auto"/>
                    <w:ind w:left="0"/>
                    <w:jc w:val="left"/>
                  </w:pPr>
                  <w:r>
                    <w:rPr>
                      <w:rFonts w:eastAsia="等线" w:ascii="Arial" w:cs="Arial" w:hAnsi="Arial"/>
                      <w:b w:val="true"/>
                      <w:color w:val="646a73"/>
                      <w:sz w:val="22"/>
                    </w:rPr>
                    <w:t>背景</w:t>
                  </w:r>
                  <w:r>
                    <w:rPr>
                      <w:rFonts w:eastAsia="等线" w:ascii="Arial" w:cs="Arial" w:hAnsi="Arial"/>
                      <w:color w:val="646a73"/>
                      <w:sz w:val="22"/>
                    </w:rPr>
                    <w:t>：客户王五，B级客户，融资30万，逾期第12天，电话催收3次均承诺还款但未兑现。</w:t>
                  </w:r>
                </w:p>
                <w:p>
                  <w:pPr>
                    <w:spacing w:before="120" w:after="120" w:line="288" w:lineRule="auto"/>
                    <w:ind w:left="0"/>
                    <w:jc w:val="left"/>
                  </w:pPr>
                  <w:r>
                    <w:rPr>
                      <w:rFonts w:eastAsia="等线" w:ascii="Arial" w:cs="Arial" w:hAnsi="Arial"/>
                      <w:b w:val="true"/>
                      <w:color w:val="646a73"/>
                      <w:sz w:val="22"/>
                    </w:rPr>
                    <w:t>判断</w:t>
                  </w:r>
                  <w:r>
                    <w:rPr>
                      <w:rFonts w:eastAsia="等线" w:ascii="Arial" w:cs="Arial" w:hAnsi="Arial"/>
                      <w:color w:val="646a73"/>
                      <w:sz w:val="22"/>
                    </w:rPr>
                    <w:t>：客户可能存在资金周转困难，但仍在正常经营（核心企业确认仍有供货）</w:t>
                  </w:r>
                </w:p>
                <w:p>
                  <w:pPr>
                    <w:spacing w:before="120" w:after="120" w:line="288" w:lineRule="auto"/>
                    <w:ind w:left="0"/>
                    <w:jc w:val="left"/>
                  </w:pPr>
                  <w:r>
                    <w:rPr>
                      <w:rFonts w:eastAsia="等线" w:ascii="Arial" w:cs="Arial" w:hAnsi="Arial"/>
                      <w:b w:val="true"/>
                      <w:color w:val="646a73"/>
                      <w:sz w:val="22"/>
                    </w:rPr>
                    <w:t>启动核心企业协同</w:t>
                  </w:r>
                  <w:r>
                    <w:rPr>
                      <w:rFonts w:eastAsia="等线" w:ascii="Arial" w:cs="Arial" w:hAnsi="Arial"/>
                      <w:color w:val="646a73"/>
                      <w:sz w:val="22"/>
                    </w:rPr>
                    <w:t>：</w:t>
                  </w:r>
                </w:p>
                <w:p>
                  <w:pPr>
                    <w:numPr>
                      <w:numId w:val="622"/>
                    </w:numPr>
                    <w:spacing w:before="120" w:after="120" w:line="288" w:lineRule="auto"/>
                    <w:ind w:left="0"/>
                    <w:jc w:val="left"/>
                  </w:pPr>
                  <w:r>
                    <w:rPr>
                      <w:rFonts w:eastAsia="等线" w:ascii="Arial" w:cs="Arial" w:hAnsi="Arial"/>
                      <w:color w:val="646a73"/>
                      <w:sz w:val="22"/>
                    </w:rPr>
                    <w:t>系统自动推送协同催收请求给核心企业</w:t>
                  </w:r>
                </w:p>
                <w:p>
                  <w:pPr>
                    <w:numPr>
                      <w:numId w:val="623"/>
                    </w:numPr>
                    <w:spacing w:before="120" w:after="120" w:line="288" w:lineRule="auto"/>
                    <w:ind w:left="0"/>
                    <w:jc w:val="left"/>
                  </w:pPr>
                  <w:r>
                    <w:rPr>
                      <w:rFonts w:eastAsia="等线" w:ascii="Arial" w:cs="Arial" w:hAnsi="Arial"/>
                      <w:color w:val="646a73"/>
                      <w:sz w:val="22"/>
                    </w:rPr>
                    <w:t>核心企业采取措施：暂停向该经销商发货，告知"还清融资后恢复供货"</w:t>
                  </w:r>
                </w:p>
                <w:p>
                  <w:pPr>
                    <w:spacing w:before="120" w:after="120" w:line="288" w:lineRule="auto"/>
                    <w:ind w:left="0"/>
                    <w:jc w:val="left"/>
                  </w:pPr>
                  <w:r>
                    <w:rPr>
                      <w:rFonts w:eastAsia="等线" w:ascii="Arial" w:cs="Arial" w:hAnsi="Arial"/>
                      <w:b w:val="true"/>
                      <w:color w:val="646a73"/>
                      <w:sz w:val="22"/>
                    </w:rPr>
                    <w:t>客户响应</w:t>
                  </w:r>
                  <w:r>
                    <w:rPr>
                      <w:rFonts w:eastAsia="等线" w:ascii="Arial" w:cs="Arial" w:hAnsi="Arial"/>
                      <w:color w:val="646a73"/>
                      <w:sz w:val="22"/>
                    </w:rPr>
                    <w:t>：</w:t>
                  </w:r>
                </w:p>
                <w:p>
                  <w:pPr>
                    <w:numPr>
                      <w:numId w:val="624"/>
                    </w:numPr>
                    <w:spacing w:before="120" w:after="120" w:line="288" w:lineRule="auto"/>
                    <w:ind w:left="0"/>
                    <w:jc w:val="left"/>
                  </w:pPr>
                  <w:r>
                    <w:rPr>
                      <w:rFonts w:eastAsia="等线" w:ascii="Arial" w:cs="Arial" w:hAnsi="Arial"/>
                      <w:color w:val="646a73"/>
                      <w:sz w:val="22"/>
                    </w:rPr>
                    <w:t>客户次日主动联系平台，表示会尽快筹款</w:t>
                  </w:r>
                </w:p>
                <w:p>
                  <w:pPr>
                    <w:numPr>
                      <w:numId w:val="625"/>
                    </w:numPr>
                    <w:spacing w:before="120" w:after="120" w:line="288" w:lineRule="auto"/>
                    <w:ind w:left="0"/>
                    <w:jc w:val="left"/>
                  </w:pPr>
                  <w:r>
                    <w:rPr>
                      <w:rFonts w:eastAsia="等线" w:ascii="Arial" w:cs="Arial" w:hAnsi="Arial"/>
                      <w:color w:val="646a73"/>
                      <w:sz w:val="22"/>
                    </w:rPr>
                    <w:t>第15天（逾期第27天）客户全额还款</w:t>
                  </w:r>
                </w:p>
                <w:p>
                  <w:pPr>
                    <w:spacing w:before="120" w:after="120" w:line="288" w:lineRule="auto"/>
                    <w:ind w:left="0"/>
                    <w:jc w:val="left"/>
                  </w:pPr>
                  <w:r>
                    <w:rPr>
                      <w:rFonts w:eastAsia="等线" w:ascii="Arial" w:cs="Arial" w:hAnsi="Arial"/>
                      <w:b w:val="true"/>
                      <w:color w:val="646a73"/>
                      <w:sz w:val="22"/>
                    </w:rPr>
                    <w:t>结果</w:t>
                  </w:r>
                  <w:r>
                    <w:rPr>
                      <w:rFonts w:eastAsia="等线" w:ascii="Arial" w:cs="Arial" w:hAnsi="Arial"/>
                      <w:color w:val="646a73"/>
                      <w:sz w:val="22"/>
                    </w:rPr>
                    <w:t>：成功回款，核心企业恢复供货，客户继续合作（但降级为C级，加强监控）</w:t>
                  </w:r>
                </w:p>
                <w:p>
                  <w:pPr>
                    <w:spacing w:before="120" w:after="120" w:line="288" w:lineRule="auto"/>
                    <w:ind w:left="0"/>
                    <w:jc w:val="left"/>
                  </w:pPr>
                  <w:r>
                    <w:rPr>
                      <w:rFonts w:eastAsia="等线" w:ascii="Arial" w:cs="Arial" w:hAnsi="Arial"/>
                      <w:b w:val="true"/>
                      <w:color w:val="646a73"/>
                      <w:sz w:val="22"/>
                    </w:rPr>
                    <w:t>价值</w:t>
                  </w:r>
                  <w:r>
                    <w:rPr>
                      <w:rFonts w:eastAsia="等线" w:ascii="Arial" w:cs="Arial" w:hAnsi="Arial"/>
                      <w:color w:val="646a73"/>
                      <w:sz w:val="22"/>
                    </w:rPr>
                    <w:t>：核心企业的"停止供货"是对经销商最有效的施压手段，比平台单独催收效果提升显著</w:t>
                  </w:r>
                </w:p>
              </w:tc>
            </w:tr>
          </w:tbl>
          <w:p>
            <w:pPr>
              <w:jc w:val="left"/>
            </w:pPr>
          </w:p>
        </w:tc>
      </w:tr>
    </w:tbl>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109" w:id="109"/>
      <w:r>
        <w:rPr>
          <w:rFonts w:eastAsia="等线" w:ascii="Arial" w:cs="Arial" w:hAnsi="Arial"/>
          <w:color w:val="3370ff"/>
          <w:sz w:val="24"/>
        </w:rPr>
        <w:t xml:space="preserve">3.4.4.1.4.4 </w:t>
      </w:r>
      <w:r>
        <w:rPr>
          <w:rFonts w:eastAsia="等线" w:ascii="Arial" w:cs="Arial" w:hAnsi="Arial"/>
          <w:b w:val="true"/>
          <w:sz w:val="24"/>
        </w:rPr>
        <w:t>核心企业推送预警</w:t>
      </w:r>
      <w:bookmarkEnd w:id="109"/>
    </w:p>
    <w:p>
      <w:pPr>
        <w:spacing w:before="120" w:after="120" w:line="288" w:lineRule="auto"/>
        <w:ind w:left="0"/>
        <w:jc w:val="left"/>
      </w:pPr>
      <w:r>
        <w:rPr>
          <w:rFonts w:eastAsia="等线" w:ascii="Arial" w:cs="Arial" w:hAnsi="Arial"/>
          <w:b w:val="true"/>
          <w:sz w:val="22"/>
        </w:rPr>
        <w:t>典型预警类型</w:t>
      </w:r>
      <w:r>
        <w:rPr>
          <w:rFonts w:eastAsia="等线" w:ascii="Arial" w:cs="Arial" w:hAnsi="Arial"/>
          <w:sz w:val="22"/>
        </w:rPr>
        <w:t>：串货违规、销售异常下滑、合作终止、付款异常、重大违规</w:t>
      </w:r>
    </w:p>
    <w:p>
      <w:pPr>
        <w:spacing w:before="120" w:after="120" w:line="288" w:lineRule="auto"/>
        <w:ind w:left="0"/>
        <w:jc w:val="left"/>
      </w:pPr>
      <w:r>
        <w:rPr>
          <w:rFonts w:eastAsia="等线" w:ascii="Arial" w:cs="Arial" w:hAnsi="Arial"/>
          <w:b w:val="true"/>
          <w:sz w:val="22"/>
        </w:rPr>
        <w:t>处置核心逻辑</w:t>
      </w:r>
      <w:r>
        <w:rPr>
          <w:rFonts w:eastAsia="等线" w:ascii="Arial" w:cs="Arial" w:hAnsi="Arial"/>
          <w:sz w:val="22"/>
        </w:rPr>
        <w:t>：核心企业比平台更早、更准确地掌握经销商的渠道行为信息，其推送的预警</w:t>
      </w:r>
      <w:r>
        <w:rPr>
          <w:rFonts w:eastAsia="等线" w:ascii="Arial" w:cs="Arial" w:hAnsi="Arial"/>
          <w:b w:val="true"/>
          <w:sz w:val="22"/>
        </w:rPr>
        <w:t>必须高度重视、快速响应</w:t>
      </w:r>
      <w:r>
        <w:rPr>
          <w:rFonts w:eastAsia="等线" w:ascii="Arial" w:cs="Arial" w:hAnsi="Arial"/>
          <w:sz w:val="22"/>
        </w:rPr>
        <w:t>。处置重点是立即评估风险等级，决定是否冻结业务。</w:t>
      </w:r>
    </w:p>
    <w:p>
      <w:pPr>
        <w:spacing w:before="120" w:after="120" w:line="288" w:lineRule="auto"/>
        <w:ind w:left="0"/>
      </w:pPr>
      <w:r>
        <w:object>
          <v:shape id="_x0000_i1077" style="width:414pt;height:197pt;mso-width-percent:0;mso-height-percent:0;mso-width-percent:0;mso-height-percent:0" type="#_x0000_t75" o:ole="">
            <v:imagedata r:id="rId129" o:title=""/>
          </v:shape>
          <o:OLEObject DrawAspect="Icon" ObjectID="_1718471271" ProgID="Excel.Sheet.12" ShapeID="_x0000_i1077" Type="Embed" r:id="rId128"/>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为什么核心企业推送要"高优先级、快速响应"？</w:t>
            </w:r>
          </w:p>
          <w:p>
            <w:pPr>
              <w:spacing w:before="120" w:after="120" w:line="288" w:lineRule="auto"/>
              <w:ind w:left="0"/>
              <w:jc w:val="left"/>
            </w:pPr>
            <w:r>
              <w:rPr>
                <w:rFonts w:eastAsia="等线" w:ascii="Arial" w:cs="Arial" w:hAnsi="Arial"/>
                <w:sz w:val="22"/>
              </w:rPr>
              <w:t>核心企业推送的信息具有独特价值：</w:t>
            </w:r>
          </w:p>
          <w:p>
            <w:pPr>
              <w:numPr>
                <w:numId w:val="626"/>
              </w:numPr>
              <w:spacing w:before="120" w:after="120" w:line="288" w:lineRule="auto"/>
              <w:ind w:left="0"/>
              <w:jc w:val="left"/>
            </w:pPr>
            <w:r>
              <w:rPr>
                <w:rFonts w:eastAsia="等线" w:ascii="Arial" w:cs="Arial" w:hAnsi="Arial"/>
                <w:b w:val="true"/>
                <w:sz w:val="22"/>
              </w:rPr>
              <w:t>时效性</w:t>
            </w:r>
            <w:r>
              <w:rPr>
                <w:rFonts w:eastAsia="等线" w:ascii="Arial" w:cs="Arial" w:hAnsi="Arial"/>
                <w:sz w:val="22"/>
              </w:rPr>
              <w:t>：核心企业往往比平台更早发现经销商异常（如串货通常是核心企业先发现）</w:t>
            </w:r>
          </w:p>
          <w:p>
            <w:pPr>
              <w:numPr>
                <w:numId w:val="627"/>
              </w:numPr>
              <w:spacing w:before="120" w:after="120" w:line="288" w:lineRule="auto"/>
              <w:ind w:left="0"/>
              <w:jc w:val="left"/>
            </w:pPr>
            <w:r>
              <w:rPr>
                <w:rFonts w:eastAsia="等线" w:ascii="Arial" w:cs="Arial" w:hAnsi="Arial"/>
                <w:b w:val="true"/>
                <w:sz w:val="22"/>
              </w:rPr>
              <w:t>准确性</w:t>
            </w:r>
            <w:r>
              <w:rPr>
                <w:rFonts w:eastAsia="等线" w:ascii="Arial" w:cs="Arial" w:hAnsi="Arial"/>
                <w:sz w:val="22"/>
              </w:rPr>
              <w:t>：核心企业掌握经销商的真实经营数据，推送的预警可信度高</w:t>
            </w:r>
          </w:p>
          <w:p>
            <w:pPr>
              <w:numPr>
                <w:numId w:val="628"/>
              </w:numPr>
              <w:spacing w:before="120" w:after="120" w:line="288" w:lineRule="auto"/>
              <w:ind w:left="0"/>
              <w:jc w:val="left"/>
            </w:pPr>
            <w:r>
              <w:rPr>
                <w:rFonts w:eastAsia="等线" w:ascii="Arial" w:cs="Arial" w:hAnsi="Arial"/>
                <w:b w:val="true"/>
                <w:sz w:val="22"/>
              </w:rPr>
              <w:t>严重性</w:t>
            </w:r>
            <w:r>
              <w:rPr>
                <w:rFonts w:eastAsia="等线" w:ascii="Arial" w:cs="Arial" w:hAnsi="Arial"/>
                <w:sz w:val="22"/>
              </w:rPr>
              <w:t>：能让核心企业主动推送的问题，通常已经比较严重</w:t>
            </w:r>
          </w:p>
          <w:p>
            <w:pPr>
              <w:numPr>
                <w:numId w:val="629"/>
              </w:numPr>
              <w:spacing w:before="120" w:after="120" w:line="288" w:lineRule="auto"/>
              <w:ind w:left="0"/>
              <w:jc w:val="left"/>
            </w:pPr>
            <w:r>
              <w:rPr>
                <w:rFonts w:eastAsia="等线" w:ascii="Arial" w:cs="Arial" w:hAnsi="Arial"/>
                <w:b w:val="true"/>
                <w:sz w:val="22"/>
              </w:rPr>
              <w:t>协同性</w:t>
            </w:r>
            <w:r>
              <w:rPr>
                <w:rFonts w:eastAsia="等线" w:ascii="Arial" w:cs="Arial" w:hAnsi="Arial"/>
                <w:sz w:val="22"/>
              </w:rPr>
              <w:t>：核心企业推送预警意味着愿意配合处置，要抓住协同窗口期</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处置案例</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案例：核心企业推送串货预警的快速响应</w:t>
                  </w:r>
                </w:p>
                <w:p>
                  <w:pPr>
                    <w:spacing w:before="120" w:after="120" w:line="288" w:lineRule="auto"/>
                    <w:ind w:left="0"/>
                    <w:jc w:val="left"/>
                  </w:pPr>
                  <w:r>
                    <w:rPr>
                      <w:rFonts w:eastAsia="等线" w:ascii="Arial" w:cs="Arial" w:hAnsi="Arial"/>
                      <w:b w:val="true"/>
                      <w:color w:val="646a73"/>
                      <w:sz w:val="22"/>
                    </w:rPr>
                    <w:t>背景</w:t>
                  </w:r>
                  <w:r>
                    <w:rPr>
                      <w:rFonts w:eastAsia="等线" w:ascii="Arial" w:cs="Arial" w:hAnsi="Arial"/>
                      <w:color w:val="646a73"/>
                      <w:sz w:val="22"/>
                    </w:rPr>
                    <w:t>：客户赵六，A级客户，某白酒品牌经销商，授信80万，当前在途融资50万。</w:t>
                  </w:r>
                </w:p>
                <w:p>
                  <w:pPr>
                    <w:spacing w:before="120" w:after="120" w:line="288" w:lineRule="auto"/>
                    <w:ind w:left="0"/>
                    <w:jc w:val="left"/>
                  </w:pPr>
                  <w:r>
                    <w:rPr>
                      <w:rFonts w:eastAsia="等线" w:ascii="Arial" w:cs="Arial" w:hAnsi="Arial"/>
                      <w:b w:val="true"/>
                      <w:color w:val="646a73"/>
                      <w:sz w:val="22"/>
                    </w:rPr>
                    <w:t>预警触发</w:t>
                  </w:r>
                  <w:r>
                    <w:rPr>
                      <w:rFonts w:eastAsia="等线" w:ascii="Arial" w:cs="Arial" w:hAnsi="Arial"/>
                      <w:color w:val="646a73"/>
                      <w:sz w:val="22"/>
                    </w:rPr>
                    <w:t>：</w:t>
                  </w:r>
                </w:p>
                <w:p>
                  <w:pPr>
                    <w:numPr>
                      <w:numId w:val="630"/>
                    </w:numPr>
                    <w:spacing w:before="120" w:after="120" w:line="288" w:lineRule="auto"/>
                    <w:ind w:left="0"/>
                    <w:jc w:val="left"/>
                  </w:pPr>
                  <w:r>
                    <w:rPr>
                      <w:rFonts w:eastAsia="等线" w:ascii="Arial" w:cs="Arial" w:hAnsi="Arial"/>
                      <w:color w:val="646a73"/>
                      <w:sz w:val="22"/>
                    </w:rPr>
                    <w:t>14:00 核心企业系统推送预警："发现赵六公司大量产品流向非授权区域，涉及金额约30万"</w:t>
                  </w:r>
                </w:p>
                <w:p>
                  <w:pPr>
                    <w:numPr>
                      <w:numId w:val="631"/>
                    </w:numPr>
                    <w:spacing w:before="120" w:after="120" w:line="288" w:lineRule="auto"/>
                    <w:ind w:left="0"/>
                    <w:jc w:val="left"/>
                  </w:pPr>
                  <w:r>
                    <w:rPr>
                      <w:rFonts w:eastAsia="等线" w:ascii="Arial" w:cs="Arial" w:hAnsi="Arial"/>
                      <w:color w:val="646a73"/>
                      <w:sz w:val="22"/>
                    </w:rPr>
                    <w:t>14:02 平台系统自动接收预警，生成紫色紧急预警</w:t>
                  </w:r>
                </w:p>
                <w:p>
                  <w:pPr>
                    <w:numPr>
                      <w:numId w:val="632"/>
                    </w:numPr>
                    <w:spacing w:before="120" w:after="120" w:line="288" w:lineRule="auto"/>
                    <w:ind w:left="0"/>
                    <w:jc w:val="left"/>
                  </w:pPr>
                  <w:r>
                    <w:rPr>
                      <w:rFonts w:eastAsia="等线" w:ascii="Arial" w:cs="Arial" w:hAnsi="Arial"/>
                      <w:color w:val="646a73"/>
                      <w:sz w:val="22"/>
                    </w:rPr>
                    <w:t>14:02 自动冻结该客户新增融资和出库权限</w:t>
                  </w:r>
                </w:p>
                <w:p>
                  <w:pPr>
                    <w:numPr>
                      <w:numId w:val="633"/>
                    </w:numPr>
                    <w:spacing w:before="120" w:after="120" w:line="288" w:lineRule="auto"/>
                    <w:ind w:left="0"/>
                    <w:jc w:val="left"/>
                  </w:pPr>
                  <w:r>
                    <w:rPr>
                      <w:rFonts w:eastAsia="等线" w:ascii="Arial" w:cs="Arial" w:hAnsi="Arial"/>
                      <w:color w:val="646a73"/>
                      <w:sz w:val="22"/>
                    </w:rPr>
                    <w:t>14:05 系统推送给风控专员，同时短信通知风控主管</w:t>
                  </w:r>
                </w:p>
                <w:p>
                  <w:pPr>
                    <w:spacing w:before="120" w:after="120" w:line="288" w:lineRule="auto"/>
                    <w:ind w:left="0"/>
                    <w:jc w:val="left"/>
                  </w:pPr>
                  <w:r>
                    <w:rPr>
                      <w:rFonts w:eastAsia="等线" w:ascii="Arial" w:cs="Arial" w:hAnsi="Arial"/>
                      <w:b w:val="true"/>
                      <w:color w:val="646a73"/>
                      <w:sz w:val="22"/>
                    </w:rPr>
                    <w:t>处置过程</w:t>
                  </w:r>
                  <w:r>
                    <w:rPr>
                      <w:rFonts w:eastAsia="等线" w:ascii="Arial" w:cs="Arial" w:hAnsi="Arial"/>
                      <w:color w:val="646a73"/>
                      <w:sz w:val="22"/>
                    </w:rPr>
                    <w:t>：</w:t>
                  </w:r>
                </w:p>
                <w:p>
                  <w:pPr>
                    <w:numPr>
                      <w:numId w:val="634"/>
                    </w:numPr>
                    <w:spacing w:before="120" w:after="120" w:line="288" w:lineRule="auto"/>
                    <w:ind w:left="0"/>
                    <w:jc w:val="left"/>
                  </w:pPr>
                  <w:r>
                    <w:rPr>
                      <w:rFonts w:eastAsia="等线" w:ascii="Arial" w:cs="Arial" w:hAnsi="Arial"/>
                      <w:color w:val="646a73"/>
                      <w:sz w:val="22"/>
                    </w:rPr>
                    <w:t xml:space="preserve">14:30 风控专员联系核心企业了解详情： </w:t>
                  </w:r>
                </w:p>
                <w:p>
                  <w:pPr>
                    <w:numPr>
                      <w:numId w:val="635"/>
                    </w:numPr>
                    <w:spacing w:before="120" w:after="120" w:line="288" w:lineRule="auto"/>
                    <w:ind w:left="453"/>
                    <w:jc w:val="left"/>
                  </w:pPr>
                  <w:r>
                    <w:rPr>
                      <w:rFonts w:eastAsia="等线" w:ascii="Arial" w:cs="Arial" w:hAnsi="Arial"/>
                      <w:color w:val="646a73"/>
                      <w:sz w:val="22"/>
                    </w:rPr>
                    <w:t>串货金额：约30万（占该客户年采购额的15%）</w:t>
                  </w:r>
                </w:p>
                <w:p>
                  <w:pPr>
                    <w:numPr>
                      <w:numId w:val="636"/>
                    </w:numPr>
                    <w:spacing w:before="120" w:after="120" w:line="288" w:lineRule="auto"/>
                    <w:ind w:left="453"/>
                    <w:jc w:val="left"/>
                  </w:pPr>
                  <w:r>
                    <w:rPr>
                      <w:rFonts w:eastAsia="等线" w:ascii="Arial" w:cs="Arial" w:hAnsi="Arial"/>
                      <w:color w:val="646a73"/>
                      <w:sz w:val="22"/>
                    </w:rPr>
                    <w:t>串货区域：从四川窜货到重庆</w:t>
                  </w:r>
                </w:p>
                <w:p>
                  <w:pPr>
                    <w:numPr>
                      <w:numId w:val="637"/>
                    </w:numPr>
                    <w:spacing w:before="120" w:after="120" w:line="288" w:lineRule="auto"/>
                    <w:ind w:left="453"/>
                    <w:jc w:val="left"/>
                  </w:pPr>
                  <w:r>
                    <w:rPr>
                      <w:rFonts w:eastAsia="等线" w:ascii="Arial" w:cs="Arial" w:hAnsi="Arial"/>
                      <w:color w:val="646a73"/>
                      <w:sz w:val="22"/>
                    </w:rPr>
                    <w:t>发现方式：重庆经销商投诉+扫码溯源确认</w:t>
                  </w:r>
                </w:p>
                <w:p>
                  <w:pPr>
                    <w:numPr>
                      <w:numId w:val="638"/>
                    </w:numPr>
                    <w:spacing w:before="120" w:after="120" w:line="288" w:lineRule="auto"/>
                    <w:ind w:left="453"/>
                    <w:jc w:val="left"/>
                  </w:pPr>
                  <w:r>
                    <w:rPr>
                      <w:rFonts w:eastAsia="等线" w:ascii="Arial" w:cs="Arial" w:hAnsi="Arial"/>
                      <w:color w:val="646a73"/>
                      <w:sz w:val="22"/>
                    </w:rPr>
                    <w:t>核心企业态度：首次违规，拟扣除保证金5万，警告处理</w:t>
                  </w:r>
                </w:p>
                <w:p>
                  <w:pPr>
                    <w:numPr>
                      <w:numId w:val="639"/>
                    </w:numPr>
                    <w:spacing w:before="120" w:after="120" w:line="288" w:lineRule="auto"/>
                    <w:ind w:left="0"/>
                    <w:jc w:val="left"/>
                  </w:pPr>
                  <w:r>
                    <w:rPr>
                      <w:rFonts w:eastAsia="等线" w:ascii="Arial" w:cs="Arial" w:hAnsi="Arial"/>
                      <w:color w:val="646a73"/>
                      <w:sz w:val="22"/>
                    </w:rPr>
                    <w:t>15:00 风控专员评估：属于中等严重程度（首次、金额占比不高、核心企业未终止合作）</w:t>
                  </w:r>
                </w:p>
                <w:p>
                  <w:pPr>
                    <w:numPr>
                      <w:numId w:val="640"/>
                    </w:numPr>
                    <w:spacing w:before="120" w:after="120" w:line="288" w:lineRule="auto"/>
                    <w:ind w:left="0"/>
                    <w:jc w:val="left"/>
                  </w:pPr>
                  <w:r>
                    <w:rPr>
                      <w:rFonts w:eastAsia="等线" w:ascii="Arial" w:cs="Arial" w:hAnsi="Arial"/>
                      <w:color w:val="646a73"/>
                      <w:sz w:val="22"/>
                    </w:rPr>
                    <w:t xml:space="preserve">15:30 处置决策： </w:t>
                  </w:r>
                </w:p>
                <w:p>
                  <w:pPr>
                    <w:numPr>
                      <w:numId w:val="641"/>
                    </w:numPr>
                    <w:spacing w:before="120" w:after="120" w:line="288" w:lineRule="auto"/>
                    <w:ind w:left="453"/>
                    <w:jc w:val="left"/>
                  </w:pPr>
                  <w:r>
                    <w:rPr>
                      <w:rFonts w:eastAsia="等线" w:ascii="Arial" w:cs="Arial" w:hAnsi="Arial"/>
                      <w:color w:val="646a73"/>
                      <w:sz w:val="22"/>
                    </w:rPr>
                    <w:t>维持冻结新增融资30天</w:t>
                  </w:r>
                </w:p>
                <w:p>
                  <w:pPr>
                    <w:numPr>
                      <w:numId w:val="642"/>
                    </w:numPr>
                    <w:spacing w:before="120" w:after="120" w:line="288" w:lineRule="auto"/>
                    <w:ind w:left="453"/>
                    <w:jc w:val="left"/>
                  </w:pPr>
                  <w:r>
                    <w:rPr>
                      <w:rFonts w:eastAsia="等线" w:ascii="Arial" w:cs="Arial" w:hAnsi="Arial"/>
                      <w:color w:val="646a73"/>
                      <w:sz w:val="22"/>
                    </w:rPr>
                    <w:t>现有50万在途业务正常管理</w:t>
                  </w:r>
                </w:p>
                <w:p>
                  <w:pPr>
                    <w:numPr>
                      <w:numId w:val="643"/>
                    </w:numPr>
                    <w:spacing w:before="120" w:after="120" w:line="288" w:lineRule="auto"/>
                    <w:ind w:left="453"/>
                    <w:jc w:val="left"/>
                  </w:pPr>
                  <w:r>
                    <w:rPr>
                      <w:rFonts w:eastAsia="等线" w:ascii="Arial" w:cs="Arial" w:hAnsi="Arial"/>
                      <w:color w:val="646a73"/>
                      <w:sz w:val="22"/>
                    </w:rPr>
                    <w:t>要求客户书面承诺不再串货</w:t>
                  </w:r>
                </w:p>
                <w:p>
                  <w:pPr>
                    <w:numPr>
                      <w:numId w:val="644"/>
                    </w:numPr>
                    <w:spacing w:before="120" w:after="120" w:line="288" w:lineRule="auto"/>
                    <w:ind w:left="453"/>
                    <w:jc w:val="left"/>
                  </w:pPr>
                  <w:r>
                    <w:rPr>
                      <w:rFonts w:eastAsia="等线" w:ascii="Arial" w:cs="Arial" w:hAnsi="Arial"/>
                      <w:color w:val="646a73"/>
                      <w:sz w:val="22"/>
                    </w:rPr>
                    <w:t>客户等级从A级降为B级</w:t>
                  </w:r>
                </w:p>
                <w:p>
                  <w:pPr>
                    <w:numPr>
                      <w:numId w:val="645"/>
                    </w:numPr>
                    <w:spacing w:before="120" w:after="120" w:line="288" w:lineRule="auto"/>
                    <w:ind w:left="453"/>
                    <w:jc w:val="left"/>
                  </w:pPr>
                  <w:r>
                    <w:rPr>
                      <w:rFonts w:eastAsia="等线" w:ascii="Arial" w:cs="Arial" w:hAnsi="Arial"/>
                      <w:color w:val="646a73"/>
                      <w:sz w:val="22"/>
                    </w:rPr>
                    <w:t>30天后视核心企业反馈决定是否解除冻结</w:t>
                  </w:r>
                </w:p>
                <w:p>
                  <w:pPr>
                    <w:spacing w:before="120" w:after="120" w:line="288" w:lineRule="auto"/>
                    <w:ind w:left="0"/>
                    <w:jc w:val="left"/>
                  </w:pPr>
                  <w:r>
                    <w:rPr>
                      <w:rFonts w:eastAsia="等线" w:ascii="Arial" w:cs="Arial" w:hAnsi="Arial"/>
                      <w:b w:val="true"/>
                      <w:color w:val="646a73"/>
                      <w:sz w:val="22"/>
                    </w:rPr>
                    <w:t>后续</w:t>
                  </w:r>
                  <w:r>
                    <w:rPr>
                      <w:rFonts w:eastAsia="等线" w:ascii="Arial" w:cs="Arial" w:hAnsi="Arial"/>
                      <w:color w:val="646a73"/>
                      <w:sz w:val="22"/>
                    </w:rPr>
                    <w:t>：</w:t>
                  </w:r>
                </w:p>
                <w:p>
                  <w:pPr>
                    <w:numPr>
                      <w:numId w:val="646"/>
                    </w:numPr>
                    <w:spacing w:before="120" w:after="120" w:line="288" w:lineRule="auto"/>
                    <w:ind w:left="0"/>
                    <w:jc w:val="left"/>
                  </w:pPr>
                  <w:r>
                    <w:rPr>
                      <w:rFonts w:eastAsia="等线" w:ascii="Arial" w:cs="Arial" w:hAnsi="Arial"/>
                      <w:color w:val="646a73"/>
                      <w:sz w:val="22"/>
                    </w:rPr>
                    <w:t>客户提交书面承诺</w:t>
                  </w:r>
                </w:p>
                <w:p>
                  <w:pPr>
                    <w:numPr>
                      <w:numId w:val="647"/>
                    </w:numPr>
                    <w:spacing w:before="120" w:after="120" w:line="288" w:lineRule="auto"/>
                    <w:ind w:left="0"/>
                    <w:jc w:val="left"/>
                  </w:pPr>
                  <w:r>
                    <w:rPr>
                      <w:rFonts w:eastAsia="等线" w:ascii="Arial" w:cs="Arial" w:hAnsi="Arial"/>
                      <w:color w:val="646a73"/>
                      <w:sz w:val="22"/>
                    </w:rPr>
                    <w:t>30天内无新增串货记录</w:t>
                  </w:r>
                </w:p>
                <w:p>
                  <w:pPr>
                    <w:numPr>
                      <w:numId w:val="648"/>
                    </w:numPr>
                    <w:spacing w:before="120" w:after="120" w:line="288" w:lineRule="auto"/>
                    <w:ind w:left="0"/>
                    <w:jc w:val="left"/>
                  </w:pPr>
                  <w:r>
                    <w:rPr>
                      <w:rFonts w:eastAsia="等线" w:ascii="Arial" w:cs="Arial" w:hAnsi="Arial"/>
                      <w:color w:val="646a73"/>
                      <w:sz w:val="22"/>
                    </w:rPr>
                    <w:t>核心企业确认可继续合作</w:t>
                  </w:r>
                </w:p>
                <w:p>
                  <w:pPr>
                    <w:numPr>
                      <w:numId w:val="649"/>
                    </w:numPr>
                    <w:spacing w:before="120" w:after="120" w:line="288" w:lineRule="auto"/>
                    <w:ind w:left="0"/>
                    <w:jc w:val="left"/>
                  </w:pPr>
                  <w:r>
                    <w:rPr>
                      <w:rFonts w:eastAsia="等线" w:ascii="Arial" w:cs="Arial" w:hAnsi="Arial"/>
                      <w:color w:val="646a73"/>
                      <w:sz w:val="22"/>
                    </w:rPr>
                    <w:t>解除冻结，但维持B级监控</w:t>
                  </w:r>
                </w:p>
                <w:p>
                  <w:pPr>
                    <w:spacing w:before="120" w:after="120" w:line="288" w:lineRule="auto"/>
                    <w:ind w:left="0"/>
                    <w:jc w:val="left"/>
                  </w:pPr>
                  <w:r>
                    <w:rPr>
                      <w:rFonts w:eastAsia="等线" w:ascii="Arial" w:cs="Arial" w:hAnsi="Arial"/>
                      <w:b w:val="true"/>
                      <w:color w:val="646a73"/>
                      <w:sz w:val="22"/>
                    </w:rPr>
                    <w:t>价值</w:t>
                  </w:r>
                  <w:r>
                    <w:rPr>
                      <w:rFonts w:eastAsia="等线" w:ascii="Arial" w:cs="Arial" w:hAnsi="Arial"/>
                      <w:color w:val="646a73"/>
                      <w:sz w:val="22"/>
                    </w:rPr>
                    <w:t>：</w:t>
                  </w:r>
                </w:p>
                <w:p>
                  <w:pPr>
                    <w:numPr>
                      <w:numId w:val="650"/>
                    </w:numPr>
                    <w:spacing w:before="120" w:after="120" w:line="288" w:lineRule="auto"/>
                    <w:ind w:left="0"/>
                    <w:jc w:val="left"/>
                  </w:pPr>
                  <w:r>
                    <w:rPr>
                      <w:rFonts w:eastAsia="等线" w:ascii="Arial" w:cs="Arial" w:hAnsi="Arial"/>
                      <w:color w:val="646a73"/>
                      <w:sz w:val="22"/>
                    </w:rPr>
                    <w:t>从预警到冻结仅2分钟，避免了客户在风险暴露后继续融资或出库</w:t>
                  </w:r>
                </w:p>
                <w:p>
                  <w:pPr>
                    <w:numPr>
                      <w:numId w:val="651"/>
                    </w:numPr>
                    <w:spacing w:before="120" w:after="120" w:line="288" w:lineRule="auto"/>
                    <w:ind w:left="0"/>
                    <w:jc w:val="left"/>
                  </w:pPr>
                  <w:r>
                    <w:rPr>
                      <w:rFonts w:eastAsia="等线" w:ascii="Arial" w:cs="Arial" w:hAnsi="Arial"/>
                      <w:color w:val="646a73"/>
                      <w:sz w:val="22"/>
                    </w:rPr>
                    <w:t>如果没有核心企业推送，平台可能数周后才发现串货，期间可能新增融资20-30万</w:t>
                  </w:r>
                </w:p>
                <w:p>
                  <w:pPr>
                    <w:numPr>
                      <w:numId w:val="652"/>
                    </w:numPr>
                    <w:spacing w:before="120" w:after="120" w:line="288" w:lineRule="auto"/>
                    <w:ind w:left="0"/>
                    <w:jc w:val="left"/>
                  </w:pPr>
                  <w:r>
                    <w:rPr>
                      <w:rFonts w:eastAsia="等线" w:ascii="Arial" w:cs="Arial" w:hAnsi="Arial"/>
                      <w:color w:val="646a73"/>
                      <w:sz w:val="22"/>
                    </w:rPr>
                    <w:t>核心企业协同处置，平台无需独自判断串货严重程度，决策更准确</w:t>
                  </w:r>
                </w:p>
              </w:tc>
            </w:tr>
          </w:tbl>
          <w:p>
            <w:pPr>
              <w:jc w:val="left"/>
            </w:pPr>
          </w:p>
        </w:tc>
      </w:tr>
    </w:tbl>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110" w:id="110"/>
      <w:r>
        <w:rPr>
          <w:rFonts w:eastAsia="等线" w:ascii="Arial" w:cs="Arial" w:hAnsi="Arial"/>
          <w:color w:val="3370ff"/>
          <w:sz w:val="24"/>
        </w:rPr>
        <w:t xml:space="preserve">3.4.4.1.4.5 </w:t>
      </w:r>
      <w:r>
        <w:rPr>
          <w:rFonts w:eastAsia="等线" w:ascii="Arial" w:cs="Arial" w:hAnsi="Arial"/>
          <w:b w:val="true"/>
          <w:sz w:val="24"/>
        </w:rPr>
        <w:t>预警来源处理优先级矩阵</w:t>
      </w:r>
      <w:bookmarkEnd w:id="110"/>
    </w:p>
    <w:p>
      <w:pPr>
        <w:spacing w:before="120" w:after="120" w:line="288" w:lineRule="auto"/>
        <w:ind w:left="0"/>
        <w:jc w:val="left"/>
      </w:pPr>
      <w:r>
        <w:rPr>
          <w:rFonts w:eastAsia="等线" w:ascii="Arial" w:cs="Arial" w:hAnsi="Arial"/>
          <w:sz w:val="22"/>
        </w:rPr>
        <w:t>当多个预警同时发生时，按以下优先级处理：</w:t>
      </w:r>
    </w:p>
    <w:p>
      <w:pPr>
        <w:spacing w:before="120" w:after="120" w:line="288" w:lineRule="auto"/>
        <w:ind w:left="0"/>
      </w:pPr>
      <w:r>
        <w:object>
          <v:shape id="_x0000_i1078" style="width:414pt;height:197pt;mso-width-percent:0;mso-height-percent:0;mso-width-percent:0;mso-height-percent:0" type="#_x0000_t75" o:ole="">
            <v:imagedata r:id="rId131" o:title=""/>
          </v:shape>
          <o:OLEObject DrawAspect="Icon" ObjectID="_1718471272" ProgID="Excel.Sheet.12" ShapeID="_x0000_i1078" Type="Embed" r:id="rId130"/>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111" w:id="111"/>
      <w:r>
        <w:rPr>
          <w:rFonts w:eastAsia="等线" w:ascii="Arial" w:cs="Arial" w:hAnsi="Arial"/>
          <w:color w:val="3370ff"/>
          <w:sz w:val="24"/>
        </w:rPr>
        <w:t xml:space="preserve">3.4.4.1.4.6 </w:t>
      </w:r>
      <w:r>
        <w:rPr>
          <w:rFonts w:eastAsia="等线" w:ascii="Arial" w:cs="Arial" w:hAnsi="Arial"/>
          <w:b w:val="true"/>
          <w:sz w:val="24"/>
        </w:rPr>
        <w:t>处理效果量化</w:t>
      </w:r>
      <w:bookmarkEnd w:id="111"/>
    </w:p>
    <w:p>
      <w:pPr>
        <w:spacing w:before="120" w:after="120" w:line="288" w:lineRule="auto"/>
        <w:ind w:left="0"/>
        <w:jc w:val="left"/>
      </w:pPr>
      <w:r>
        <w:rPr>
          <w:rFonts w:eastAsia="等线" w:ascii="Arial" w:cs="Arial" w:hAnsi="Arial"/>
          <w:sz w:val="22"/>
        </w:rPr>
        <w:t>通过分类处理机制，预期达成以下业务效果：</w:t>
      </w:r>
    </w:p>
    <w:p>
      <w:pPr>
        <w:spacing w:before="120" w:after="120" w:line="288" w:lineRule="auto"/>
        <w:ind w:left="0"/>
      </w:pPr>
      <w:r>
        <w:object>
          <v:shape id="_x0000_i1079" style="width:414pt;height:182pt;mso-width-percent:0;mso-height-percent:0;mso-width-percent:0;mso-height-percent:0" type="#_x0000_t75" o:ole="">
            <v:imagedata r:id="rId133" o:title=""/>
          </v:shape>
          <o:OLEObject DrawAspect="Icon" ObjectID="_1718471273" ProgID="Excel.Sheet.12" ShapeID="_x0000_i1079" Type="Embed" r:id="rId132"/>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2" w:id="112"/>
      <w:r>
        <w:rPr>
          <w:rFonts w:eastAsia="等线" w:ascii="Arial" w:cs="Arial" w:hAnsi="Arial"/>
          <w:color w:val="3370ff"/>
          <w:sz w:val="30"/>
        </w:rPr>
        <w:t xml:space="preserve">3.4.5 </w:t>
      </w:r>
      <w:r>
        <w:rPr>
          <w:rFonts w:eastAsia="等线" w:ascii="Arial" w:cs="Arial" w:hAnsi="Arial"/>
          <w:b w:val="true"/>
          <w:sz w:val="30"/>
        </w:rPr>
        <w:t>其他风险监控功能</w:t>
      </w:r>
      <w:r>
        <w:rPr>
          <w:rFonts w:eastAsia="等线" w:ascii="Arial" w:cs="Arial" w:hAnsi="Arial"/>
          <w:b w:val="true"/>
          <w:sz w:val="30"/>
        </w:rPr>
        <w:t>（基础功能简述）</w:t>
      </w:r>
      <w:bookmarkEnd w:id="112"/>
    </w:p>
    <w:p>
      <w:pPr>
        <w:pStyle w:val="4"/>
        <w:spacing w:before="260" w:after="120" w:line="288" w:lineRule="auto"/>
        <w:ind w:left="0"/>
        <w:jc w:val="left"/>
        <w:outlineLvl w:val="3"/>
      </w:pPr>
      <w:bookmarkStart w:name="heading_113" w:id="113"/>
      <w:r>
        <w:rPr>
          <w:rFonts w:eastAsia="等线" w:ascii="Arial" w:cs="Arial" w:hAnsi="Arial"/>
          <w:color w:val="3370ff"/>
          <w:sz w:val="28"/>
        </w:rPr>
        <w:t xml:space="preserve">3.4.5.1 </w:t>
      </w:r>
      <w:r>
        <w:rPr>
          <w:rFonts w:eastAsia="等线" w:ascii="Arial" w:cs="Arial" w:hAnsi="Arial"/>
          <w:b w:val="true"/>
          <w:sz w:val="28"/>
        </w:rPr>
        <w:t>风控看板</w:t>
      </w:r>
      <w:bookmarkEnd w:id="113"/>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：为决策层提供平台整体风险状况的可视化展示</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653"/>
        </w:numPr>
        <w:spacing w:before="120" w:after="120" w:line="288" w:lineRule="auto"/>
        <w:ind w:left="0"/>
        <w:jc w:val="left"/>
      </w:pPr>
      <w:r>
        <w:rPr>
          <w:rFonts w:eastAsia="等线" w:ascii="Arial" w:cs="Arial" w:hAnsi="Arial"/>
          <w:sz w:val="22"/>
        </w:rPr>
        <w:t>风险概览（高/中/低风险数量统计）</w:t>
      </w:r>
    </w:p>
    <w:p>
      <w:pPr>
        <w:numPr>
          <w:numId w:val="654"/>
        </w:numPr>
        <w:spacing w:before="120" w:after="120" w:line="288" w:lineRule="auto"/>
        <w:ind w:left="0"/>
        <w:jc w:val="left"/>
      </w:pPr>
      <w:r>
        <w:rPr>
          <w:rFonts w:eastAsia="等线" w:ascii="Arial" w:cs="Arial" w:hAnsi="Arial"/>
          <w:sz w:val="22"/>
        </w:rPr>
        <w:t>风险分布（按类型、品类、区域、核心企业）</w:t>
      </w:r>
    </w:p>
    <w:p>
      <w:pPr>
        <w:numPr>
          <w:numId w:val="655"/>
        </w:numPr>
        <w:spacing w:before="120" w:after="120" w:line="288" w:lineRule="auto"/>
        <w:ind w:left="0"/>
        <w:jc w:val="left"/>
      </w:pPr>
      <w:r>
        <w:rPr>
          <w:rFonts w:eastAsia="等线" w:ascii="Arial" w:cs="Arial" w:hAnsi="Arial"/>
          <w:sz w:val="22"/>
        </w:rPr>
        <w:t>风险趋势（折线图展示风险变化）</w:t>
      </w:r>
    </w:p>
    <w:p>
      <w:pPr>
        <w:numPr>
          <w:numId w:val="656"/>
        </w:numPr>
        <w:spacing w:before="120" w:after="120" w:line="288" w:lineRule="auto"/>
        <w:ind w:left="0"/>
        <w:jc w:val="left"/>
      </w:pPr>
      <w:r>
        <w:rPr>
          <w:rFonts w:eastAsia="等线" w:ascii="Arial" w:cs="Arial" w:hAnsi="Arial"/>
          <w:sz w:val="22"/>
        </w:rPr>
        <w:t>TOP风险排行（风险最高的客户/业务）</w:t>
      </w:r>
    </w:p>
    <w:p>
      <w:pPr>
        <w:spacing w:before="120" w:after="120" w:line="288" w:lineRule="auto"/>
        <w:ind w:left="0"/>
        <w:jc w:val="left"/>
      </w:pPr>
      <w:r>
        <w:rPr>
          <w:rFonts w:eastAsia="等线" w:ascii="Arial" w:cs="Arial" w:hAnsi="Arial"/>
          <w:b w:val="true"/>
          <w:sz w:val="22"/>
        </w:rPr>
        <w:t>设计亮点</w:t>
      </w:r>
      <w:r>
        <w:rPr>
          <w:rFonts w:eastAsia="等线" w:ascii="Arial" w:cs="Arial" w:hAnsi="Arial"/>
          <w:sz w:val="22"/>
        </w:rPr>
        <w:t>：</w:t>
      </w:r>
    </w:p>
    <w:p>
      <w:pPr>
        <w:numPr>
          <w:numId w:val="657"/>
        </w:numPr>
        <w:spacing w:before="120" w:after="120" w:line="288" w:lineRule="auto"/>
        <w:ind w:left="0"/>
        <w:jc w:val="left"/>
      </w:pPr>
      <w:r>
        <w:rPr>
          <w:rFonts w:eastAsia="等线" w:ascii="Arial" w:cs="Arial" w:hAnsi="Arial"/>
          <w:sz w:val="22"/>
        </w:rPr>
        <w:t>一屏掌握全局风险</w:t>
      </w:r>
    </w:p>
    <w:p>
      <w:pPr>
        <w:numPr>
          <w:numId w:val="658"/>
        </w:numPr>
        <w:spacing w:before="120" w:after="120" w:line="288" w:lineRule="auto"/>
        <w:ind w:left="0"/>
        <w:jc w:val="left"/>
      </w:pPr>
      <w:r>
        <w:rPr>
          <w:rFonts w:eastAsia="等线" w:ascii="Arial" w:cs="Arial" w:hAnsi="Arial"/>
          <w:sz w:val="22"/>
        </w:rPr>
        <w:t>支持多维度钻取</w:t>
      </w:r>
    </w:p>
    <w:p>
      <w:pPr>
        <w:numPr>
          <w:numId w:val="659"/>
        </w:numPr>
        <w:spacing w:before="120" w:after="120" w:line="288" w:lineRule="auto"/>
        <w:ind w:left="0"/>
        <w:jc w:val="left"/>
      </w:pPr>
      <w:r>
        <w:rPr>
          <w:rFonts w:eastAsia="等线" w:ascii="Arial" w:cs="Arial" w:hAnsi="Arial"/>
          <w:sz w:val="22"/>
        </w:rPr>
        <w:t>自定义关注指标</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14" w:id="114"/>
      <w:r>
        <w:rPr>
          <w:rFonts w:eastAsia="等线" w:ascii="Arial" w:cs="Arial" w:hAnsi="Arial"/>
          <w:color w:val="3370ff"/>
          <w:sz w:val="28"/>
        </w:rPr>
        <w:t xml:space="preserve">3.4.5.2 </w:t>
      </w:r>
      <w:r>
        <w:rPr>
          <w:rFonts w:eastAsia="等线" w:ascii="Arial" w:cs="Arial" w:hAnsi="Arial"/>
          <w:b w:val="true"/>
          <w:sz w:val="28"/>
        </w:rPr>
        <w:t>预警处理</w:t>
      </w:r>
      <w:bookmarkEnd w:id="114"/>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：标准化预警处理流程，确保风险闭环管理</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660"/>
        </w:numPr>
        <w:spacing w:before="120" w:after="120" w:line="288" w:lineRule="auto"/>
        <w:ind w:left="0"/>
        <w:jc w:val="left"/>
      </w:pPr>
      <w:r>
        <w:rPr>
          <w:rFonts w:eastAsia="等线" w:ascii="Arial" w:cs="Arial" w:hAnsi="Arial"/>
          <w:sz w:val="22"/>
        </w:rPr>
        <w:t>预警接收和分配</w:t>
      </w:r>
    </w:p>
    <w:p>
      <w:pPr>
        <w:numPr>
          <w:numId w:val="661"/>
        </w:numPr>
        <w:spacing w:before="120" w:after="120" w:line="288" w:lineRule="auto"/>
        <w:ind w:left="0"/>
        <w:jc w:val="left"/>
      </w:pPr>
      <w:r>
        <w:rPr>
          <w:rFonts w:eastAsia="等线" w:ascii="Arial" w:cs="Arial" w:hAnsi="Arial"/>
          <w:sz w:val="22"/>
        </w:rPr>
        <w:t>处理流程管理</w:t>
      </w:r>
    </w:p>
    <w:p>
      <w:pPr>
        <w:numPr>
          <w:numId w:val="662"/>
        </w:numPr>
        <w:spacing w:before="120" w:after="120" w:line="288" w:lineRule="auto"/>
        <w:ind w:left="0"/>
        <w:jc w:val="left"/>
      </w:pPr>
      <w:r>
        <w:rPr>
          <w:rFonts w:eastAsia="等线" w:ascii="Arial" w:cs="Arial" w:hAnsi="Arial"/>
          <w:sz w:val="22"/>
        </w:rPr>
        <w:t>处置措施记录</w:t>
      </w:r>
    </w:p>
    <w:p>
      <w:pPr>
        <w:numPr>
          <w:numId w:val="663"/>
        </w:numPr>
        <w:spacing w:before="120" w:after="120" w:line="288" w:lineRule="auto"/>
        <w:ind w:left="0"/>
        <w:jc w:val="left"/>
      </w:pPr>
      <w:r>
        <w:rPr>
          <w:rFonts w:eastAsia="等线" w:ascii="Arial" w:cs="Arial" w:hAnsi="Arial"/>
          <w:sz w:val="22"/>
        </w:rPr>
        <w:t>处理结果跟踪</w:t>
      </w:r>
    </w:p>
    <w:p>
      <w:pPr>
        <w:spacing w:before="120" w:after="120" w:line="288" w:lineRule="auto"/>
        <w:ind w:left="0"/>
        <w:jc w:val="left"/>
      </w:pPr>
      <w:r>
        <w:rPr>
          <w:rFonts w:eastAsia="等线" w:ascii="Arial" w:cs="Arial" w:hAnsi="Arial"/>
          <w:b w:val="true"/>
          <w:sz w:val="22"/>
        </w:rPr>
        <w:t>标准化处理流程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预警触发</w:t>
              <w:br/>
              <w:t xml:space="preserve">  ↓</w:t>
              <w:br/>
              <w:t>自动分配给责任人</w:t>
              <w:br/>
              <w:t xml:space="preserve">  ↓</w:t>
              <w:br/>
              <w:t>责任人确认接收（2小时内）</w:t>
              <w:br/>
              <w:t xml:space="preserve">  ↓</w:t>
              <w:br/>
              <w:t>调查和评估</w:t>
              <w:br/>
              <w:t xml:space="preserve">  ↓</w:t>
              <w:br/>
              <w:t>选择处置措施</w:t>
              <w:br/>
              <w:t xml:space="preserve">  ↓</w:t>
              <w:br/>
              <w:t>执行处置</w:t>
              <w:br/>
              <w:t xml:space="preserve">  ↓</w:t>
              <w:br/>
              <w:t>跟踪处置结果</w:t>
              <w:br/>
              <w:t xml:space="preserve">  ↓</w:t>
              <w:br/>
              <w:t>确认风险解除 / 升级处理</w:t>
              <w:br/>
              <w:t xml:space="preserve">  ↓</w:t>
              <w:br/>
              <w:t>关闭预警</w:t>
              <w:br/>
              <w:t xml:space="preserve">  ↓</w:t>
              <w:br/>
            </w:r>
            <w:r>
              <w:rPr>
                <w:rFonts w:eastAsia="Consolas" w:ascii="Consolas" w:cs="Consolas" w:hAnsi="Consolas"/>
                <w:sz w:val="22"/>
              </w:rPr>
              <w:t>记录入风险知识库</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15" w:id="115"/>
      <w:r>
        <w:rPr>
          <w:rFonts w:eastAsia="等线" w:ascii="Arial" w:cs="Arial" w:hAnsi="Arial"/>
          <w:color w:val="3370ff"/>
          <w:sz w:val="28"/>
        </w:rPr>
        <w:t xml:space="preserve">3.4.5.3 </w:t>
      </w:r>
      <w:r>
        <w:rPr>
          <w:rFonts w:eastAsia="等线" w:ascii="Arial" w:cs="Arial" w:hAnsi="Arial"/>
          <w:b w:val="true"/>
          <w:sz w:val="28"/>
        </w:rPr>
        <w:t>风险指标监控</w:t>
      </w:r>
      <w:bookmarkEnd w:id="115"/>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：持续跟踪关键风险指标的变化趋势</w:t>
      </w:r>
    </w:p>
    <w:p>
      <w:pPr>
        <w:spacing w:before="120" w:after="120" w:line="288" w:lineRule="auto"/>
        <w:ind w:left="0"/>
        <w:jc w:val="left"/>
      </w:pPr>
      <w:r>
        <w:rPr>
          <w:rFonts w:eastAsia="等线" w:ascii="Arial" w:cs="Arial" w:hAnsi="Arial"/>
          <w:b w:val="true"/>
          <w:sz w:val="22"/>
        </w:rPr>
        <w:t>监控指标体系</w:t>
      </w:r>
      <w:r>
        <w:rPr>
          <w:rFonts w:eastAsia="等线" w:ascii="Arial" w:cs="Arial" w:hAnsi="Arial"/>
          <w:sz w:val="22"/>
        </w:rPr>
        <w:t>：</w:t>
      </w:r>
    </w:p>
    <w:p>
      <w:pPr>
        <w:spacing w:before="120" w:after="120" w:line="288" w:lineRule="auto"/>
        <w:ind w:left="0"/>
      </w:pPr>
      <w:r>
        <w:object>
          <v:shape id="_x0000_i1080" style="width:414pt;height:197pt;mso-width-percent:0;mso-height-percent:0;mso-width-percent:0;mso-height-percent:0" type="#_x0000_t75" o:ole="">
            <v:imagedata r:id="rId135" o:title=""/>
          </v:shape>
          <o:OLEObject DrawAspect="Icon" ObjectID="_1718471274" ProgID="Excel.Sheet.12" ShapeID="_x0000_i1080" Type="Embed" r:id="rId13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趋势分析</w:t>
      </w:r>
      <w:r>
        <w:rPr>
          <w:rFonts w:eastAsia="等线" w:ascii="Arial" w:cs="Arial" w:hAnsi="Arial"/>
          <w:sz w:val="22"/>
        </w:rPr>
        <w:t>：</w:t>
      </w:r>
    </w:p>
    <w:p>
      <w:pPr>
        <w:numPr>
          <w:numId w:val="664"/>
        </w:numPr>
        <w:spacing w:before="120" w:after="120" w:line="288" w:lineRule="auto"/>
        <w:ind w:left="0"/>
        <w:jc w:val="left"/>
      </w:pPr>
      <w:r>
        <w:rPr>
          <w:rFonts w:eastAsia="等线" w:ascii="Arial" w:cs="Arial" w:hAnsi="Arial"/>
          <w:sz w:val="22"/>
        </w:rPr>
        <w:t>同比、环比分析</w:t>
      </w:r>
    </w:p>
    <w:p>
      <w:pPr>
        <w:numPr>
          <w:numId w:val="665"/>
        </w:numPr>
        <w:spacing w:before="120" w:after="120" w:line="288" w:lineRule="auto"/>
        <w:ind w:left="0"/>
        <w:jc w:val="left"/>
      </w:pPr>
      <w:r>
        <w:rPr>
          <w:rFonts w:eastAsia="等线" w:ascii="Arial" w:cs="Arial" w:hAnsi="Arial"/>
          <w:sz w:val="22"/>
        </w:rPr>
        <w:t>异常波动自动标注</w:t>
      </w:r>
    </w:p>
    <w:p>
      <w:pPr>
        <w:numPr>
          <w:numId w:val="666"/>
        </w:numPr>
        <w:spacing w:before="120" w:after="120" w:line="288" w:lineRule="auto"/>
        <w:ind w:left="0"/>
        <w:jc w:val="left"/>
      </w:pPr>
      <w:r>
        <w:rPr>
          <w:rFonts w:eastAsia="等线" w:ascii="Arial" w:cs="Arial" w:hAnsi="Arial"/>
          <w:sz w:val="22"/>
        </w:rPr>
        <w:t>提供改进建议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6" w:id="116"/>
      <w:r>
        <w:rPr>
          <w:rFonts w:eastAsia="等线" w:ascii="Arial" w:cs="Arial" w:hAnsi="Arial"/>
          <w:color w:val="3370ff"/>
          <w:sz w:val="30"/>
        </w:rPr>
        <w:t xml:space="preserve">3.4.6 </w:t>
      </w:r>
      <w:r>
        <w:rPr>
          <w:rFonts w:eastAsia="等线" w:ascii="Arial" w:cs="Arial" w:hAnsi="Arial"/>
          <w:b w:val="true"/>
          <w:color w:val="d83931"/>
          <w:sz w:val="30"/>
          <w:shd w:fill="fff67a"/>
        </w:rPr>
        <w:t>风险联动与协同策略</w:t>
      </w:r>
      <w:bookmarkEnd w:id="11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满足期望：核心企业预警从电话通知（1-3天延迟）变为实时推送</w:t>
            </w:r>
          </w:p>
        </w:tc>
      </w:tr>
    </w:tbl>
    <w:p>
      <w:pPr>
        <w:spacing w:before="120" w:after="120" w:line="288" w:lineRule="auto"/>
        <w:ind w:left="0"/>
        <w:jc w:val="left"/>
      </w:pPr>
      <w:r>
        <w:rPr>
          <w:rFonts w:eastAsia="等线" w:ascii="Arial" w:cs="Arial" w:hAnsi="Arial"/>
          <w:b w:val="true"/>
          <w:sz w:val="22"/>
        </w:rPr>
        <w:t>策略1：核心企业风险联动机制</w:t>
      </w:r>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：充分利用核心企业对渠道的管控能力，实现风险的早发现、早处置</w:t>
      </w:r>
    </w:p>
    <w:p>
      <w:pPr>
        <w:spacing w:before="120" w:after="120" w:line="288" w:lineRule="auto"/>
        <w:ind w:left="0"/>
        <w:jc w:val="left"/>
      </w:pPr>
      <w:r>
        <w:rPr>
          <w:rFonts w:eastAsia="等线" w:ascii="Arial" w:cs="Arial" w:hAnsi="Arial"/>
          <w:b w:val="true"/>
          <w:sz w:val="22"/>
        </w:rPr>
        <w:t>联动方式</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核心企业→平台（风险推送）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核心企业发现经销商异常</w:t>
              <w:br/>
              <w:t xml:space="preserve">  ↓</w:t>
              <w:br/>
              <w:t>通过系统推送预警到平台</w:t>
              <w:br/>
              <w:t xml:space="preserve">  ↓</w:t>
              <w:br/>
              <w:t>预警类型：</w:t>
              <w:br/>
              <w:t xml:space="preserve">  - 串货违规（高风险）</w:t>
              <w:br/>
              <w:t xml:space="preserve">  - 大量退货（中风险）</w:t>
              <w:br/>
              <w:t xml:space="preserve">  - 信用评级下降（中风险）</w:t>
              <w:br/>
              <w:t xml:space="preserve">  - 销售额异常下滑（低风险）</w:t>
              <w:br/>
              <w:t xml:space="preserve">  - 经营地址变更（低风险）</w:t>
              <w:br/>
              <w:t xml:space="preserve">  ↓</w:t>
              <w:br/>
              <w:t>平台自动接收并处理：</w:t>
              <w:br/>
              <w:t xml:space="preserve">  - 生成对应预警</w:t>
              <w:br/>
              <w:t xml:space="preserve">  - 关联该经销商所有在途业务</w:t>
              <w:br/>
              <w:t xml:space="preserve">  - 自动评估风险等级</w:t>
              <w:br/>
              <w:t xml:space="preserve">  - 高风险：冻结新增融资</w:t>
              <w:br/>
              <w:t xml:space="preserve">  - 推送给风控人员</w:t>
              <w:br/>
              <w:t xml:space="preserve">  ↓</w:t>
              <w:br/>
              <w:t>风控人员联系核心企业深入了解</w:t>
              <w:br/>
              <w:t xml:space="preserve">  ↓</w:t>
              <w:br/>
            </w:r>
            <w:r>
              <w:rPr>
                <w:rFonts w:eastAsia="Consolas" w:ascii="Consolas" w:cs="Consolas" w:hAnsi="Consolas"/>
                <w:sz w:val="22"/>
              </w:rPr>
              <w:t>决定处置措施</w:t>
            </w:r>
          </w:p>
        </w:tc>
      </w:tr>
    </w:tbl>
    <w:p>
      <w:pPr>
        <w:spacing w:before="120" w:after="120" w:line="288" w:lineRule="auto"/>
        <w:ind w:left="0"/>
        <w:jc w:val="left"/>
      </w:pPr>
      <w:r>
        <w:rPr>
          <w:rFonts w:eastAsia="等线" w:ascii="Arial" w:cs="Arial" w:hAnsi="Arial"/>
          <w:b w:val="true"/>
          <w:sz w:val="22"/>
        </w:rPr>
        <w:t>平台→核心企业（协同处置）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平台发现风险需核心企业协助</w:t>
              <w:br/>
              <w:t xml:space="preserve">  ↓</w:t>
              <w:br/>
              <w:t>自动推送给核心企业：</w:t>
              <w:br/>
              <w:t xml:space="preserve">  - 经销商逾期</w:t>
              <w:br/>
              <w:t xml:space="preserve">  - 质押物异常</w:t>
              <w:br/>
              <w:t xml:space="preserve">  - 串货疑似</w:t>
              <w:br/>
              <w:t xml:space="preserve">  ↓</w:t>
              <w:br/>
              <w:t>核心企业采取措施：</w:t>
              <w:br/>
              <w:t xml:space="preserve">  - 停止供货</w:t>
              <w:br/>
              <w:t xml:space="preserve">  - 催收欠款</w:t>
              <w:br/>
              <w:t xml:space="preserve">  - 核实库存</w:t>
              <w:br/>
              <w:t xml:space="preserve">  - 提供补充信息</w:t>
              <w:br/>
              <w:t xml:space="preserve">  ↓</w:t>
              <w:br/>
              <w:t>协同处置结果反馈平台</w:t>
              <w:br/>
              <w:t xml:space="preserve">  ↓</w:t>
              <w:br/>
            </w:r>
            <w:r>
              <w:rPr>
                <w:rFonts w:eastAsia="Consolas" w:ascii="Consolas" w:cs="Consolas" w:hAnsi="Consolas"/>
                <w:sz w:val="22"/>
              </w:rPr>
              <w:t>纳入核心企业合作评估</w:t>
            </w:r>
          </w:p>
        </w:tc>
      </w:tr>
    </w:tbl>
    <w:p>
      <w:pPr>
        <w:spacing w:before="120" w:after="120" w:line="288" w:lineRule="auto"/>
        <w:ind w:left="0"/>
        <w:jc w:val="left"/>
      </w:pPr>
      <w:r>
        <w:rPr>
          <w:rFonts w:eastAsia="等线" w:ascii="Arial" w:cs="Arial" w:hAnsi="Arial"/>
          <w:b w:val="true"/>
          <w:sz w:val="22"/>
        </w:rPr>
        <w:t>激励机制</w:t>
      </w:r>
      <w:r>
        <w:rPr>
          <w:rFonts w:eastAsia="等线" w:ascii="Arial" w:cs="Arial" w:hAnsi="Arial"/>
          <w:sz w:val="22"/>
        </w:rPr>
        <w:t>：</w:t>
      </w:r>
    </w:p>
    <w:p>
      <w:pPr>
        <w:numPr>
          <w:numId w:val="667"/>
        </w:numPr>
        <w:spacing w:before="120" w:after="120" w:line="288" w:lineRule="auto"/>
        <w:ind w:left="0"/>
        <w:jc w:val="left"/>
      </w:pPr>
      <w:r>
        <w:rPr>
          <w:rFonts w:eastAsia="等线" w:ascii="Arial" w:cs="Arial" w:hAnsi="Arial"/>
          <w:sz w:val="22"/>
        </w:rPr>
        <w:t>主动推送预警：奖励积分</w:t>
      </w:r>
    </w:p>
    <w:p>
      <w:pPr>
        <w:numPr>
          <w:numId w:val="668"/>
        </w:numPr>
        <w:spacing w:before="120" w:after="120" w:line="288" w:lineRule="auto"/>
        <w:ind w:left="0"/>
        <w:jc w:val="left"/>
      </w:pPr>
      <w:r>
        <w:rPr>
          <w:rFonts w:eastAsia="等线" w:ascii="Arial" w:cs="Arial" w:hAnsi="Arial"/>
          <w:sz w:val="22"/>
        </w:rPr>
        <w:t>协助处置及时：提高合作等级</w:t>
      </w:r>
    </w:p>
    <w:p>
      <w:pPr>
        <w:numPr>
          <w:numId w:val="669"/>
        </w:numPr>
        <w:spacing w:before="120" w:after="120" w:line="288" w:lineRule="auto"/>
        <w:ind w:left="0"/>
        <w:jc w:val="left"/>
      </w:pPr>
      <w:r>
        <w:rPr>
          <w:rFonts w:eastAsia="等线" w:ascii="Arial" w:cs="Arial" w:hAnsi="Arial"/>
          <w:sz w:val="22"/>
        </w:rPr>
        <w:t>推送准确率高：增加推荐额度</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策略2：分级响应与升级机制</w:t>
      </w:r>
    </w:p>
    <w:p>
      <w:pPr>
        <w:spacing w:before="120" w:after="120" w:line="288" w:lineRule="auto"/>
        <w:ind w:left="0"/>
        <w:jc w:val="left"/>
      </w:pPr>
      <w:r>
        <w:rPr>
          <w:rFonts w:eastAsia="等线" w:ascii="Arial" w:cs="Arial" w:hAnsi="Arial"/>
          <w:b w:val="true"/>
          <w:sz w:val="22"/>
        </w:rPr>
        <w:t>响应时效要求</w:t>
      </w:r>
      <w:r>
        <w:rPr>
          <w:rFonts w:eastAsia="等线" w:ascii="Arial" w:cs="Arial" w:hAnsi="Arial"/>
          <w:sz w:val="22"/>
        </w:rPr>
        <w:t>：</w:t>
      </w:r>
    </w:p>
    <w:p>
      <w:pPr>
        <w:spacing w:before="120" w:after="120" w:line="288" w:lineRule="auto"/>
        <w:ind w:left="0"/>
      </w:pPr>
      <w:r>
        <w:object>
          <v:shape id="_x0000_i1081" style="width:414pt;height:155pt;mso-width-percent:0;mso-height-percent:0;mso-width-percent:0;mso-height-percent:0" type="#_x0000_t75" o:ole="">
            <v:imagedata r:id="rId137" o:title=""/>
          </v:shape>
          <o:OLEObject DrawAspect="Icon" ObjectID="_1718471275" ProgID="Excel.Sheet.12" ShapeID="_x0000_i1081" Type="Embed" r:id="rId13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升级机制</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IF 责任人超时未响应 THEN</w:t>
              <w:br/>
              <w:t xml:space="preserve">    自动升级给上级</w:t>
              <w:br/>
              <w:t xml:space="preserve">    同时通知责任人和上级</w:t>
              <w:br/>
              <w:t xml:space="preserve">    记录超时情况</w:t>
              <w:br/>
              <w:t xml:space="preserve">    纳入绩效考核</w:t>
              <w:br/>
              <w:t>END IF</w:t>
              <w:br/>
              <w:br/>
              <w:t>IF 高风险预警3天仍未解决 THEN</w:t>
              <w:br/>
              <w:t xml:space="preserve">    升级至风控总监</w:t>
              <w:br/>
              <w:t xml:space="preserve">    列入重点跟踪</w:t>
              <w:br/>
              <w:t xml:space="preserve">    每日汇报进展</w:t>
              <w:br/>
            </w:r>
            <w:r>
              <w:rPr>
                <w:rFonts w:eastAsia="Consolas" w:ascii="Consolas" w:cs="Consolas" w:hAnsi="Consolas"/>
                <w:sz w:val="22"/>
              </w:rPr>
              <w:t>END IF</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策略3：风险知识库与案例沉淀</w:t>
      </w:r>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：将风险处置经验系统化，提升团队整体风控能力</w:t>
      </w:r>
    </w:p>
    <w:p>
      <w:pPr>
        <w:spacing w:before="120" w:after="120" w:line="288" w:lineRule="auto"/>
        <w:ind w:left="0"/>
        <w:jc w:val="left"/>
      </w:pPr>
      <w:r>
        <w:rPr>
          <w:rFonts w:eastAsia="等线" w:ascii="Arial" w:cs="Arial" w:hAnsi="Arial"/>
          <w:b w:val="true"/>
          <w:sz w:val="22"/>
        </w:rPr>
        <w:t>知识库内容</w:t>
      </w:r>
      <w:r>
        <w:rPr>
          <w:rFonts w:eastAsia="等线" w:ascii="Arial" w:cs="Arial" w:hAnsi="Arial"/>
          <w:sz w:val="22"/>
        </w:rPr>
        <w:t>：</w:t>
      </w:r>
    </w:p>
    <w:p>
      <w:pPr>
        <w:numPr>
          <w:numId w:val="670"/>
        </w:numPr>
        <w:spacing w:before="120" w:after="120" w:line="288" w:lineRule="auto"/>
        <w:ind w:left="0"/>
        <w:jc w:val="left"/>
      </w:pPr>
      <w:r>
        <w:rPr>
          <w:rFonts w:eastAsia="等线" w:ascii="Arial" w:cs="Arial" w:hAnsi="Arial"/>
          <w:b w:val="true"/>
          <w:sz w:val="22"/>
        </w:rPr>
        <w:t>典型风险案例</w:t>
      </w:r>
    </w:p>
    <w:p>
      <w:pPr>
        <w:numPr>
          <w:numId w:val="671"/>
        </w:numPr>
        <w:spacing w:before="120" w:after="120" w:line="288" w:lineRule="auto"/>
        <w:ind w:left="0"/>
        <w:jc w:val="left"/>
      </w:pPr>
      <w:r>
        <w:rPr>
          <w:rFonts w:eastAsia="等线" w:ascii="Arial" w:cs="Arial" w:hAnsi="Arial"/>
          <w:sz w:val="22"/>
        </w:rPr>
        <w:t>风险描述：什么风险，如何发现</w:t>
      </w:r>
    </w:p>
    <w:p>
      <w:pPr>
        <w:numPr>
          <w:numId w:val="672"/>
        </w:numPr>
        <w:spacing w:before="120" w:after="120" w:line="288" w:lineRule="auto"/>
        <w:ind w:left="0"/>
        <w:jc w:val="left"/>
      </w:pPr>
      <w:r>
        <w:rPr>
          <w:rFonts w:eastAsia="等线" w:ascii="Arial" w:cs="Arial" w:hAnsi="Arial"/>
          <w:sz w:val="22"/>
        </w:rPr>
        <w:t>处置过程：采取了哪些措施</w:t>
      </w:r>
    </w:p>
    <w:p>
      <w:pPr>
        <w:numPr>
          <w:numId w:val="673"/>
        </w:numPr>
        <w:spacing w:before="120" w:after="120" w:line="288" w:lineRule="auto"/>
        <w:ind w:left="0"/>
        <w:jc w:val="left"/>
      </w:pPr>
      <w:r>
        <w:rPr>
          <w:rFonts w:eastAsia="等线" w:ascii="Arial" w:cs="Arial" w:hAnsi="Arial"/>
          <w:sz w:val="22"/>
        </w:rPr>
        <w:t>处置结果：是否有效解决</w:t>
      </w:r>
    </w:p>
    <w:p>
      <w:pPr>
        <w:numPr>
          <w:numId w:val="674"/>
        </w:numPr>
        <w:spacing w:before="120" w:after="120" w:line="288" w:lineRule="auto"/>
        <w:ind w:left="0"/>
        <w:jc w:val="left"/>
      </w:pPr>
      <w:r>
        <w:rPr>
          <w:rFonts w:eastAsia="等线" w:ascii="Arial" w:cs="Arial" w:hAnsi="Arial"/>
          <w:sz w:val="22"/>
        </w:rPr>
        <w:t>经验教训：可复用的经验</w:t>
      </w:r>
    </w:p>
    <w:p>
      <w:pPr>
        <w:numPr>
          <w:numId w:val="675"/>
        </w:numPr>
        <w:spacing w:before="120" w:after="120" w:line="288" w:lineRule="auto"/>
        <w:ind w:left="0"/>
        <w:jc w:val="left"/>
      </w:pPr>
      <w:r>
        <w:rPr>
          <w:rFonts w:eastAsia="等线" w:ascii="Arial" w:cs="Arial" w:hAnsi="Arial"/>
          <w:b w:val="true"/>
          <w:sz w:val="22"/>
        </w:rPr>
        <w:t>处置方案库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风险类型：质押率超标</w:t>
              <w:br/>
              <w:t>常见原因：</w:t>
              <w:br/>
              <w:t xml:space="preserve">  1. 价格下跌（占60%）</w:t>
              <w:br/>
              <w:t xml:space="preserve">  2. 部分出库（占30%）</w:t>
              <w:br/>
              <w:t xml:space="preserve">  3. 盘点差异（占10%）</w:t>
              <w:br/>
              <w:br/>
              <w:t>处置方案：</w:t>
              <w:br/>
              <w:t xml:space="preserve">  方案A：要求补充质押物</w:t>
              <w:br/>
              <w:t xml:space="preserve">    适用：客户配合度高、有补充能力</w:t>
              <w:br/>
              <w:t xml:space="preserve">    成功率：85%</w:t>
              <w:br/>
              <w:t xml:space="preserve">    平均处置时间：3天</w:t>
              <w:br/>
              <w:t xml:space="preserve">    </w:t>
              <w:br/>
              <w:t xml:space="preserve">  方案B：要求部分还款</w:t>
              <w:br/>
              <w:t xml:space="preserve">    适用：客户资金充裕</w:t>
              <w:br/>
              <w:t xml:space="preserve">    成功率：70%</w:t>
              <w:br/>
              <w:t xml:space="preserve">    平均处置时间：5天</w:t>
              <w:br/>
              <w:t xml:space="preserve">    </w:t>
              <w:br/>
              <w:t xml:space="preserve">  方案C：货物处置</w:t>
              <w:br/>
              <w:t xml:space="preserve">    适用：客户不配合或无能力</w:t>
              <w:br/>
              <w:t xml:space="preserve">    成功率：50%</w:t>
              <w:br/>
            </w:r>
            <w:r>
              <w:rPr>
                <w:rFonts w:eastAsia="Consolas" w:ascii="Consolas" w:cs="Consolas" w:hAnsi="Consolas"/>
                <w:sz w:val="22"/>
              </w:rPr>
              <w:t xml:space="preserve">    平均处置时间：15天</w:t>
            </w:r>
          </w:p>
        </w:tc>
      </w:tr>
    </w:tbl>
    <w:p>
      <w:pPr>
        <w:numPr>
          <w:numId w:val="676"/>
        </w:numPr>
        <w:spacing w:before="120" w:after="120" w:line="288" w:lineRule="auto"/>
        <w:ind w:left="0"/>
        <w:jc w:val="left"/>
      </w:pPr>
      <w:r>
        <w:rPr>
          <w:rFonts w:eastAsia="等线" w:ascii="Arial" w:cs="Arial" w:hAnsi="Arial"/>
          <w:b w:val="true"/>
          <w:sz w:val="22"/>
        </w:rPr>
        <w:t>风险识别模型</w:t>
      </w:r>
    </w:p>
    <w:p>
      <w:pPr>
        <w:numPr>
          <w:numId w:val="677"/>
        </w:numPr>
        <w:spacing w:before="120" w:after="120" w:line="288" w:lineRule="auto"/>
        <w:ind w:left="0"/>
        <w:jc w:val="left"/>
      </w:pPr>
      <w:r>
        <w:rPr>
          <w:rFonts w:eastAsia="等线" w:ascii="Arial" w:cs="Arial" w:hAnsi="Arial"/>
          <w:sz w:val="22"/>
        </w:rPr>
        <w:t>基于历史数据训练</w:t>
      </w:r>
    </w:p>
    <w:p>
      <w:pPr>
        <w:numPr>
          <w:numId w:val="678"/>
        </w:numPr>
        <w:spacing w:before="120" w:after="120" w:line="288" w:lineRule="auto"/>
        <w:ind w:left="0"/>
        <w:jc w:val="left"/>
      </w:pPr>
      <w:r>
        <w:rPr>
          <w:rFonts w:eastAsia="等线" w:ascii="Arial" w:cs="Arial" w:hAnsi="Arial"/>
          <w:sz w:val="22"/>
        </w:rPr>
        <w:t>识别高风险客户特征</w:t>
      </w:r>
    </w:p>
    <w:p>
      <w:pPr>
        <w:numPr>
          <w:numId w:val="679"/>
        </w:numPr>
        <w:spacing w:before="120" w:after="120" w:line="288" w:lineRule="auto"/>
        <w:ind w:left="0"/>
        <w:jc w:val="left"/>
      </w:pPr>
      <w:r>
        <w:rPr>
          <w:rFonts w:eastAsia="等线" w:ascii="Arial" w:cs="Arial" w:hAnsi="Arial"/>
          <w:sz w:val="22"/>
        </w:rPr>
        <w:t>提供预测性预警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7" w:id="117"/>
      <w:r>
        <w:rPr>
          <w:rFonts w:eastAsia="等线" w:ascii="Arial" w:cs="Arial" w:hAnsi="Arial"/>
          <w:color w:val="3370ff"/>
          <w:sz w:val="30"/>
        </w:rPr>
        <w:t xml:space="preserve">3.4.7 </w:t>
      </w:r>
      <w:r>
        <w:rPr>
          <w:rFonts w:eastAsia="等线" w:ascii="Arial" w:cs="Arial" w:hAnsi="Arial"/>
          <w:b w:val="true"/>
          <w:sz w:val="30"/>
        </w:rPr>
        <w:t>上线效果</w:t>
      </w:r>
      <w:bookmarkEnd w:id="117"/>
    </w:p>
    <w:p>
      <w:pPr>
        <w:spacing w:before="120" w:after="120" w:line="288" w:lineRule="auto"/>
        <w:ind w:left="0"/>
        <w:jc w:val="left"/>
      </w:pPr>
      <w:r>
        <w:rPr>
          <w:rFonts w:eastAsia="等线" w:ascii="Arial" w:cs="Arial" w:hAnsi="Arial"/>
          <w:b w:val="true"/>
          <w:sz w:val="22"/>
        </w:rPr>
        <w:t>核心数据</w:t>
      </w:r>
    </w:p>
    <w:p>
      <w:pPr>
        <w:spacing w:before="120" w:after="120" w:line="288" w:lineRule="auto"/>
        <w:ind w:left="0"/>
      </w:pPr>
      <w:r>
        <w:object>
          <v:shape id="_x0000_i1082" style="width:414pt;height:136pt;mso-width-percent:0;mso-height-percent:0;mso-width-percent:0;mso-height-percent:0" type="#_x0000_t75" o:ole="">
            <v:imagedata r:id="rId139" o:title=""/>
          </v:shape>
          <o:OLEObject DrawAspect="Icon" ObjectID="_1718471276" ProgID="Excel.Sheet.12" ShapeID="_x0000_i1082" Type="Embed" r:id="rId13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KPI达成情况</w:t>
      </w:r>
    </w:p>
    <w:p>
      <w:pPr>
        <w:spacing w:before="120" w:after="120" w:line="288" w:lineRule="auto"/>
        <w:ind w:left="0"/>
      </w:pPr>
      <w:r>
        <w:object>
          <v:shape id="_x0000_i1083" style="width:414pt;height:136pt;mso-width-percent:0;mso-height-percent:0;mso-width-percent:0;mso-height-percent:0" type="#_x0000_t75" o:ole="">
            <v:imagedata r:id="rId141" o:title=""/>
          </v:shape>
          <o:OLEObject DrawAspect="Icon" ObjectID="_1718471277" ProgID="Excel.Sheet.12" ShapeID="_x0000_i1083" Type="Embed" r:id="rId14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风险控制成效</w:t>
      </w:r>
    </w:p>
    <w:p>
      <w:pPr>
        <w:spacing w:before="120" w:after="120" w:line="288" w:lineRule="auto"/>
        <w:ind w:left="0"/>
        <w:jc w:val="left"/>
      </w:pPr>
      <w:r>
        <w:rPr>
          <w:rFonts w:eastAsia="等线" w:ascii="Arial" w:cs="Arial" w:hAnsi="Arial"/>
          <w:b w:val="true"/>
          <w:sz w:val="22"/>
        </w:rPr>
        <w:t>逾期率降低</w:t>
      </w:r>
      <w:r>
        <w:rPr>
          <w:rFonts w:eastAsia="等线" w:ascii="Arial" w:cs="Arial" w:hAnsi="Arial"/>
          <w:sz w:val="22"/>
        </w:rPr>
        <w:t>：</w:t>
      </w:r>
    </w:p>
    <w:p>
      <w:pPr>
        <w:numPr>
          <w:numId w:val="680"/>
        </w:numPr>
        <w:spacing w:before="120" w:after="120" w:line="288" w:lineRule="auto"/>
        <w:ind w:left="0"/>
        <w:jc w:val="left"/>
      </w:pPr>
      <w:r>
        <w:rPr>
          <w:rFonts w:eastAsia="等线" w:ascii="Arial" w:cs="Arial" w:hAnsi="Arial"/>
          <w:sz w:val="22"/>
        </w:rPr>
        <w:t>上线前：月均逾期率4.2%</w:t>
      </w:r>
    </w:p>
    <w:p>
      <w:pPr>
        <w:numPr>
          <w:numId w:val="681"/>
        </w:numPr>
        <w:spacing w:before="120" w:after="120" w:line="288" w:lineRule="auto"/>
        <w:ind w:left="0"/>
        <w:jc w:val="left"/>
      </w:pPr>
      <w:r>
        <w:rPr>
          <w:rFonts w:eastAsia="等线" w:ascii="Arial" w:cs="Arial" w:hAnsi="Arial"/>
          <w:sz w:val="22"/>
        </w:rPr>
        <w:t>上线后：月均逾期率1.8%</w:t>
      </w:r>
    </w:p>
    <w:p>
      <w:pPr>
        <w:numPr>
          <w:numId w:val="682"/>
        </w:numPr>
        <w:spacing w:before="120" w:after="120" w:line="288" w:lineRule="auto"/>
        <w:ind w:left="0"/>
        <w:jc w:val="left"/>
      </w:pPr>
      <w:r>
        <w:rPr>
          <w:rFonts w:eastAsia="等线" w:ascii="Arial" w:cs="Arial" w:hAnsi="Arial"/>
          <w:sz w:val="22"/>
        </w:rPr>
        <w:t>降低：57%</w:t>
      </w:r>
    </w:p>
    <w:p>
      <w:pPr>
        <w:spacing w:before="120" w:after="120" w:line="288" w:lineRule="auto"/>
        <w:ind w:left="0"/>
        <w:jc w:val="left"/>
      </w:pPr>
      <w:r>
        <w:rPr>
          <w:rFonts w:eastAsia="等线" w:ascii="Arial" w:cs="Arial" w:hAnsi="Arial"/>
          <w:b w:val="true"/>
          <w:sz w:val="22"/>
        </w:rPr>
        <w:t>原因分析</w:t>
      </w:r>
      <w:r>
        <w:rPr>
          <w:rFonts w:eastAsia="等线" w:ascii="Arial" w:cs="Arial" w:hAnsi="Arial"/>
          <w:sz w:val="22"/>
        </w:rPr>
        <w:t>：</w:t>
      </w:r>
    </w:p>
    <w:p>
      <w:pPr>
        <w:numPr>
          <w:numId w:val="683"/>
        </w:numPr>
        <w:spacing w:before="120" w:after="120" w:line="288" w:lineRule="auto"/>
        <w:ind w:left="0"/>
        <w:jc w:val="left"/>
      </w:pPr>
      <w:r>
        <w:rPr>
          <w:rFonts w:eastAsia="等线" w:ascii="Arial" w:cs="Arial" w:hAnsi="Arial"/>
          <w:sz w:val="22"/>
        </w:rPr>
        <w:t>还款提醒自动化：到期前3天自动提醒</w:t>
      </w:r>
    </w:p>
    <w:p>
      <w:pPr>
        <w:numPr>
          <w:numId w:val="684"/>
        </w:numPr>
        <w:spacing w:before="120" w:after="120" w:line="288" w:lineRule="auto"/>
        <w:ind w:left="0"/>
        <w:jc w:val="left"/>
      </w:pPr>
      <w:r>
        <w:rPr>
          <w:rFonts w:eastAsia="等线" w:ascii="Arial" w:cs="Arial" w:hAnsi="Arial"/>
          <w:sz w:val="22"/>
        </w:rPr>
        <w:t>逾期立即预警：到期当天立即冻结新增融资</w:t>
      </w:r>
    </w:p>
    <w:p>
      <w:pPr>
        <w:numPr>
          <w:numId w:val="685"/>
        </w:numPr>
        <w:spacing w:before="120" w:after="120" w:line="288" w:lineRule="auto"/>
        <w:ind w:left="0"/>
        <w:jc w:val="left"/>
      </w:pPr>
      <w:r>
        <w:rPr>
          <w:rFonts w:eastAsia="等线" w:ascii="Arial" w:cs="Arial" w:hAnsi="Arial"/>
          <w:sz w:val="22"/>
        </w:rPr>
        <w:t>分级催收：根据逾期天数自动匹配催收策略</w:t>
      </w:r>
    </w:p>
    <w:p>
      <w:pPr>
        <w:spacing w:before="120" w:after="120" w:line="288" w:lineRule="auto"/>
        <w:ind w:left="0"/>
        <w:jc w:val="left"/>
      </w:pPr>
      <w:r>
        <w:rPr>
          <w:rFonts w:eastAsia="等线" w:ascii="Arial" w:cs="Arial" w:hAnsi="Arial"/>
          <w:b w:val="true"/>
          <w:sz w:val="22"/>
        </w:rPr>
        <w:t>风险损失降低</w:t>
      </w:r>
      <w:r>
        <w:rPr>
          <w:rFonts w:eastAsia="等线" w:ascii="Arial" w:cs="Arial" w:hAnsi="Arial"/>
          <w:sz w:val="22"/>
        </w:rPr>
        <w:t>：</w:t>
      </w:r>
    </w:p>
    <w:p>
      <w:pPr>
        <w:numPr>
          <w:numId w:val="686"/>
        </w:numPr>
        <w:spacing w:before="120" w:after="120" w:line="288" w:lineRule="auto"/>
        <w:ind w:left="0"/>
        <w:jc w:val="left"/>
      </w:pPr>
      <w:r>
        <w:rPr>
          <w:rFonts w:eastAsia="等线" w:ascii="Arial" w:cs="Arial" w:hAnsi="Arial"/>
          <w:sz w:val="22"/>
        </w:rPr>
        <w:t>上线前：年均风险损失约300万元</w:t>
      </w:r>
    </w:p>
    <w:p>
      <w:pPr>
        <w:numPr>
          <w:numId w:val="687"/>
        </w:numPr>
        <w:spacing w:before="120" w:after="120" w:line="288" w:lineRule="auto"/>
        <w:ind w:left="0"/>
        <w:jc w:val="left"/>
      </w:pPr>
      <w:r>
        <w:rPr>
          <w:rFonts w:eastAsia="等线" w:ascii="Arial" w:cs="Arial" w:hAnsi="Arial"/>
          <w:sz w:val="22"/>
        </w:rPr>
        <w:t>上线后：年均风险损失约80万元</w:t>
      </w:r>
    </w:p>
    <w:p>
      <w:pPr>
        <w:numPr>
          <w:numId w:val="688"/>
        </w:numPr>
        <w:spacing w:before="120" w:after="120" w:line="288" w:lineRule="auto"/>
        <w:ind w:left="0"/>
        <w:jc w:val="left"/>
      </w:pPr>
      <w:r>
        <w:rPr>
          <w:rFonts w:eastAsia="等线" w:ascii="Arial" w:cs="Arial" w:hAnsi="Arial"/>
          <w:sz w:val="22"/>
        </w:rPr>
        <w:t>降低：73%</w:t>
      </w:r>
    </w:p>
    <w:p>
      <w:pPr>
        <w:spacing w:before="120" w:after="120" w:line="288" w:lineRule="auto"/>
        <w:ind w:left="0"/>
        <w:jc w:val="left"/>
      </w:pPr>
      <w:r>
        <w:rPr>
          <w:rFonts w:eastAsia="等线" w:ascii="Arial" w:cs="Arial" w:hAnsi="Arial"/>
          <w:b w:val="true"/>
          <w:sz w:val="22"/>
        </w:rPr>
        <w:t>典型案例</w:t>
      </w:r>
    </w:p>
    <w:p>
      <w:pPr>
        <w:spacing w:before="120" w:after="120" w:line="288" w:lineRule="auto"/>
        <w:ind w:left="0"/>
        <w:jc w:val="left"/>
      </w:pPr>
      <w:r>
        <w:rPr>
          <w:rFonts w:eastAsia="等线" w:ascii="Arial" w:cs="Arial" w:hAnsi="Arial"/>
          <w:b w:val="true"/>
          <w:sz w:val="22"/>
        </w:rPr>
        <w:t>案例1：核心企业预警及时响应</w:t>
      </w:r>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w:t>
      </w:r>
    </w:p>
    <w:p>
      <w:pPr>
        <w:numPr>
          <w:numId w:val="689"/>
        </w:numPr>
        <w:spacing w:before="120" w:after="120" w:line="288" w:lineRule="auto"/>
        <w:ind w:left="0"/>
        <w:jc w:val="left"/>
      </w:pPr>
      <w:r>
        <w:rPr>
          <w:rFonts w:eastAsia="等线" w:ascii="Arial" w:cs="Arial" w:hAnsi="Arial"/>
          <w:sz w:val="22"/>
        </w:rPr>
        <w:t>核心企业发现某经销商大量串货</w:t>
      </w:r>
    </w:p>
    <w:p>
      <w:pPr>
        <w:numPr>
          <w:numId w:val="690"/>
        </w:numPr>
        <w:spacing w:before="120" w:after="120" w:line="288" w:lineRule="auto"/>
        <w:ind w:left="0"/>
        <w:jc w:val="left"/>
      </w:pPr>
      <w:r>
        <w:rPr>
          <w:rFonts w:eastAsia="等线" w:ascii="Arial" w:cs="Arial" w:hAnsi="Arial"/>
          <w:sz w:val="22"/>
        </w:rPr>
        <w:t>该经销商在平台有2笔在途融资，余额50万</w:t>
      </w:r>
    </w:p>
    <w:p>
      <w:pPr>
        <w:spacing w:before="120" w:after="120" w:line="288" w:lineRule="auto"/>
        <w:ind w:left="0"/>
        <w:jc w:val="left"/>
      </w:pPr>
      <w:r>
        <w:rPr>
          <w:rFonts w:eastAsia="等线" w:ascii="Arial" w:cs="Arial" w:hAnsi="Arial"/>
          <w:b w:val="true"/>
          <w:sz w:val="22"/>
        </w:rPr>
        <w:t>传统方式处理</w:t>
      </w:r>
      <w:r>
        <w:rPr>
          <w:rFonts w:eastAsia="等线" w:ascii="Arial" w:cs="Arial" w:hAnsi="Arial"/>
          <w:sz w:val="22"/>
        </w:rPr>
        <w:t>：</w:t>
      </w:r>
    </w:p>
    <w:p>
      <w:pPr>
        <w:numPr>
          <w:numId w:val="691"/>
        </w:numPr>
        <w:spacing w:before="120" w:after="120" w:line="288" w:lineRule="auto"/>
        <w:ind w:left="0"/>
        <w:jc w:val="left"/>
      </w:pPr>
      <w:r>
        <w:rPr>
          <w:rFonts w:eastAsia="等线" w:ascii="Arial" w:cs="Arial" w:hAnsi="Arial"/>
          <w:sz w:val="22"/>
        </w:rPr>
        <w:t>核心企业电话通知平台（1天后）</w:t>
      </w:r>
    </w:p>
    <w:p>
      <w:pPr>
        <w:numPr>
          <w:numId w:val="692"/>
        </w:numPr>
        <w:spacing w:before="120" w:after="120" w:line="288" w:lineRule="auto"/>
        <w:ind w:left="0"/>
        <w:jc w:val="left"/>
      </w:pPr>
      <w:r>
        <w:rPr>
          <w:rFonts w:eastAsia="等线" w:ascii="Arial" w:cs="Arial" w:hAnsi="Arial"/>
          <w:sz w:val="22"/>
        </w:rPr>
        <w:t>平台人工查询该经销商业务（半天）</w:t>
      </w:r>
    </w:p>
    <w:p>
      <w:pPr>
        <w:numPr>
          <w:numId w:val="693"/>
        </w:numPr>
        <w:spacing w:before="120" w:after="120" w:line="288" w:lineRule="auto"/>
        <w:ind w:left="0"/>
        <w:jc w:val="left"/>
      </w:pPr>
      <w:r>
        <w:rPr>
          <w:rFonts w:eastAsia="等线" w:ascii="Arial" w:cs="Arial" w:hAnsi="Arial"/>
          <w:sz w:val="22"/>
        </w:rPr>
        <w:t>评估风险并决定冻结（半天）</w:t>
      </w:r>
    </w:p>
    <w:p>
      <w:pPr>
        <w:numPr>
          <w:numId w:val="694"/>
        </w:numPr>
        <w:spacing w:before="120" w:after="120" w:line="288" w:lineRule="auto"/>
        <w:ind w:left="0"/>
        <w:jc w:val="left"/>
      </w:pPr>
      <w:r>
        <w:rPr>
          <w:rFonts w:eastAsia="等线" w:ascii="Arial" w:cs="Arial" w:hAnsi="Arial"/>
          <w:sz w:val="22"/>
        </w:rPr>
        <w:t>总耗时：约2天</w:t>
      </w:r>
    </w:p>
    <w:p>
      <w:pPr>
        <w:numPr>
          <w:numId w:val="695"/>
        </w:numPr>
        <w:spacing w:before="120" w:after="120" w:line="288" w:lineRule="auto"/>
        <w:ind w:left="0"/>
        <w:jc w:val="left"/>
      </w:pPr>
      <w:r>
        <w:rPr>
          <w:rFonts w:eastAsia="等线" w:ascii="Arial" w:cs="Arial" w:hAnsi="Arial"/>
          <w:sz w:val="22"/>
        </w:rPr>
        <w:t>期间可能继续放款或出库</w:t>
      </w:r>
    </w:p>
    <w:p>
      <w:pPr>
        <w:spacing w:before="120" w:after="120" w:line="288" w:lineRule="auto"/>
        <w:ind w:left="0"/>
        <w:jc w:val="left"/>
      </w:pPr>
      <w:r>
        <w:rPr>
          <w:rFonts w:eastAsia="等线" w:ascii="Arial" w:cs="Arial" w:hAnsi="Arial"/>
          <w:b w:val="true"/>
          <w:sz w:val="22"/>
        </w:rPr>
        <w:t>系统处理</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11:00 核心企业在系统推送预警</w:t>
              <w:br/>
              <w:t xml:space="preserve">      "发现XX经销商大量跨区串货"</w:t>
              <w:br/>
              <w:t xml:space="preserve">      ↓</w:t>
              <w:br/>
              <w:t>11:02 系统自动接收预警</w:t>
              <w:br/>
              <w:t xml:space="preserve">      自动关联该经销商2笔业务</w:t>
              <w:br/>
              <w:t xml:space="preserve">      评估风险等级：高</w:t>
              <w:br/>
              <w:t xml:space="preserve">      ↓</w:t>
              <w:br/>
              <w:t>11:02 自动冻结新增融资</w:t>
              <w:br/>
              <w:t xml:space="preserve">      冻结出库申请</w:t>
              <w:br/>
              <w:t xml:space="preserve">      ↓</w:t>
              <w:br/>
              <w:t>11:05 推送预警给风控人员</w:t>
              <w:br/>
              <w:t xml:space="preserve">      ↓</w:t>
              <w:br/>
              <w:t>11:30 风控人员联系核心企业深入了解</w:t>
              <w:br/>
              <w:t xml:space="preserve">      ↓</w:t>
              <w:br/>
              <w:t>12:00 决定要求客户说明情况</w:t>
              <w:br/>
              <w:t xml:space="preserve">      并要求补充质押物</w:t>
              <w:br/>
              <w:t xml:space="preserve">      ↓</w:t>
              <w:br/>
              <w:t>3天后 客户补充质押物</w:t>
              <w:br/>
              <w:t xml:space="preserve">      解除冻结</w:t>
              <w:br/>
              <w:br/>
              <w:t>总耗时：2小时内完成风险响应</w:t>
              <w:br/>
            </w:r>
            <w:r>
              <w:rPr>
                <w:rFonts w:eastAsia="Consolas" w:ascii="Consolas" w:cs="Consolas" w:hAnsi="Consolas"/>
                <w:sz w:val="22"/>
              </w:rPr>
              <w:t>避免损失：约15万（如继续出库的潜在风险）</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案例2：品类差异化预警避免损失</w:t>
      </w:r>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w:t>
      </w:r>
    </w:p>
    <w:p>
      <w:pPr>
        <w:numPr>
          <w:numId w:val="696"/>
        </w:numPr>
        <w:spacing w:before="120" w:after="120" w:line="288" w:lineRule="auto"/>
        <w:ind w:left="0"/>
        <w:jc w:val="left"/>
      </w:pPr>
      <w:r>
        <w:rPr>
          <w:rFonts w:eastAsia="等线" w:ascii="Arial" w:cs="Arial" w:hAnsi="Arial"/>
          <w:sz w:val="22"/>
        </w:rPr>
        <w:t>某品牌手机新品即将发布</w:t>
      </w:r>
    </w:p>
    <w:p>
      <w:pPr>
        <w:numPr>
          <w:numId w:val="697"/>
        </w:numPr>
        <w:spacing w:before="120" w:after="120" w:line="288" w:lineRule="auto"/>
        <w:ind w:left="0"/>
        <w:jc w:val="left"/>
      </w:pPr>
      <w:r>
        <w:rPr>
          <w:rFonts w:eastAsia="等线" w:ascii="Arial" w:cs="Arial" w:hAnsi="Arial"/>
          <w:sz w:val="22"/>
        </w:rPr>
        <w:t>平台有该品牌旧款手机质押物200万</w:t>
      </w:r>
    </w:p>
    <w:p>
      <w:pPr>
        <w:spacing w:before="120" w:after="120" w:line="288" w:lineRule="auto"/>
        <w:ind w:left="0"/>
        <w:jc w:val="left"/>
      </w:pPr>
      <w:r>
        <w:rPr>
          <w:rFonts w:eastAsia="等线" w:ascii="Arial" w:cs="Arial" w:hAnsi="Arial"/>
          <w:b w:val="true"/>
          <w:sz w:val="22"/>
        </w:rPr>
        <w:t>系统处理</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新品发布前30天：</w:t>
              <w:br/>
              <w:t xml:space="preserve">  系统自动预警"新品发布，旧款可能降价"</w:t>
              <w:br/>
              <w:t xml:space="preserve">  ↓</w:t>
              <w:br/>
              <w:t>自动识别所有相关业务（15笔）</w:t>
              <w:br/>
              <w:t xml:space="preserve">  ↓</w:t>
              <w:br/>
              <w:t>自动将质押率从65%降至55%</w:t>
              <w:br/>
              <w:t xml:space="preserve">  （货值维持200万，但可融资额从130万降至110万）</w:t>
              <w:br/>
              <w:t xml:space="preserve">  ↓</w:t>
              <w:br/>
              <w:t>推送给客户经理评估</w:t>
              <w:br/>
              <w:t xml:space="preserve">  ↓</w:t>
              <w:br/>
              <w:t>经过评估，其中5笔业务质押率超标</w:t>
              <w:br/>
              <w:t xml:space="preserve">  要求客户补充质押物或部分还款</w:t>
              <w:br/>
              <w:t xml:space="preserve">  ↓</w:t>
              <w:br/>
              <w:t>客户配合处置</w:t>
              <w:br/>
              <w:t xml:space="preserve">  </w:t>
              <w:br/>
              <w:t>新品发布后：</w:t>
              <w:br/>
              <w:t xml:space="preserve">  旧款价格下跌18%</w:t>
              <w:br/>
              <w:t xml:space="preserve">  如未提前预警，质押率将达到111%</w:t>
              <w:br/>
            </w:r>
            <w:r>
              <w:rPr>
                <w:rFonts w:eastAsia="Consolas" w:ascii="Consolas" w:cs="Consolas" w:hAnsi="Consolas"/>
                <w:sz w:val="22"/>
              </w:rPr>
              <w:t xml:space="preserve">  避免损失：约22万</w:t>
            </w:r>
          </w:p>
        </w:tc>
      </w:tr>
    </w:tbl>
    <w:p>
      <w:pPr>
        <w:spacing w:before="120" w:after="120" w:line="288" w:lineRule="auto"/>
        <w:ind w:left="0"/>
        <w:jc w:val="left"/>
      </w:pPr>
      <w:r>
        <w:rPr>
          <w:rFonts w:eastAsia="等线" w:ascii="Arial" w:cs="Arial" w:hAnsi="Arial"/>
          <w:b w:val="true"/>
          <w:sz w:val="22"/>
        </w:rPr>
        <w:t>价值</w:t>
      </w:r>
      <w:r>
        <w:rPr>
          <w:rFonts w:eastAsia="等线" w:ascii="Arial" w:cs="Arial" w:hAnsi="Arial"/>
          <w:sz w:val="22"/>
        </w:rPr>
        <w:t>：</w:t>
      </w:r>
    </w:p>
    <w:p>
      <w:pPr>
        <w:numPr>
          <w:numId w:val="698"/>
        </w:numPr>
        <w:spacing w:before="120" w:after="120" w:line="288" w:lineRule="auto"/>
        <w:ind w:left="0"/>
        <w:jc w:val="left"/>
      </w:pPr>
      <w:r>
        <w:rPr>
          <w:rFonts w:eastAsia="等线" w:ascii="Arial" w:cs="Arial" w:hAnsi="Arial"/>
          <w:sz w:val="22"/>
        </w:rPr>
        <w:t>提前预警，主动防控</w:t>
      </w:r>
    </w:p>
    <w:p>
      <w:pPr>
        <w:numPr>
          <w:numId w:val="699"/>
        </w:numPr>
        <w:spacing w:before="120" w:after="120" w:line="288" w:lineRule="auto"/>
        <w:ind w:left="0"/>
        <w:jc w:val="left"/>
      </w:pPr>
      <w:r>
        <w:rPr>
          <w:rFonts w:eastAsia="等线" w:ascii="Arial" w:cs="Arial" w:hAnsi="Arial"/>
          <w:sz w:val="22"/>
        </w:rPr>
        <w:t>品类特性针对性监控</w:t>
      </w:r>
    </w:p>
    <w:p>
      <w:pPr>
        <w:numPr>
          <w:numId w:val="700"/>
        </w:numPr>
        <w:spacing w:before="120" w:after="120" w:line="288" w:lineRule="auto"/>
        <w:ind w:left="0"/>
        <w:jc w:val="left"/>
      </w:pPr>
      <w:r>
        <w:rPr>
          <w:rFonts w:eastAsia="等线" w:ascii="Arial" w:cs="Arial" w:hAnsi="Arial"/>
          <w:sz w:val="22"/>
        </w:rPr>
        <w:t>避免市场变化带来的被动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8" w:id="118"/>
      <w:r>
        <w:rPr>
          <w:rFonts w:eastAsia="等线" w:ascii="Arial" w:cs="Arial" w:hAnsi="Arial"/>
          <w:color w:val="3370ff"/>
          <w:sz w:val="32"/>
        </w:rPr>
        <w:t xml:space="preserve">3.5 </w:t>
      </w:r>
      <w:r>
        <w:rPr>
          <w:rFonts w:eastAsia="等线" w:ascii="Arial" w:cs="Arial" w:hAnsi="Arial"/>
          <w:b w:val="true"/>
          <w:sz w:val="32"/>
        </w:rPr>
        <w:t>贷后管理</w:t>
      </w:r>
      <w:bookmarkEnd w:id="118"/>
    </w:p>
    <w:p>
      <w:pPr>
        <w:pStyle w:val="3"/>
        <w:spacing w:before="300" w:after="120" w:line="288" w:lineRule="auto"/>
        <w:ind w:left="0"/>
        <w:jc w:val="left"/>
        <w:outlineLvl w:val="2"/>
      </w:pPr>
      <w:bookmarkStart w:name="heading_119" w:id="119"/>
      <w:r>
        <w:rPr>
          <w:rFonts w:eastAsia="等线" w:ascii="Arial" w:cs="Arial" w:hAnsi="Arial"/>
          <w:color w:val="3370ff"/>
          <w:sz w:val="30"/>
        </w:rPr>
        <w:t xml:space="preserve">3.5.1 </w:t>
      </w:r>
      <w:r>
        <w:rPr>
          <w:rFonts w:eastAsia="等线" w:ascii="Arial" w:cs="Arial" w:hAnsi="Arial"/>
          <w:b w:val="true"/>
          <w:sz w:val="30"/>
        </w:rPr>
        <w:t>业务概述</w:t>
      </w:r>
      <w:bookmarkEnd w:id="119"/>
    </w:p>
    <w:p>
      <w:pPr>
        <w:spacing w:before="120" w:after="120" w:line="288" w:lineRule="auto"/>
        <w:ind w:left="0"/>
        <w:jc w:val="left"/>
      </w:pPr>
      <w:r>
        <w:rPr>
          <w:rFonts w:eastAsia="等线" w:ascii="Arial" w:cs="Arial" w:hAnsi="Arial"/>
          <w:sz w:val="22"/>
        </w:rPr>
        <w:t>贷后管理是融资业务的收尾环节和风险处置的关键阶段，通过对逾期业务的催收、货物处置、法律诉讼和资产核销的全流程管理，最大限度降低平台和银行的资金损失。核心特色是</w:t>
      </w:r>
      <w:r>
        <w:rPr>
          <w:rFonts w:eastAsia="等线" w:ascii="Arial" w:cs="Arial" w:hAnsi="Arial"/>
          <w:b w:val="true"/>
          <w:sz w:val="22"/>
        </w:rPr>
        <w:t>建立与核心企业的协同催收机制</w:t>
      </w:r>
      <w:r>
        <w:rPr>
          <w:rFonts w:eastAsia="等线" w:ascii="Arial" w:cs="Arial" w:hAnsi="Arial"/>
          <w:sz w:val="22"/>
        </w:rPr>
        <w:t>和</w:t>
      </w:r>
      <w:r>
        <w:rPr>
          <w:rFonts w:eastAsia="等线" w:ascii="Arial" w:cs="Arial" w:hAnsi="Arial"/>
          <w:b w:val="true"/>
          <w:sz w:val="22"/>
        </w:rPr>
        <w:t>质押物快速处置渠道（优先考虑核心企业回购）</w:t>
      </w:r>
      <w:r>
        <w:rPr>
          <w:rFonts w:eastAsia="等线" w:ascii="Arial" w:cs="Arial" w:hAnsi="Arial"/>
          <w:sz w:val="22"/>
        </w:rPr>
        <w:t>，充分利用核心企业对经销商的影响力和对货物的回购能力。</w:t>
      </w:r>
    </w:p>
    <w:p>
      <w:pPr>
        <w:spacing w:before="120" w:after="120" w:line="288" w:lineRule="auto"/>
        <w:ind w:left="0"/>
        <w:jc w:val="left"/>
      </w:pPr>
      <w:r>
        <w:rPr>
          <w:rFonts w:eastAsia="等线" w:ascii="Arial" w:cs="Arial" w:hAnsi="Arial"/>
          <w:b w:val="true"/>
          <w:sz w:val="22"/>
        </w:rPr>
        <w:t>模块定位</w:t>
      </w:r>
      <w:r>
        <w:rPr>
          <w:rFonts w:eastAsia="等线" w:ascii="Arial" w:cs="Arial" w:hAnsi="Arial"/>
          <w:sz w:val="22"/>
        </w:rPr>
        <w:t>：</w:t>
      </w:r>
    </w:p>
    <w:p>
      <w:pPr>
        <w:numPr>
          <w:numId w:val="701"/>
        </w:numPr>
        <w:spacing w:before="120" w:after="120" w:line="288" w:lineRule="auto"/>
        <w:ind w:left="0"/>
        <w:jc w:val="left"/>
      </w:pPr>
      <w:r>
        <w:rPr>
          <w:rFonts w:eastAsia="等线" w:ascii="Arial" w:cs="Arial" w:hAnsi="Arial"/>
          <w:b w:val="true"/>
          <w:sz w:val="22"/>
        </w:rPr>
        <w:t>催收管理</w:t>
      </w:r>
      <w:r>
        <w:rPr>
          <w:rFonts w:eastAsia="等线" w:ascii="Arial" w:cs="Arial" w:hAnsi="Arial"/>
          <w:sz w:val="22"/>
        </w:rPr>
        <w:t>：分级催收策略，核心企业协同</w:t>
      </w:r>
    </w:p>
    <w:p>
      <w:pPr>
        <w:numPr>
          <w:numId w:val="702"/>
        </w:numPr>
        <w:spacing w:before="120" w:after="120" w:line="288" w:lineRule="auto"/>
        <w:ind w:left="0"/>
        <w:jc w:val="left"/>
      </w:pPr>
      <w:r>
        <w:rPr>
          <w:rFonts w:eastAsia="等线" w:ascii="Arial" w:cs="Arial" w:hAnsi="Arial"/>
          <w:b w:val="true"/>
          <w:sz w:val="22"/>
        </w:rPr>
        <w:t>资产保全</w:t>
      </w:r>
      <w:r>
        <w:rPr>
          <w:rFonts w:eastAsia="等线" w:ascii="Arial" w:cs="Arial" w:hAnsi="Arial"/>
          <w:sz w:val="22"/>
        </w:rPr>
        <w:t>：质押物快速变现，核心企业回购优先</w:t>
      </w:r>
    </w:p>
    <w:p>
      <w:pPr>
        <w:numPr>
          <w:numId w:val="703"/>
        </w:numPr>
        <w:spacing w:before="120" w:after="120" w:line="288" w:lineRule="auto"/>
        <w:ind w:left="0"/>
        <w:jc w:val="left"/>
      </w:pPr>
      <w:r>
        <w:rPr>
          <w:rFonts w:eastAsia="等线" w:ascii="Arial" w:cs="Arial" w:hAnsi="Arial"/>
          <w:b w:val="true"/>
          <w:sz w:val="22"/>
        </w:rPr>
        <w:t>损失控制</w:t>
      </w:r>
      <w:r>
        <w:rPr>
          <w:rFonts w:eastAsia="等线" w:ascii="Arial" w:cs="Arial" w:hAnsi="Arial"/>
          <w:sz w:val="22"/>
        </w:rPr>
        <w:t>：最小化资金损失</w:t>
      </w:r>
    </w:p>
    <w:p>
      <w:pPr>
        <w:spacing w:before="120" w:after="120" w:line="288" w:lineRule="auto"/>
        <w:ind w:left="0"/>
        <w:jc w:val="left"/>
      </w:pPr>
      <w:r>
        <w:rPr>
          <w:rFonts w:eastAsia="等线" w:ascii="Arial" w:cs="Arial" w:hAnsi="Arial"/>
          <w:b w:val="true"/>
          <w:sz w:val="22"/>
        </w:rPr>
        <w:t>核心业务目标</w:t>
      </w:r>
      <w:r>
        <w:rPr>
          <w:rFonts w:eastAsia="等线" w:ascii="Arial" w:cs="Arial" w:hAnsi="Arial"/>
          <w:sz w:val="22"/>
        </w:rPr>
        <w:t>：M1催收成功率≥90%、逾期回收率≥90%、协同催收成功率≥65%、货物处置周期≤45天、货物处置回收率≥85%。</w:t>
      </w:r>
    </w:p>
    <w:p>
      <w:pPr>
        <w:spacing w:before="120" w:after="120" w:line="288" w:lineRule="auto"/>
        <w:ind w:left="0"/>
        <w:jc w:val="left"/>
      </w:pPr>
      <w:r>
        <w:rPr>
          <w:rFonts w:eastAsia="等线" w:ascii="Arial" w:cs="Arial" w:hAnsi="Arial"/>
          <w:b w:val="true"/>
          <w:sz w:val="22"/>
        </w:rPr>
        <w:t>核心运营策略</w:t>
      </w:r>
      <w:r>
        <w:rPr>
          <w:rFonts w:eastAsia="等线" w:ascii="Arial" w:cs="Arial" w:hAnsi="Arial"/>
          <w:sz w:val="22"/>
        </w:rPr>
        <w:t>：通过</w:t>
      </w:r>
      <w:r>
        <w:rPr>
          <w:rFonts w:eastAsia="等线" w:ascii="Arial" w:cs="Arial" w:hAnsi="Arial"/>
          <w:b w:val="true"/>
          <w:sz w:val="22"/>
        </w:rPr>
        <w:t>分级催收机制</w:t>
      </w:r>
      <w:r>
        <w:rPr>
          <w:rFonts w:eastAsia="等线" w:ascii="Arial" w:cs="Arial" w:hAnsi="Arial"/>
          <w:sz w:val="22"/>
        </w:rPr>
        <w:t>确保及时响应，通过</w:t>
      </w:r>
      <w:r>
        <w:rPr>
          <w:rFonts w:eastAsia="等线" w:ascii="Arial" w:cs="Arial" w:hAnsi="Arial"/>
          <w:b w:val="true"/>
          <w:sz w:val="22"/>
        </w:rPr>
        <w:t>核心企业协同催收</w:t>
      </w:r>
      <w:r>
        <w:rPr>
          <w:rFonts w:eastAsia="等线" w:ascii="Arial" w:cs="Arial" w:hAnsi="Arial"/>
          <w:sz w:val="22"/>
        </w:rPr>
        <w:t>提升催收效果，通过</w:t>
      </w:r>
      <w:r>
        <w:rPr>
          <w:rFonts w:eastAsia="等线" w:ascii="Arial" w:cs="Arial" w:hAnsi="Arial"/>
          <w:b w:val="true"/>
          <w:sz w:val="22"/>
        </w:rPr>
        <w:t>核心企业回购优先机制</w:t>
      </w:r>
      <w:r>
        <w:rPr>
          <w:rFonts w:eastAsia="等线" w:ascii="Arial" w:cs="Arial" w:hAnsi="Arial"/>
          <w:sz w:val="22"/>
        </w:rPr>
        <w:t>缩短处置周期、提高回收率。</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0" w:id="120"/>
      <w:r>
        <w:rPr>
          <w:rFonts w:eastAsia="等线" w:ascii="Arial" w:cs="Arial" w:hAnsi="Arial"/>
          <w:color w:val="3370ff"/>
          <w:sz w:val="30"/>
        </w:rPr>
        <w:t xml:space="preserve">3.5.2 </w:t>
      </w:r>
      <w:r>
        <w:rPr>
          <w:rFonts w:eastAsia="等线" w:ascii="Arial" w:cs="Arial" w:hAnsi="Arial"/>
          <w:b w:val="true"/>
          <w:sz w:val="30"/>
        </w:rPr>
        <w:t>核心痛点</w:t>
      </w:r>
      <w:bookmarkEnd w:id="12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【决策层】：</w:t>
            </w:r>
          </w:p>
          <w:p>
            <w:pPr>
              <w:numPr>
                <w:numId w:val="704"/>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缺乏核心企业协同催收效果和货物处置效率的量化数据，无法优化贷后策略。例如核心企业A协同催收成功率75%，核心企业B仅30%，但平台采用相同的协同策略。货物处置周期平均60天，主要依赖市场拍卖渠道，回收率仅75%，核心企业回购渠道未被充分利用。</w:t>
            </w:r>
          </w:p>
          <w:p>
            <w:pPr>
              <w:numPr>
                <w:numId w:val="705"/>
              </w:numPr>
              <w:spacing w:before="120" w:after="120" w:line="288" w:lineRule="auto"/>
              <w:ind w:left="0"/>
              <w:jc w:val="left"/>
            </w:pPr>
            <w:r>
              <w:rPr>
                <w:rFonts w:eastAsia="等线" w:ascii="Arial" w:cs="Arial" w:hAnsi="Arial"/>
                <w:b w:val="true"/>
                <w:color w:val="d83931"/>
                <w:sz w:val="22"/>
              </w:rPr>
              <w:t>【期望】</w:t>
            </w:r>
            <w:r>
              <w:rPr>
                <w:rFonts w:eastAsia="等线" w:ascii="Arial" w:cs="Arial" w:hAnsi="Arial"/>
                <w:sz w:val="22"/>
              </w:rPr>
              <w:t>实时掌握各核心企业协同催收成功率、货物处置周期、各渠道回收率等指标，支持贷后策略优化。通过分级协同机制、核心企业回购优先机制、激励制度优化等措施，推动协同催收成功率从45%提升至65%，货物处置周期从60天缩短至45天。</w:t>
            </w:r>
          </w:p>
          <w:p>
            <w:pPr>
              <w:numPr>
                <w:numId w:val="706"/>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建立自动化的逾期识别和分级机制根据逾期时间和金额自动划分逾期等级触发相应的催收流程，提供标准化的催收流程和模板支持催收任务的自动分配和效果评估，建立货物处置全流程管理确保处置的透明性和高效性，提供法律诉讼案件的集中管理和不良资产核销的审批流程。系统在逾期发生时自动通知核心企业并请求协同催收，系统提供质押物的多渠道处置方案并智能推荐最优方案，系统记录核心企业在协同催收和货物处置中的参与情况并纳入合作评估。</w:t>
            </w:r>
          </w:p>
          <w:p>
            <w:pPr>
              <w:spacing w:before="120" w:after="120" w:line="288" w:lineRule="auto"/>
              <w:ind w:left="0"/>
              <w:jc w:val="left"/>
            </w:pPr>
            <w:r>
              <w:rPr>
                <w:rFonts w:eastAsia="等线" w:ascii="Arial" w:cs="Arial" w:hAnsi="Arial"/>
                <w:b w:val="true"/>
                <w:sz w:val="22"/>
              </w:rPr>
              <w:t>📋 管理层：</w:t>
            </w:r>
          </w:p>
          <w:p>
            <w:pPr>
              <w:numPr>
                <w:numId w:val="707"/>
              </w:numPr>
              <w:spacing w:before="120" w:after="120" w:line="288" w:lineRule="auto"/>
              <w:ind w:left="0"/>
              <w:jc w:val="left"/>
            </w:pPr>
            <w:r>
              <w:rPr>
                <w:rFonts w:eastAsia="等线" w:ascii="Arial" w:cs="Arial" w:hAnsi="Arial"/>
                <w:b w:val="true"/>
                <w:sz w:val="22"/>
              </w:rPr>
              <w:t>逾期催收管理</w:t>
            </w:r>
          </w:p>
          <w:p>
            <w:pPr>
              <w:numPr>
                <w:numId w:val="708"/>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将M1催收成功率提升至90%、逾期回收率提升至90%</w:t>
            </w:r>
            <w:r>
              <w:rPr>
                <w:rFonts w:eastAsia="等线" w:ascii="Arial" w:cs="Arial" w:hAnsi="Arial"/>
                <w:sz w:val="22"/>
              </w:rPr>
              <w:t>（业务KPI），需要建立及时有效的催收机制。但由于：</w:t>
            </w:r>
          </w:p>
          <w:p>
            <w:pPr>
              <w:numPr>
                <w:numId w:val="709"/>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：逾期发现不及时，还款到期日当天未还款但平台未及时发现，手工查询时已逾期2-3天；催收工作缺乏规范流程，催收人员凭经验操作，措施和记录因人而异；缺乏催收绩效考核机制，催收效果难以评估和改进</w:t>
            </w:r>
          </w:p>
          <w:p>
            <w:pPr>
              <w:numPr>
                <w:numId w:val="710"/>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：催收记录手工记录在Excel或笔记本中，查找不便易丢失；缺乏自动化的逾期识别和催收任务分配机制</w:t>
            </w:r>
          </w:p>
          <w:p>
            <w:pPr>
              <w:spacing w:before="120" w:after="120" w:line="288" w:lineRule="auto"/>
              <w:ind w:left="453"/>
              <w:jc w:val="left"/>
            </w:pPr>
            <w:r>
              <w:rPr>
                <w:rFonts w:eastAsia="等线" w:ascii="Arial" w:cs="Arial" w:hAnsi="Arial"/>
                <w:sz w:val="22"/>
              </w:rPr>
              <w:t>导致M1催收成功率仅75%，逾期回收率仅82%，约18%的逾期金额最终形成不良。</w:t>
            </w:r>
          </w:p>
          <w:p>
            <w:pPr>
              <w:numPr>
                <w:numId w:val="711"/>
              </w:numPr>
              <w:spacing w:before="120" w:after="120" w:line="288" w:lineRule="auto"/>
              <w:ind w:left="453"/>
              <w:jc w:val="left"/>
            </w:pPr>
            <w:r>
              <w:rPr>
                <w:rFonts w:eastAsia="等线" w:ascii="Arial" w:cs="Arial" w:hAnsi="Arial"/>
                <w:b w:val="true"/>
                <w:color w:val="d83931"/>
                <w:sz w:val="22"/>
              </w:rPr>
              <w:t>【期望】</w:t>
            </w:r>
          </w:p>
          <w:p>
            <w:pPr>
              <w:numPr>
                <w:numId w:val="712"/>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分级催收管理制度》（M0自动短信+IVR、M1催收员电话+上门、M2高级催收员+法务函、M3催收经理+法律诉讼准备）；制定《催收绩效考核办法》（回款率、案件处理量、客户满意度、合规率）；建立《催收案例库》沉淀成功经验和失败教训</w:t>
            </w:r>
          </w:p>
          <w:p>
            <w:pPr>
              <w:numPr>
                <w:numId w:val="713"/>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：还款到期前3天自动提醒，到期当天未还款立即触发预警并自动生成催收任务，根据逾期时间和金额自动分级并分配责任人，提供在线催收记录工具支持快速记录和历史查询</w:t>
            </w:r>
          </w:p>
          <w:p>
            <w:pPr>
              <w:spacing w:before="120" w:after="120" w:line="288" w:lineRule="auto"/>
              <w:ind w:left="453"/>
              <w:jc w:val="left"/>
            </w:pPr>
            <w:r>
              <w:rPr>
                <w:rFonts w:eastAsia="等线" w:ascii="Arial" w:cs="Arial" w:hAnsi="Arial"/>
                <w:sz w:val="22"/>
              </w:rPr>
              <w:t>通过以上措施，M1催收成功率提升至90%，逾期回收率提升至90%。</w:t>
            </w:r>
          </w:p>
          <w:p>
            <w:pPr>
              <w:numPr>
                <w:numId w:val="714"/>
              </w:numPr>
              <w:spacing w:before="120" w:after="120" w:line="288" w:lineRule="auto"/>
              <w:ind w:left="0"/>
              <w:jc w:val="left"/>
            </w:pPr>
            <w:r>
              <w:rPr>
                <w:rFonts w:eastAsia="等线" w:ascii="Arial" w:cs="Arial" w:hAnsi="Arial"/>
                <w:b w:val="true"/>
                <w:sz w:val="22"/>
              </w:rPr>
              <w:t>核心企业协同催收</w:t>
            </w:r>
          </w:p>
          <w:p>
            <w:pPr>
              <w:numPr>
                <w:numId w:val="715"/>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将协同催收成功率提升至65%</w:t>
            </w:r>
            <w:r>
              <w:rPr>
                <w:rFonts w:eastAsia="等线" w:ascii="Arial" w:cs="Arial" w:hAnsi="Arial"/>
                <w:sz w:val="22"/>
              </w:rPr>
              <w:t>（业务KPI），需要建立与核心企业的协同催收机制。但由于：</w:t>
            </w:r>
          </w:p>
          <w:p>
            <w:pPr>
              <w:numPr>
                <w:numId w:val="716"/>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：缺乏协同催收的判断标准和流程，平台不知道何时应请求核心企业协助；缺乏协同催收激励机制，核心企业参与意愿不强，约55%的协同请求未得到有效响应</w:t>
            </w:r>
          </w:p>
          <w:p>
            <w:pPr>
              <w:numPr>
                <w:numId w:val="717"/>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：请求核心企业协同需电话或邮件沟通，联系方式和沟通流程不清晰，协同效率低</w:t>
            </w:r>
          </w:p>
          <w:p>
            <w:pPr>
              <w:numPr>
                <w:numId w:val="718"/>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：缺乏核心企业催收动作和结果的在线跟踪机制</w:t>
            </w:r>
          </w:p>
          <w:p>
            <w:pPr>
              <w:spacing w:before="120" w:after="120" w:line="288" w:lineRule="auto"/>
              <w:ind w:left="453"/>
              <w:jc w:val="left"/>
            </w:pPr>
            <w:r>
              <w:rPr>
                <w:rFonts w:eastAsia="等线" w:ascii="Arial" w:cs="Arial" w:hAnsi="Arial"/>
                <w:sz w:val="22"/>
              </w:rPr>
              <w:t>导致协同催收成功率仅45%。例如某A级客户逾期15天，平台未及时请求核心企业协同，最终逾期90天形成不良。</w:t>
            </w:r>
          </w:p>
          <w:p>
            <w:pPr>
              <w:numPr>
                <w:numId w:val="719"/>
              </w:numPr>
              <w:spacing w:before="120" w:after="120" w:line="288" w:lineRule="auto"/>
              <w:ind w:left="453"/>
              <w:jc w:val="left"/>
            </w:pPr>
            <w:r>
              <w:rPr>
                <w:rFonts w:eastAsia="等线" w:ascii="Arial" w:cs="Arial" w:hAnsi="Arial"/>
                <w:b w:val="true"/>
                <w:color w:val="d83931"/>
                <w:sz w:val="22"/>
              </w:rPr>
              <w:t>【期望】</w:t>
            </w:r>
          </w:p>
          <w:p>
            <w:pPr>
              <w:numPr>
                <w:numId w:val="720"/>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核心企业协同催收制度》（触发条件：逾期≥15天或金额≥30万自动推送；A级客户逾期≥7天建议推送）；制定《协同催收SLA规范》（核心企业24小时内响应、每3天反馈进展、协同周期15天）；制定《协同催收激励制度》（成功协助催收奖励积分500分、催收成功金额的0.2%奖励、不配合扣减积分影响合作评级）</w:t>
            </w:r>
          </w:p>
          <w:p>
            <w:pPr>
              <w:numPr>
                <w:numId w:val="721"/>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：系统自动判断是否需要协同催收，满足条件自动推送请求并提供联系方式和沟通模板，在线跟踪核心企业催收动作和结果</w:t>
            </w:r>
          </w:p>
          <w:p>
            <w:pPr>
              <w:spacing w:before="120" w:after="120" w:line="288" w:lineRule="auto"/>
              <w:ind w:left="453"/>
              <w:jc w:val="left"/>
            </w:pPr>
            <w:r>
              <w:rPr>
                <w:rFonts w:eastAsia="等线" w:ascii="Arial" w:cs="Arial" w:hAnsi="Arial"/>
                <w:sz w:val="22"/>
              </w:rPr>
              <w:t>通过以上措施，协同催收成功率从45%提升至65%。</w:t>
            </w:r>
          </w:p>
          <w:p>
            <w:pPr>
              <w:numPr>
                <w:numId w:val="722"/>
              </w:numPr>
              <w:spacing w:before="120" w:after="120" w:line="288" w:lineRule="auto"/>
              <w:ind w:left="0"/>
              <w:jc w:val="left"/>
            </w:pPr>
            <w:r>
              <w:rPr>
                <w:rFonts w:eastAsia="等线" w:ascii="Arial" w:cs="Arial" w:hAnsi="Arial"/>
                <w:b w:val="true"/>
                <w:sz w:val="22"/>
              </w:rPr>
              <w:t>货物处置与核心企业回购</w:t>
            </w:r>
          </w:p>
          <w:p>
            <w:pPr>
              <w:numPr>
                <w:numId w:val="723"/>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将货物处置周期缩短至45天、回收率提升至85%</w:t>
            </w:r>
            <w:r>
              <w:rPr>
                <w:rFonts w:eastAsia="等线" w:ascii="Arial" w:cs="Arial" w:hAnsi="Arial"/>
                <w:sz w:val="22"/>
              </w:rPr>
              <w:t>（业务KPI），需要建立高效的货物处置机制。但由于：</w:t>
            </w:r>
          </w:p>
          <w:p>
            <w:pPr>
              <w:numPr>
                <w:numId w:val="724"/>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：缺乏规范的回购流程和定价机制，需电话或邮件沟通回购条件和价格，谈判周期长；缺乏回购激励机制，核心企业参与意愿不强</w:t>
            </w:r>
          </w:p>
          <w:p>
            <w:pPr>
              <w:numPr>
                <w:numId w:val="725"/>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：核心企业可能有回购意愿但平台缺乏主动对接机制，回购渠道未被充分利用</w:t>
            </w:r>
          </w:p>
          <w:p>
            <w:pPr>
              <w:numPr>
                <w:numId w:val="726"/>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：货物处置主要依赖市场拍卖，缺乏多渠道处置方案的智能推荐；回购价格、合同、交接等环节缺乏线上化支持</w:t>
            </w:r>
          </w:p>
          <w:p>
            <w:pPr>
              <w:spacing w:before="120" w:after="120" w:line="288" w:lineRule="auto"/>
              <w:ind w:left="453"/>
              <w:jc w:val="left"/>
            </w:pPr>
            <w:r>
              <w:rPr>
                <w:rFonts w:eastAsia="等线" w:ascii="Arial" w:cs="Arial" w:hAnsi="Arial"/>
                <w:sz w:val="22"/>
              </w:rPr>
              <w:t>导致货物处置周期平均60天，回收率仅75%。</w:t>
            </w:r>
          </w:p>
          <w:p>
            <w:pPr>
              <w:numPr>
                <w:numId w:val="727"/>
              </w:numPr>
              <w:spacing w:before="120" w:after="120" w:line="288" w:lineRule="auto"/>
              <w:ind w:left="453"/>
              <w:jc w:val="left"/>
            </w:pPr>
            <w:r>
              <w:rPr>
                <w:rFonts w:eastAsia="等线" w:ascii="Arial" w:cs="Arial" w:hAnsi="Arial"/>
                <w:b w:val="true"/>
                <w:color w:val="d83931"/>
                <w:sz w:val="22"/>
              </w:rPr>
              <w:t>【期望】</w:t>
            </w:r>
          </w:p>
          <w:p>
            <w:pPr>
              <w:numPr>
                <w:numId w:val="728"/>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货物处置渠道优先级制度》（核心企业回购优先→平台渠道变现→市场拍卖）；制定《核心企业回购定价机制》（市场价×回购折扣率，折扣率根据货物状态计算）；制定《回购激励制度》（回购奖励积分1000分、快速回购额外奖励、回购货物再销售支持）；建立《回购流程管理制度》（邀约响应24小时、协商完成48小时、付款完成72小时）</w:t>
            </w:r>
          </w:p>
          <w:p>
            <w:pPr>
              <w:numPr>
                <w:numId w:val="729"/>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：自动判断是否满足核心企业回购条件（核心企业品牌、未拆封、价值&gt;10万等），满足条件自动推荐回购方案并一键发起流程，自动计算回购价格并生成回购合同，支持在线确认和执行</w:t>
            </w:r>
          </w:p>
          <w:p>
            <w:pPr>
              <w:spacing w:before="120" w:after="120" w:line="288" w:lineRule="auto"/>
              <w:ind w:left="453"/>
              <w:jc w:val="left"/>
            </w:pPr>
            <w:r>
              <w:rPr>
                <w:rFonts w:eastAsia="等线" w:ascii="Arial" w:cs="Arial" w:hAnsi="Arial"/>
                <w:sz w:val="22"/>
              </w:rPr>
              <w:t>通过以上措施，货物处置周期从60天缩短至45天（核心企业回购仅需7天），回收率从75%提升至85%。</w:t>
            </w:r>
          </w:p>
          <w:p>
            <w:pPr>
              <w:numPr>
                <w:numId w:val="730"/>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在还款到期日前自动提醒，逾期后立即触发预警并自动生成催收任务推送给催收人员。系统建立自动化的逾期识别和分级机制，根据逾期时间和金额自动划分逾期等级（M0/M1/M2/M3）触发相应的催收流程。提供标准化的催收流程和模板，催收人员按流程执行并在线记录催收过程和结果，支持催收任务的自动分配和效果评估。系统在逾期发生时自动判断是否需要核心企业协同催收，满足条件时自动推送协同催收请求给核心企业并在线跟踪核心企业的催收动作和结果，协同催收成功后给予核心企业额外奖励。系统提供质押物的多渠道处置方案（核心企业回购、平台渠道变现、市场拍卖等）并智能推荐最优方案，系统在货物处置环节自动判断核心企业回购条件并推荐回购方案，系统提供回购流程自动计算回购价格并生成回购合同支持在线确认和执行。系统记录核心企业在协同催收和货物处置中的参与情况并纳入合作评估。</w:t>
            </w:r>
          </w:p>
          <w:p>
            <w:pPr>
              <w:spacing w:before="120" w:after="120" w:line="288" w:lineRule="auto"/>
              <w:ind w:left="0"/>
              <w:jc w:val="left"/>
            </w:pPr>
            <w:r>
              <w:rPr>
                <w:rFonts w:eastAsia="等线" w:ascii="Arial" w:cs="Arial" w:hAnsi="Arial"/>
                <w:sz w:val="22"/>
              </w:rPr>
              <w:t>🔧</w:t>
            </w:r>
            <w:r>
              <w:rPr>
                <w:rFonts w:eastAsia="等线" w:ascii="Arial" w:cs="Arial" w:hAnsi="Arial"/>
                <w:b w:val="true"/>
                <w:sz w:val="22"/>
              </w:rPr>
              <w:t xml:space="preserve"> 执行层：</w:t>
            </w:r>
          </w:p>
          <w:p>
            <w:pPr>
              <w:numPr>
                <w:numId w:val="731"/>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每天需手工查看哪些客户逾期并逐个打电话催收，工作量大易遗漏。催收记录需手工记录在Excel或笔记本中，查找不便易丢失。逾期后不确定是否需要联系核心企业协助，联系方式和沟通流程不清晰。货物处置时不知道核心企业是否愿意回购，回购的价格谈判、合同签署、货物交接等环节缺乏规范流程。</w:t>
            </w:r>
          </w:p>
          <w:p>
            <w:pPr>
              <w:numPr>
                <w:numId w:val="732"/>
              </w:numPr>
              <w:spacing w:before="120" w:after="120" w:line="288" w:lineRule="auto"/>
              <w:ind w:left="0"/>
              <w:jc w:val="left"/>
            </w:pPr>
            <w:r>
              <w:rPr>
                <w:rFonts w:eastAsia="等线" w:ascii="Arial" w:cs="Arial" w:hAnsi="Arial"/>
                <w:b w:val="true"/>
                <w:color w:val="d83931"/>
                <w:sz w:val="22"/>
              </w:rPr>
              <w:t>【期望】</w:t>
            </w:r>
          </w:p>
          <w:p>
            <w:pPr>
              <w:numPr>
                <w:numId w:val="733"/>
              </w:numPr>
              <w:spacing w:before="120" w:after="120" w:line="288" w:lineRule="auto"/>
              <w:ind w:left="453"/>
              <w:jc w:val="left"/>
            </w:pPr>
            <w:r>
              <w:rPr>
                <w:rFonts w:eastAsia="等线" w:ascii="Arial" w:cs="Arial" w:hAnsi="Arial"/>
                <w:b w:val="true"/>
                <w:sz w:val="22"/>
              </w:rPr>
              <w:t>操作规范</w:t>
            </w:r>
            <w:r>
              <w:rPr>
                <w:rFonts w:eastAsia="等线" w:ascii="Arial" w:cs="Arial" w:hAnsi="Arial"/>
                <w:sz w:val="22"/>
              </w:rPr>
              <w:t>：按《分级催收管理制度》执行对应等级的催收措施，按《核心企业协同催收制度》判断是否需要请求协同，按《回购流程管理制度》推进回购各环节</w:t>
            </w:r>
          </w:p>
          <w:p>
            <w:pPr>
              <w:numPr>
                <w:numId w:val="734"/>
              </w:numPr>
              <w:spacing w:before="120" w:after="120" w:line="288" w:lineRule="auto"/>
              <w:ind w:left="453"/>
              <w:jc w:val="left"/>
            </w:pPr>
            <w:r>
              <w:rPr>
                <w:rFonts w:eastAsia="等线" w:ascii="Arial" w:cs="Arial" w:hAnsi="Arial"/>
                <w:b w:val="true"/>
                <w:sz w:val="22"/>
              </w:rPr>
              <w:t>系统支持</w:t>
            </w:r>
            <w:r>
              <w:rPr>
                <w:rFonts w:eastAsia="等线" w:ascii="Arial" w:cs="Arial" w:hAnsi="Arial"/>
                <w:sz w:val="22"/>
              </w:rPr>
              <w:t>：系统自动推送逾期客户和催收任务到待办列表，提供移动端催收记录工具支持快速记录并自动归档，系统自动判断协同催收条件并提供一键推送功能，系统自动判断回购条件并推荐回购方案，回购流程在线化（自动计算价格、生成合同、在线确认）</w:t>
            </w:r>
          </w:p>
          <w:p>
            <w:pPr>
              <w:numPr>
                <w:numId w:val="735"/>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在还款到期日前自动提醒逾期后立即推送催收任务到待办列表并提供逾期客户的详细信息，提供移动端催收记录工具催收后立即记录并自动归档，货物处置采用在线协同流程各方在线确认并更新进度，法律诉讼案件录入系统后定期提醒跟进并在线更新进度，核销申请采用在线提交支持拍照或扫描上传证明材料审批流程自动流转。系统在逾期发生时根据预设规则自动判断是否需要核心企业协同催收满足条件时自动推送协同催收请求并提供核心企业联系方式和沟通模板，系统在货物处置环节自动判断核心企业回购条件满足条件时自动推荐回购方案并一键发起回购流程系统自动计算回购价格并生成回购合同核心企业在线确认后自动推送货物交接和付款流程。</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1" w:id="121"/>
      <w:r>
        <w:rPr>
          <w:rFonts w:eastAsia="等线" w:ascii="Arial" w:cs="Arial" w:hAnsi="Arial"/>
          <w:color w:val="3370ff"/>
          <w:sz w:val="30"/>
        </w:rPr>
        <w:t xml:space="preserve">3.5.3 </w:t>
      </w:r>
      <w:r>
        <w:rPr>
          <w:rFonts w:eastAsia="等线" w:ascii="Arial" w:cs="Arial" w:hAnsi="Arial"/>
          <w:b w:val="true"/>
          <w:sz w:val="30"/>
        </w:rPr>
        <w:t>功能架构</w:t>
      </w:r>
      <w:bookmarkEnd w:id="1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贷后管理</w:t>
              <w:br/>
              <w:t>├─ 逾期管理 ← 基础功能（数据展示和识别）</w:t>
              <w:br/>
              <w:t>├─ 催收跟进 ← 重点功能（分级催收、核心企业协同）</w:t>
              <w:br/>
              <w:t>├─ 货物处置 ← 重点功能（多渠道处置、核心企业回购优先）</w:t>
              <w:br/>
            </w:r>
            <w:r>
              <w:rPr>
                <w:rFonts w:eastAsia="Consolas" w:ascii="Consolas" w:cs="Consolas" w:hAnsi="Consolas"/>
                <w:sz w:val="22"/>
              </w:rPr>
              <w:t>└─ 资产核销 ← 基础功能（流程管理）</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2" w:id="122"/>
      <w:r>
        <w:rPr>
          <w:rFonts w:eastAsia="等线" w:ascii="Arial" w:cs="Arial" w:hAnsi="Arial"/>
          <w:color w:val="3370ff"/>
          <w:sz w:val="30"/>
        </w:rPr>
        <w:t xml:space="preserve">3.5.4 </w:t>
      </w:r>
      <w:r>
        <w:rPr>
          <w:rFonts w:eastAsia="等线" w:ascii="Arial" w:cs="Arial" w:hAnsi="Arial"/>
          <w:b w:val="true"/>
          <w:sz w:val="30"/>
        </w:rPr>
        <w:t>核心功能详解</w:t>
      </w:r>
      <w:bookmarkEnd w:id="122"/>
    </w:p>
    <w:p>
      <w:pPr>
        <w:pStyle w:val="4"/>
        <w:spacing w:before="260" w:after="120" w:line="288" w:lineRule="auto"/>
        <w:ind w:left="0"/>
        <w:jc w:val="left"/>
        <w:outlineLvl w:val="3"/>
      </w:pPr>
      <w:bookmarkStart w:name="heading_123" w:id="123"/>
      <w:r>
        <w:rPr>
          <w:rFonts w:eastAsia="等线" w:ascii="Arial" w:cs="Arial" w:hAnsi="Arial"/>
          <w:color w:val="3370ff"/>
          <w:sz w:val="28"/>
        </w:rPr>
        <w:t xml:space="preserve">3.5.4.1 </w:t>
      </w:r>
      <w:r>
        <w:rPr>
          <w:rFonts w:eastAsia="等线" w:ascii="Arial" w:cs="Arial" w:hAnsi="Arial"/>
          <w:b w:val="true"/>
          <w:sz w:val="28"/>
        </w:rPr>
        <w:t>催收跟进（重点功能）</w:t>
      </w:r>
      <w:bookmarkEnd w:id="123"/>
    </w:p>
    <w:p>
      <w:pPr>
        <w:pStyle w:val="5"/>
        <w:spacing w:before="240" w:after="120" w:line="288" w:lineRule="auto"/>
        <w:ind w:left="0"/>
        <w:jc w:val="left"/>
        <w:outlineLvl w:val="4"/>
      </w:pPr>
      <w:bookmarkStart w:name="heading_124" w:id="124"/>
      <w:r>
        <w:rPr>
          <w:rFonts w:eastAsia="等线" w:ascii="Arial" w:cs="Arial" w:hAnsi="Arial"/>
          <w:color w:val="3370ff"/>
          <w:sz w:val="24"/>
        </w:rPr>
        <w:t xml:space="preserve">3.5.4.1.1 </w:t>
      </w:r>
      <w:r>
        <w:rPr>
          <w:rFonts w:eastAsia="等线" w:ascii="Arial" w:cs="Arial" w:hAnsi="Arial"/>
          <w:b w:val="true"/>
          <w:sz w:val="24"/>
        </w:rPr>
        <w:t>解决的核心问题</w:t>
      </w:r>
      <w:bookmarkEnd w:id="124"/>
    </w:p>
    <w:p>
      <w:pPr>
        <w:spacing w:before="120" w:after="120" w:line="288" w:lineRule="auto"/>
        <w:ind w:left="0"/>
      </w:pPr>
      <w:r>
        <w:object>
          <v:shape id="_x0000_i1084" style="width:414pt;height:182pt;mso-width-percent:0;mso-height-percent:0;mso-width-percent:0;mso-height-percent:0" type="#_x0000_t75" o:ole="">
            <v:imagedata r:id="rId143" o:title=""/>
          </v:shape>
          <o:OLEObject DrawAspect="Icon" ObjectID="_1718471278" ProgID="Excel.Sheet.12" ShapeID="_x0000_i1084" Type="Embed" r:id="rId142"/>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125" w:id="125"/>
      <w:r>
        <w:rPr>
          <w:rFonts w:eastAsia="等线" w:ascii="Arial" w:cs="Arial" w:hAnsi="Arial"/>
          <w:color w:val="3370ff"/>
          <w:sz w:val="24"/>
        </w:rPr>
        <w:t xml:space="preserve">3.5.4.1.2 </w:t>
      </w:r>
      <w:r>
        <w:rPr>
          <w:rFonts w:eastAsia="等线" w:ascii="Arial" w:cs="Arial" w:hAnsi="Arial"/>
          <w:b w:val="true"/>
          <w:sz w:val="24"/>
        </w:rPr>
        <w:t>业务流程</w:t>
      </w:r>
      <w:bookmarkEnd w:id="1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xml:space="preserve">    participant S as 系统</w:t>
              <w:br/>
              <w:t xml:space="preserve">    participant CM as 催收员</w:t>
              <w:br/>
              <w:t xml:space="preserve">    participant C as 核心企业</w:t>
              <w:br/>
              <w:t xml:space="preserve">    participant E as 经销商</w:t>
              <w:br/>
              <w:t xml:space="preserve">    </w:t>
              <w:br/>
              <w:t xml:space="preserve">    Note over S: 逾期识别</w:t>
              <w:br/>
              <w:t xml:space="preserve">    S-&gt;&gt;S: 还款到期日自动检查</w:t>
              <w:br/>
              <w:t xml:space="preserve">    S-&gt;&gt;S: 发现逾期，生成逾期记录</w:t>
              <w:br/>
              <w:t xml:space="preserve">    </w:t>
              <w:br/>
              <w:t xml:space="preserve">    Note over S,CM: 自动分级</w:t>
              <w:br/>
              <w:t xml:space="preserve">    S-&gt;&gt;S: 判断逾期等级&lt;br/&gt;(逾期天数+金额)</w:t>
              <w:br/>
              <w:t xml:space="preserve">    S-&gt;&gt;S: 匹配催收策略</w:t>
              <w:br/>
              <w:t xml:space="preserve">    S-&gt;&gt;CM: 自动分配催收任务</w:t>
              <w:br/>
              <w:t xml:space="preserve">    </w:t>
              <w:br/>
              <w:t xml:space="preserve">    Note over CM,E: 平台催收</w:t>
              <w:br/>
              <w:t xml:space="preserve">    CM-&gt;&gt;E: 电话/短信催收</w:t>
              <w:br/>
              <w:t xml:space="preserve">    CM-&gt;&gt;S: 记录催收过程</w:t>
              <w:br/>
              <w:t xml:space="preserve">    </w:t>
              <w:br/>
              <w:t xml:space="preserve">    alt 平台催收有效</w:t>
              <w:br/>
              <w:t xml:space="preserve">        E-&gt;&gt;S: 承诺还款/还款</w:t>
              <w:br/>
              <w:t xml:space="preserve">        S-&gt;&gt;CM: 跟进还款</w:t>
              <w:br/>
              <w:t xml:space="preserve">    else 平台催收无效</w:t>
              <w:br/>
              <w:t xml:space="preserve">        Note over S,C: 核心企业协同</w:t>
              <w:br/>
              <w:t xml:space="preserve">        S-&gt;&gt;S: 自动判断需协同催收</w:t>
              <w:br/>
              <w:t xml:space="preserve">        S-&gt;&gt;C: 推送协同催收请求</w:t>
              <w:br/>
              <w:t xml:space="preserve">        C-&gt;&gt;E: 核心企业催收&lt;br/&gt;(停供货/取消政策等)</w:t>
              <w:br/>
              <w:t xml:space="preserve">        C-&gt;&gt;S: 反馈催收结果</w:t>
              <w:br/>
              <w:t xml:space="preserve">        </w:t>
              <w:br/>
              <w:t xml:space="preserve">        alt 协同催收有效</w:t>
              <w:br/>
              <w:t xml:space="preserve">            E-&gt;&gt;S: 还款</w:t>
              <w:br/>
              <w:t xml:space="preserve">        else 协同催收无效</w:t>
              <w:br/>
              <w:t xml:space="preserve">            Note over S: 进入货物处置流程</w:t>
              <w:br/>
              <w:t xml:space="preserve">            S-&gt;&gt;S: 启动质押物处置</w:t>
              <w:br/>
              <w:t xml:space="preserve">        end</w:t>
              <w:br/>
              <w:t xml:space="preserve">    end</w:t>
            </w:r>
          </w:p>
        </w:tc>
      </w:tr>
    </w:tbl>
    <w:p>
      <w:pPr>
        <w:spacing w:before="120" w:after="120" w:line="288" w:lineRule="auto"/>
        <w:ind w:left="0"/>
        <w:jc w:val="left"/>
      </w:pPr>
      <w:r>
        <w:rPr>
          <w:rFonts w:eastAsia="等线" w:ascii="Arial" w:cs="Arial" w:hAnsi="Arial"/>
          <w:b w:val="true"/>
          <w:sz w:val="22"/>
        </w:rPr>
        <w:t>关键环节设计亮点</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环节1：自动分级催收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逾期分级规则：</w:t>
              <w:br/>
            </w:r>
            <w:r>
              <w:rPr>
                <w:rFonts w:eastAsia="Consolas" w:ascii="Consolas" w:cs="Consolas" w:hAnsi="Consolas"/>
                <w:sz w:val="22"/>
              </w:rPr>
              <w:t>M0（1-3天）：</w:t>
              <w:br/>
              <w:t xml:space="preserve">  - 催收方式：自动短信+IVR电话</w:t>
              <w:br/>
              <w:t xml:space="preserve">  - 催收频率：每日1次</w:t>
              <w:br/>
              <w:t xml:space="preserve">  - 责任人：系统自动</w:t>
              <w:br/>
              <w:t xml:space="preserve">  - 是否协同：否</w:t>
              <w:br/>
              <w:br/>
              <w:t>M1（4-15天）：</w:t>
              <w:br/>
              <w:t xml:space="preserve">  - 催收方式：催收员电话+上门</w:t>
              <w:br/>
              <w:t xml:space="preserve">  - 催收频率：每2天1次</w:t>
              <w:br/>
              <w:t xml:space="preserve">  - 责任人：初级催收员</w:t>
              <w:br/>
              <w:t xml:space="preserve">  - 是否协同：视情况（核心企业推荐的优质客户）</w:t>
              <w:br/>
              <w:br/>
              <w:t>M2（16-30天）：</w:t>
              <w:br/>
              <w:t xml:space="preserve">  - 催收方式：高级催收员+法务函</w:t>
              <w:br/>
              <w:t xml:space="preserve">  - 催收频率：每日1次</w:t>
              <w:br/>
              <w:t xml:space="preserve">  - 责任人：高级催收员</w:t>
              <w:br/>
              <w:t xml:space="preserve">  - 是否协同：是（自动推送核心企业）</w:t>
              <w:br/>
              <w:br/>
              <w:t>M3（31-90天）：</w:t>
              <w:br/>
              <w:t xml:space="preserve">  - 催收方式：上门+法律诉讼准备</w:t>
              <w:br/>
              <w:t xml:space="preserve">  - 催收频率：每日跟进</w:t>
              <w:br/>
              <w:t xml:space="preserve">  - 责任人：催收经理</w:t>
              <w:br/>
              <w:t xml:space="preserve">  - 是否协同：是（强制推送核心企业）</w:t>
              <w:br/>
              <w:t xml:space="preserve">  - 同步启动：货物处置流程</w:t>
              <w:br/>
              <w:br/>
              <w:t>M4（&gt;90天）：</w:t>
              <w:br/>
              <w:t xml:space="preserve">  - 催收方式：法律诉讼+强制执行</w:t>
              <w:br/>
              <w:t xml:space="preserve">  - 责任人：法务部</w:t>
              <w:br/>
            </w:r>
            <w:r>
              <w:rPr>
                <w:rFonts w:eastAsia="Consolas" w:ascii="Consolas" w:cs="Consolas" w:hAnsi="Consolas"/>
                <w:sz w:val="22"/>
              </w:rPr>
              <w:t xml:space="preserve">  - 同步：资产核销评估</w:t>
            </w:r>
          </w:p>
        </w:tc>
      </w:tr>
    </w:tbl>
    <w:p>
      <w:pPr>
        <w:spacing w:before="120" w:after="120" w:line="288" w:lineRule="auto"/>
        <w:ind w:left="0"/>
        <w:jc w:val="left"/>
      </w:pPr>
      <w:r>
        <w:rPr>
          <w:rFonts w:eastAsia="等线" w:ascii="Arial" w:cs="Arial" w:hAnsi="Arial"/>
          <w:b w:val="true"/>
          <w:color w:val="d83931"/>
          <w:sz w:val="22"/>
          <w:shd w:fill="fff67a"/>
        </w:rPr>
        <w:t>环节2：核心企业协同催收判断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自动判断是否需要核心企业协同：</w:t>
              <w:br/>
            </w:r>
            <w:r>
              <w:rPr>
                <w:rFonts w:eastAsia="Consolas" w:ascii="Consolas" w:cs="Consolas" w:hAnsi="Consolas"/>
                <w:sz w:val="22"/>
              </w:rPr>
              <w:t>IF (逾期天数 ≥ 15天 OR 逾期金额 ≥ 30万) THEN</w:t>
              <w:br/>
              <w:t xml:space="preserve">    自动推送核心企业协同催收</w:t>
              <w:br/>
              <w:t xml:space="preserve">    </w:t>
              <w:br/>
              <w:t>IF (客户等级 = A级 AND 逾期天数 ≥ 7天) THEN</w:t>
              <w:br/>
              <w:t xml:space="preserve">    建议推送（需人工确认）</w:t>
              <w:br/>
              <w:t xml:space="preserve">    </w:t>
              <w:br/>
              <w:t>IF (核心企业推荐时承诺协同催收) THEN</w:t>
              <w:br/>
              <w:t xml:space="preserve">    任何逾期立即推送</w:t>
              <w:br/>
              <w:t xml:space="preserve">    </w:t>
              <w:br/>
              <w:t>IF (核心企业标注为重点客户) THEN</w:t>
              <w:br/>
              <w:t xml:space="preserve">    逾期3天推送（给核心企业留充足时间）</w:t>
              <w:br/>
            </w:r>
            <w:r>
              <w:rPr>
                <w:rFonts w:eastAsia="Consolas" w:ascii="Consolas" w:cs="Consolas" w:hAnsi="Consolas"/>
                <w:sz w:val="22"/>
              </w:rPr>
              <w:t>END IF</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满足期望：协同催收成功率从45%提升至65%</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126" w:id="126"/>
      <w:r>
        <w:rPr>
          <w:rFonts w:eastAsia="等线" w:ascii="Arial" w:cs="Arial" w:hAnsi="Arial"/>
          <w:color w:val="3370ff"/>
          <w:sz w:val="24"/>
        </w:rPr>
        <w:t xml:space="preserve">3.5.4.1.3 </w:t>
      </w:r>
      <w:r>
        <w:rPr>
          <w:rFonts w:eastAsia="等线" w:ascii="Arial" w:cs="Arial" w:hAnsi="Arial"/>
          <w:b w:val="true"/>
          <w:color w:val="d83931"/>
          <w:sz w:val="24"/>
          <w:shd w:fill="fff67a"/>
        </w:rPr>
        <w:t>逾期分级催收策略</w:t>
      </w:r>
      <w:bookmarkEnd w:id="126"/>
    </w:p>
    <w:p>
      <w:pPr>
        <w:spacing w:before="120" w:after="120" w:line="288" w:lineRule="auto"/>
        <w:ind w:left="0"/>
        <w:jc w:val="left"/>
      </w:pPr>
      <w:r>
        <w:rPr>
          <w:rFonts w:eastAsia="等线" w:ascii="Arial" w:cs="Arial" w:hAnsi="Arial"/>
          <w:b w:val="true"/>
          <w:sz w:val="22"/>
        </w:rPr>
        <w:t>策略1：自动分析与核心企业协同催收</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满足期望：充分利用核心企业对经销商的影响力</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4"/>
              <w:spacing w:before="260" w:after="120" w:line="288" w:lineRule="auto"/>
              <w:ind w:left="0"/>
              <w:jc w:val="left"/>
              <w:outlineLvl w:val="3"/>
            </w:pPr>
            <w:bookmarkStart w:name="heading_127" w:id="127"/>
            <w:r>
              <w:rPr>
                <w:rFonts w:eastAsia="等线" w:ascii="Arial" w:cs="Arial" w:hAnsi="Arial"/>
                <w:b w:val="true"/>
                <w:sz w:val="28"/>
              </w:rPr>
              <w:t>分级设计原则</w:t>
            </w:r>
            <w:bookmarkEnd w:id="127"/>
          </w:p>
          <w:p>
            <w:pPr>
              <w:spacing w:before="120" w:after="120" w:line="288" w:lineRule="auto"/>
              <w:ind w:left="0"/>
              <w:jc w:val="left"/>
            </w:pPr>
            <w:r>
              <w:rPr>
                <w:rFonts w:eastAsia="等线" w:ascii="Arial" w:cs="Arial" w:hAnsi="Arial"/>
                <w:b w:val="true"/>
                <w:sz w:val="22"/>
              </w:rPr>
              <w:t>为什么要分级催收？</w:t>
            </w:r>
          </w:p>
          <w:p>
            <w:pPr>
              <w:spacing w:before="120" w:after="120" w:line="288" w:lineRule="auto"/>
              <w:ind w:left="0"/>
              <w:jc w:val="left"/>
            </w:pPr>
            <w:r>
              <w:rPr>
                <w:rFonts w:eastAsia="等线" w:ascii="Arial" w:cs="Arial" w:hAnsi="Arial"/>
                <w:sz w:val="22"/>
              </w:rPr>
              <w:t>逾期催收的核心挑战是：</w:t>
            </w:r>
            <w:r>
              <w:rPr>
                <w:rFonts w:eastAsia="等线" w:ascii="Arial" w:cs="Arial" w:hAnsi="Arial"/>
                <w:b w:val="true"/>
                <w:sz w:val="22"/>
              </w:rPr>
              <w:t>如何用有限的催收资源，最大化回款效果</w:t>
            </w:r>
            <w:r>
              <w:rPr>
                <w:rFonts w:eastAsia="等线" w:ascii="Arial" w:cs="Arial" w:hAnsi="Arial"/>
                <w:sz w:val="22"/>
              </w:rPr>
              <w:t>。不同逾期阶段的客户，其还款意愿、还款能力和最佳催收方式存在显著差异，"一刀切"的催收策略既浪费资源，又效果不佳。</w:t>
            </w:r>
          </w:p>
          <w:p>
            <w:pPr>
              <w:spacing w:before="120" w:after="120" w:line="288" w:lineRule="auto"/>
              <w:ind w:left="0"/>
              <w:jc w:val="left"/>
            </w:pPr>
            <w:r>
              <w:rPr>
                <w:rFonts w:eastAsia="等线" w:ascii="Arial" w:cs="Arial" w:hAnsi="Arial"/>
                <w:sz w:val="22"/>
              </w:rPr>
              <w:t>我们基于</w:t>
            </w:r>
            <w:r>
              <w:rPr>
                <w:rFonts w:eastAsia="等线" w:ascii="Arial" w:cs="Arial" w:hAnsi="Arial"/>
                <w:b w:val="true"/>
                <w:sz w:val="22"/>
              </w:rPr>
              <w:t>历史催收数据分析</w:t>
            </w:r>
            <w:r>
              <w:rPr>
                <w:rFonts w:eastAsia="等线" w:ascii="Arial" w:cs="Arial" w:hAnsi="Arial"/>
                <w:sz w:val="22"/>
              </w:rPr>
              <w:t>和</w:t>
            </w:r>
            <w:r>
              <w:rPr>
                <w:rFonts w:eastAsia="等线" w:ascii="Arial" w:cs="Arial" w:hAnsi="Arial"/>
                <w:b w:val="true"/>
                <w:sz w:val="22"/>
              </w:rPr>
              <w:t>行业通行标准</w:t>
            </w:r>
            <w:r>
              <w:rPr>
                <w:rFonts w:eastAsia="等线" w:ascii="Arial" w:cs="Arial" w:hAnsi="Arial"/>
                <w:sz w:val="22"/>
              </w:rPr>
              <w:t>，建立M0-M4五级催收体系：</w:t>
            </w:r>
          </w:p>
        </w:tc>
      </w:tr>
    </w:tbl>
    <w:p>
      <w:pPr>
        <w:spacing w:before="120" w:after="120" w:line="288" w:lineRule="auto"/>
        <w:ind w:left="0"/>
      </w:pPr>
      <w:r>
        <w:object>
          <v:shape id="_x0000_i1085" style="width:414pt;height:197pt;mso-width-percent:0;mso-height-percent:0;mso-width-percent:0;mso-height-percent:0" type="#_x0000_t75" o:ole="">
            <v:imagedata r:id="rId145" o:title=""/>
          </v:shape>
          <o:OLEObject DrawAspect="Icon" ObjectID="_1718471279" ProgID="Excel.Sheet.12" ShapeID="_x0000_i1085" Type="Embed" r:id="rId144"/>
        </w:object>
      </w:r>
    </w:p>
    <w:p>
      <w:pPr>
        <w:spacing w:after="120"/>
        <w:ind w:left="0"/>
        <w:jc w:val="center"/>
      </w:pPr>
      <w:r>
        <w:rPr>
          <w:rFonts w:eastAsia="等线" w:ascii="Arial" w:cs="Arial" w:hAnsi="Arial"/>
          <w:b w:val="true"/>
          <w:sz w:val="22"/>
        </w:rPr>
        <w:t>点击图片可查看完整电子表格</w:t>
      </w:r>
    </w:p>
    <w:p>
      <w:pPr>
        <w:pStyle w:val="6"/>
        <w:spacing w:before="240" w:after="120" w:line="288" w:lineRule="auto"/>
        <w:ind w:left="0"/>
        <w:jc w:val="left"/>
        <w:outlineLvl w:val="5"/>
      </w:pPr>
      <w:bookmarkStart w:name="heading_128" w:id="128"/>
      <w:r>
        <w:rPr>
          <w:rFonts w:eastAsia="等线" w:ascii="Arial" w:cs="Arial" w:hAnsi="Arial"/>
          <w:b w:val="true"/>
          <w:sz w:val="24"/>
        </w:rPr>
        <w:t>各阶段催收策略详解</w:t>
      </w:r>
      <w:bookmarkEnd w:id="128"/>
    </w:p>
    <w:p>
      <w:pPr>
        <w:pStyle w:val="7"/>
        <w:spacing w:before="240" w:after="120" w:line="288" w:lineRule="auto"/>
        <w:ind w:left="0"/>
        <w:jc w:val="left"/>
        <w:outlineLvl w:val="6"/>
      </w:pPr>
      <w:bookmarkStart w:name="heading_129" w:id="129"/>
      <w:r>
        <w:rPr>
          <w:rFonts w:eastAsia="等线" w:ascii="Arial" w:cs="Arial" w:hAnsi="Arial"/>
          <w:b w:val="true"/>
          <w:sz w:val="24"/>
        </w:rPr>
        <w:t>M0阶段（逾期1-3天）：自动化提醒</w:t>
      </w:r>
      <w:bookmarkEnd w:id="129"/>
    </w:p>
    <w:p>
      <w:pPr>
        <w:spacing w:before="120" w:after="120" w:line="288" w:lineRule="auto"/>
        <w:ind w:left="0"/>
        <w:jc w:val="left"/>
      </w:pPr>
      <w:r>
        <w:rPr>
          <w:rFonts w:eastAsia="等线" w:ascii="Arial" w:cs="Arial" w:hAnsi="Arial"/>
          <w:b w:val="true"/>
          <w:sz w:val="22"/>
        </w:rPr>
        <w:t>天数设定依据</w:t>
      </w:r>
      <w:r>
        <w:rPr>
          <w:rFonts w:eastAsia="等线" w:ascii="Arial" w:cs="Arial" w:hAnsi="Arial"/>
          <w:sz w:val="22"/>
        </w:rPr>
        <w:t>：</w:t>
      </w:r>
    </w:p>
    <w:p>
      <w:pPr>
        <w:spacing w:before="120" w:after="120" w:line="288" w:lineRule="auto"/>
        <w:ind w:left="0"/>
        <w:jc w:val="left"/>
      </w:pPr>
      <w:r>
        <w:rPr>
          <w:rFonts w:eastAsia="等线" w:ascii="Arial" w:cs="Arial" w:hAnsi="Arial"/>
          <w:sz w:val="22"/>
        </w:rPr>
        <w:t>历史数据显示，逾期1-3天的客户中，</w:t>
      </w:r>
      <w:r>
        <w:rPr>
          <w:rFonts w:eastAsia="等线" w:ascii="Arial" w:cs="Arial" w:hAnsi="Arial"/>
          <w:b w:val="true"/>
          <w:sz w:val="22"/>
        </w:rPr>
        <w:t>78%在收到提醒后24小时内还款</w:t>
      </w:r>
      <w:r>
        <w:rPr>
          <w:rFonts w:eastAsia="等线" w:ascii="Arial" w:cs="Arial" w:hAnsi="Arial"/>
          <w:sz w:val="22"/>
        </w:rPr>
        <w:t>，主要原因是：</w:t>
      </w:r>
    </w:p>
    <w:p>
      <w:pPr>
        <w:numPr>
          <w:numId w:val="736"/>
        </w:numPr>
        <w:spacing w:before="120" w:after="120" w:line="288" w:lineRule="auto"/>
        <w:ind w:left="0"/>
        <w:jc w:val="left"/>
      </w:pPr>
      <w:r>
        <w:rPr>
          <w:rFonts w:eastAsia="等线" w:ascii="Arial" w:cs="Arial" w:hAnsi="Arial"/>
          <w:sz w:val="22"/>
        </w:rPr>
        <w:t>遗忘还款日（占45%）：经销商日常事务繁忙，单纯忘记</w:t>
      </w:r>
    </w:p>
    <w:p>
      <w:pPr>
        <w:numPr>
          <w:numId w:val="737"/>
        </w:numPr>
        <w:spacing w:before="120" w:after="120" w:line="288" w:lineRule="auto"/>
        <w:ind w:left="0"/>
        <w:jc w:val="left"/>
      </w:pPr>
      <w:r>
        <w:rPr>
          <w:rFonts w:eastAsia="等线" w:ascii="Arial" w:cs="Arial" w:hAnsi="Arial"/>
          <w:sz w:val="22"/>
        </w:rPr>
        <w:t>短期资金调度（占30%）：资金在途，1-2天内可到位</w:t>
      </w:r>
    </w:p>
    <w:p>
      <w:pPr>
        <w:numPr>
          <w:numId w:val="738"/>
        </w:numPr>
        <w:spacing w:before="120" w:after="120" w:line="288" w:lineRule="auto"/>
        <w:ind w:left="0"/>
        <w:jc w:val="left"/>
      </w:pPr>
      <w:r>
        <w:rPr>
          <w:rFonts w:eastAsia="等线" w:ascii="Arial" w:cs="Arial" w:hAnsi="Arial"/>
          <w:sz w:val="22"/>
        </w:rPr>
        <w:t>系统/操作问题（占3%）：还款操作失败未察觉</w:t>
      </w:r>
    </w:p>
    <w:p>
      <w:pPr>
        <w:spacing w:before="120" w:after="120" w:line="288" w:lineRule="auto"/>
        <w:ind w:left="0"/>
        <w:jc w:val="left"/>
      </w:pPr>
      <w:r>
        <w:rPr>
          <w:rFonts w:eastAsia="等线" w:ascii="Arial" w:cs="Arial" w:hAnsi="Arial"/>
          <w:sz w:val="22"/>
        </w:rPr>
        <w:t>这类客户还款意愿强，</w:t>
      </w:r>
      <w:r>
        <w:rPr>
          <w:rFonts w:eastAsia="等线" w:ascii="Arial" w:cs="Arial" w:hAnsi="Arial"/>
          <w:b w:val="true"/>
          <w:sz w:val="22"/>
        </w:rPr>
        <w:t>无需人工介入</w:t>
      </w:r>
      <w:r>
        <w:rPr>
          <w:rFonts w:eastAsia="等线" w:ascii="Arial" w:cs="Arial" w:hAnsi="Arial"/>
          <w:sz w:val="22"/>
        </w:rPr>
        <w:t>，自动化提醒即可解决绝大部分。</w:t>
      </w:r>
    </w:p>
    <w:p>
      <w:pPr>
        <w:spacing w:before="120" w:after="120" w:line="288" w:lineRule="auto"/>
        <w:ind w:left="0"/>
        <w:jc w:val="left"/>
      </w:pPr>
      <w:r>
        <w:rPr>
          <w:rFonts w:eastAsia="等线" w:ascii="Arial" w:cs="Arial" w:hAnsi="Arial"/>
          <w:b w:val="true"/>
          <w:sz w:val="22"/>
        </w:rPr>
        <w:t>催收措施</w:t>
      </w:r>
      <w:r>
        <w:rPr>
          <w:rFonts w:eastAsia="等线" w:ascii="Arial" w:cs="Arial" w:hAnsi="Arial"/>
          <w:sz w:val="22"/>
        </w:rPr>
        <w:t>：</w:t>
      </w:r>
    </w:p>
    <w:p>
      <w:pPr>
        <w:spacing w:before="120" w:after="120" w:line="288" w:lineRule="auto"/>
        <w:ind w:left="0"/>
      </w:pPr>
      <w:r>
        <w:object>
          <v:shape id="_x0000_i1086" style="width:414pt;height:168pt;mso-width-percent:0;mso-height-percent:0;mso-width-percent:0;mso-height-percent:0" type="#_x0000_t75" o:ole="">
            <v:imagedata r:id="rId147" o:title=""/>
          </v:shape>
          <o:OLEObject DrawAspect="Icon" ObjectID="_1718471280" ProgID="Excel.Sheet.12" ShapeID="_x0000_i1086" Type="Embed" r:id="rId14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阶段目标</w:t>
      </w:r>
      <w:r>
        <w:rPr>
          <w:rFonts w:eastAsia="等线" w:ascii="Arial" w:cs="Arial" w:hAnsi="Arial"/>
          <w:sz w:val="22"/>
        </w:rPr>
        <w:t>：M0阶段解决率≥75%（即75%的M0逾期在3天内回款）</w:t>
      </w:r>
    </w:p>
    <w:p>
      <w:pPr>
        <w:spacing w:before="120" w:after="120" w:line="288" w:lineRule="auto"/>
        <w:ind w:left="0"/>
        <w:jc w:val="left"/>
      </w:pPr>
      <w:r>
        <w:rPr>
          <w:rFonts w:eastAsia="等线" w:ascii="Arial" w:cs="Arial" w:hAnsi="Arial"/>
          <w:b w:val="true"/>
          <w:sz w:val="22"/>
        </w:rPr>
        <w:t>为什么不立即人工催收？</w:t>
      </w:r>
    </w:p>
    <w:p>
      <w:pPr>
        <w:numPr>
          <w:numId w:val="739"/>
        </w:numPr>
        <w:spacing w:before="120" w:after="120" w:line="288" w:lineRule="auto"/>
        <w:ind w:left="0"/>
        <w:jc w:val="left"/>
      </w:pPr>
      <w:r>
        <w:rPr>
          <w:rFonts w:eastAsia="等线" w:ascii="Arial" w:cs="Arial" w:hAnsi="Arial"/>
          <w:sz w:val="22"/>
        </w:rPr>
        <w:t>人工催收成本约15-20元/通电话，M0阶段客户量大（约占逾期总量的60%），全部人工不经济</w:t>
      </w:r>
    </w:p>
    <w:p>
      <w:pPr>
        <w:numPr>
          <w:numId w:val="740"/>
        </w:numPr>
        <w:spacing w:before="120" w:after="120" w:line="288" w:lineRule="auto"/>
        <w:ind w:left="0"/>
        <w:jc w:val="left"/>
      </w:pPr>
      <w:r>
        <w:rPr>
          <w:rFonts w:eastAsia="等线" w:ascii="Arial" w:cs="Arial" w:hAnsi="Arial"/>
          <w:sz w:val="22"/>
        </w:rPr>
        <w:t>自动化提醒已能解决75%以上，人工介入边际效益低</w:t>
      </w:r>
    </w:p>
    <w:p>
      <w:pPr>
        <w:numPr>
          <w:numId w:val="741"/>
        </w:numPr>
        <w:spacing w:before="120" w:after="120" w:line="288" w:lineRule="auto"/>
        <w:ind w:left="0"/>
        <w:jc w:val="left"/>
      </w:pPr>
      <w:r>
        <w:rPr>
          <w:rFonts w:eastAsia="等线" w:ascii="Arial" w:cs="Arial" w:hAnsi="Arial"/>
          <w:sz w:val="22"/>
        </w:rPr>
        <w:t>过早人工催收可能损害客户关系（客户只是忘记，被催收电话会感到被冒犯）</w:t>
      </w:r>
    </w:p>
    <w:p>
      <w:pPr>
        <w:pBdr>
          <w:bottom w:val="single" w:color="dee0e3"/>
          <w:between w:val="single" w:color="dee0e3"/>
        </w:pBdr>
        <w:spacing w:before="120" w:after="120" w:line="288" w:lineRule="auto"/>
        <w:ind w:left="0"/>
      </w:pPr>
    </w:p>
    <w:p>
      <w:pPr>
        <w:pStyle w:val="7"/>
        <w:spacing w:before="240" w:after="120" w:line="288" w:lineRule="auto"/>
        <w:ind w:left="0"/>
        <w:jc w:val="left"/>
        <w:outlineLvl w:val="6"/>
      </w:pPr>
      <w:bookmarkStart w:name="heading_130" w:id="130"/>
      <w:r>
        <w:rPr>
          <w:rFonts w:eastAsia="等线" w:ascii="Arial" w:cs="Arial" w:hAnsi="Arial"/>
          <w:b w:val="true"/>
          <w:sz w:val="24"/>
        </w:rPr>
        <w:t>M1阶段（逾期4-15天）：人工介入+原因分析</w:t>
      </w:r>
      <w:bookmarkEnd w:id="130"/>
    </w:p>
    <w:p>
      <w:pPr>
        <w:spacing w:before="120" w:after="120" w:line="288" w:lineRule="auto"/>
        <w:ind w:left="0"/>
        <w:jc w:val="left"/>
      </w:pPr>
      <w:r>
        <w:rPr>
          <w:rFonts w:eastAsia="等线" w:ascii="Arial" w:cs="Arial" w:hAnsi="Arial"/>
          <w:b w:val="true"/>
          <w:sz w:val="22"/>
        </w:rPr>
        <w:t>天数设定依据</w:t>
      </w:r>
      <w:r>
        <w:rPr>
          <w:rFonts w:eastAsia="等线" w:ascii="Arial" w:cs="Arial" w:hAnsi="Arial"/>
          <w:sz w:val="22"/>
        </w:rPr>
        <w:t>：</w:t>
      </w:r>
    </w:p>
    <w:p>
      <w:pPr>
        <w:spacing w:before="120" w:after="120" w:line="288" w:lineRule="auto"/>
        <w:ind w:left="0"/>
        <w:jc w:val="left"/>
      </w:pPr>
      <w:r>
        <w:rPr>
          <w:rFonts w:eastAsia="等线" w:ascii="Arial" w:cs="Arial" w:hAnsi="Arial"/>
          <w:sz w:val="22"/>
        </w:rPr>
        <w:t>逾期超过3天仍未还款，说明</w:t>
      </w:r>
      <w:r>
        <w:rPr>
          <w:rFonts w:eastAsia="等线" w:ascii="Arial" w:cs="Arial" w:hAnsi="Arial"/>
          <w:b w:val="true"/>
          <w:sz w:val="22"/>
        </w:rPr>
        <w:t>不是简单的遗忘问题</w:t>
      </w:r>
      <w:r>
        <w:rPr>
          <w:rFonts w:eastAsia="等线" w:ascii="Arial" w:cs="Arial" w:hAnsi="Arial"/>
          <w:sz w:val="22"/>
        </w:rPr>
        <w:t>，需要人工介入了解真实原因。选择4-15天作为M1区间，基于以下考量：</w:t>
      </w:r>
    </w:p>
    <w:p>
      <w:pPr>
        <w:spacing w:before="120" w:after="120" w:line="288" w:lineRule="auto"/>
        <w:ind w:left="0"/>
      </w:pPr>
      <w:r>
        <w:object>
          <v:shape id="_x0000_i1087" style="width:414pt;height:197pt;mso-width-percent:0;mso-height-percent:0;mso-width-percent:0;mso-height-percent:0" type="#_x0000_t75" o:ole="">
            <v:imagedata r:id="rId149" o:title=""/>
          </v:shape>
          <o:OLEObject DrawAspect="Icon" ObjectID="_1718471281" ProgID="Excel.Sheet.12" ShapeID="_x0000_i1087" Type="Embed" r:id="rId14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催收措施</w:t>
      </w:r>
      <w:r>
        <w:rPr>
          <w:rFonts w:eastAsia="等线" w:ascii="Arial" w:cs="Arial" w:hAnsi="Arial"/>
          <w:sz w:val="22"/>
        </w:rPr>
        <w:t>：</w:t>
      </w:r>
    </w:p>
    <w:p>
      <w:pPr>
        <w:spacing w:before="120" w:after="120" w:line="288" w:lineRule="auto"/>
        <w:ind w:left="0"/>
      </w:pPr>
      <w:r>
        <w:object>
          <v:shape id="_x0000_i1088" style="width:414pt;height:197pt;mso-width-percent:0;mso-height-percent:0;mso-width-percent:0;mso-height-percent:0" type="#_x0000_t75" o:ole="">
            <v:imagedata r:id="rId151" o:title=""/>
          </v:shape>
          <o:OLEObject DrawAspect="Icon" ObjectID="_1718471282" ProgID="Excel.Sheet.12" ShapeID="_x0000_i1088" Type="Embed" r:id="rId15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原因分类与应对策略</w:t>
      </w:r>
      <w:r>
        <w:rPr>
          <w:rFonts w:eastAsia="等线" w:ascii="Arial" w:cs="Arial" w:hAnsi="Arial"/>
          <w:sz w:val="22"/>
        </w:rPr>
        <w:t>：</w:t>
      </w:r>
    </w:p>
    <w:p>
      <w:pPr>
        <w:spacing w:before="120" w:after="120" w:line="288" w:lineRule="auto"/>
        <w:ind w:left="0"/>
      </w:pPr>
      <w:r>
        <w:object>
          <v:shape id="_x0000_i1089" style="width:414pt;height:197pt;mso-width-percent:0;mso-height-percent:0;mso-width-percent:0;mso-height-percent:0" type="#_x0000_t75" o:ole="">
            <v:imagedata r:id="rId153" o:title=""/>
          </v:shape>
          <o:OLEObject DrawAspect="Icon" ObjectID="_1718471283" ProgID="Excel.Sheet.12" ShapeID="_x0000_i1089" Type="Embed" r:id="rId15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阶段目标</w:t>
      </w:r>
      <w:r>
        <w:rPr>
          <w:rFonts w:eastAsia="等线" w:ascii="Arial" w:cs="Arial" w:hAnsi="Arial"/>
          <w:sz w:val="22"/>
        </w:rPr>
        <w:t>：M1阶段解决率≥60%（即60%的M1逾期在15天内回款或达成有效还款方案）</w:t>
      </w:r>
    </w:p>
    <w:p>
      <w:pPr>
        <w:spacing w:before="120" w:after="120" w:line="288" w:lineRule="auto"/>
        <w:ind w:left="0"/>
        <w:jc w:val="left"/>
      </w:pPr>
      <w:r>
        <w:rPr>
          <w:rFonts w:eastAsia="等线" w:ascii="Arial" w:cs="Arial" w:hAnsi="Arial"/>
          <w:b w:val="true"/>
          <w:sz w:val="22"/>
        </w:rPr>
        <w:t>责任人</w:t>
      </w:r>
      <w:r>
        <w:rPr>
          <w:rFonts w:eastAsia="等线" w:ascii="Arial" w:cs="Arial" w:hAnsi="Arial"/>
          <w:sz w:val="22"/>
        </w:rPr>
        <w:t>：初级催收员（处理常规案件）</w:t>
      </w:r>
    </w:p>
    <w:p>
      <w:pPr>
        <w:pBdr>
          <w:bottom w:val="single" w:color="dee0e3"/>
          <w:between w:val="single" w:color="dee0e3"/>
        </w:pBdr>
        <w:spacing w:before="120" w:after="120" w:line="288" w:lineRule="auto"/>
        <w:ind w:left="0"/>
      </w:pPr>
    </w:p>
    <w:p>
      <w:pPr>
        <w:pStyle w:val="7"/>
        <w:spacing w:before="240" w:after="120" w:line="288" w:lineRule="auto"/>
        <w:ind w:left="0"/>
        <w:jc w:val="left"/>
        <w:outlineLvl w:val="6"/>
      </w:pPr>
      <w:bookmarkStart w:name="heading_131" w:id="131"/>
      <w:r>
        <w:rPr>
          <w:rFonts w:eastAsia="等线" w:ascii="Arial" w:cs="Arial" w:hAnsi="Arial"/>
          <w:b w:val="true"/>
          <w:sz w:val="24"/>
        </w:rPr>
        <w:t>M2阶段（逾期16-30天）：强化施压+核心企业协同</w:t>
      </w:r>
      <w:bookmarkEnd w:id="131"/>
    </w:p>
    <w:p>
      <w:pPr>
        <w:spacing w:before="120" w:after="120" w:line="288" w:lineRule="auto"/>
        <w:ind w:left="0"/>
        <w:jc w:val="left"/>
      </w:pPr>
      <w:r>
        <w:rPr>
          <w:rFonts w:eastAsia="等线" w:ascii="Arial" w:cs="Arial" w:hAnsi="Arial"/>
          <w:b w:val="true"/>
          <w:sz w:val="22"/>
        </w:rPr>
        <w:t>天数设定依据</w:t>
      </w:r>
      <w:r>
        <w:rPr>
          <w:rFonts w:eastAsia="等线" w:ascii="Arial" w:cs="Arial" w:hAnsi="Arial"/>
          <w:sz w:val="22"/>
        </w:rPr>
        <w:t>：</w:t>
      </w:r>
    </w:p>
    <w:p>
      <w:pPr>
        <w:spacing w:before="120" w:after="120" w:line="288" w:lineRule="auto"/>
        <w:ind w:left="0"/>
        <w:jc w:val="left"/>
      </w:pPr>
      <w:r>
        <w:rPr>
          <w:rFonts w:eastAsia="等线" w:ascii="Arial" w:cs="Arial" w:hAnsi="Arial"/>
          <w:sz w:val="22"/>
        </w:rPr>
        <w:t>逾期超过15天仍未解决，说明</w:t>
      </w:r>
      <w:r>
        <w:rPr>
          <w:rFonts w:eastAsia="等线" w:ascii="Arial" w:cs="Arial" w:hAnsi="Arial"/>
          <w:b w:val="true"/>
          <w:sz w:val="22"/>
        </w:rPr>
        <w:t>常规催收效果有限</w:t>
      </w:r>
      <w:r>
        <w:rPr>
          <w:rFonts w:eastAsia="等线" w:ascii="Arial" w:cs="Arial" w:hAnsi="Arial"/>
          <w:sz w:val="22"/>
        </w:rPr>
        <w:t>，需要升级手段。选择16-30天作为M2区间：</w:t>
      </w:r>
    </w:p>
    <w:p>
      <w:pPr>
        <w:spacing w:before="120" w:after="120" w:line="288" w:lineRule="auto"/>
        <w:ind w:left="0"/>
      </w:pPr>
      <w:r>
        <w:object>
          <v:shape id="_x0000_i1090" style="width:414pt;height:197pt;mso-width-percent:0;mso-height-percent:0;mso-width-percent:0;mso-height-percent:0" type="#_x0000_t75" o:ole="">
            <v:imagedata r:id="rId155" o:title=""/>
          </v:shape>
          <o:OLEObject DrawAspect="Icon" ObjectID="_1718471284" ProgID="Excel.Sheet.12" ShapeID="_x0000_i1090" Type="Embed" r:id="rId15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催收措施</w:t>
      </w:r>
      <w:r>
        <w:rPr>
          <w:rFonts w:eastAsia="等线" w:ascii="Arial" w:cs="Arial" w:hAnsi="Arial"/>
          <w:sz w:val="22"/>
        </w:rPr>
        <w:t>：</w:t>
      </w:r>
    </w:p>
    <w:p>
      <w:pPr>
        <w:spacing w:before="120" w:after="120" w:line="288" w:lineRule="auto"/>
        <w:ind w:left="0"/>
      </w:pPr>
      <w:r>
        <w:object>
          <v:shape id="_x0000_i1091" style="width:414pt;height:197pt;mso-width-percent:0;mso-height-percent:0;mso-width-percent:0;mso-height-percent:0" type="#_x0000_t75" o:ole="">
            <v:imagedata r:id="rId157" o:title=""/>
          </v:shape>
          <o:OLEObject DrawAspect="Icon" ObjectID="_1718471285" ProgID="Excel.Sheet.12" ShapeID="_x0000_i1091" Type="Embed" r:id="rId15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核心企业协同催收机制</w:t>
      </w:r>
      <w:r>
        <w:rPr>
          <w:rFonts w:eastAsia="等线" w:ascii="Arial" w:cs="Arial" w:hAnsi="Arial"/>
          <w:sz w:val="22"/>
        </w:rPr>
        <w:t>：</w:t>
      </w:r>
    </w:p>
    <w:p>
      <w:pPr>
        <w:spacing w:before="120" w:after="120" w:line="288" w:lineRule="auto"/>
        <w:ind w:left="0"/>
        <w:jc w:val="left"/>
      </w:pPr>
      <w:r>
        <w:rPr>
          <w:rFonts w:eastAsia="等线" w:ascii="Arial" w:cs="Arial" w:hAnsi="Arial"/>
          <w:sz w:val="22"/>
        </w:rPr>
        <w:t>核心企业对经销商拥有平台不具备的"杀手锏"——</w:t>
      </w:r>
      <w:r>
        <w:rPr>
          <w:rFonts w:eastAsia="等线" w:ascii="Arial" w:cs="Arial" w:hAnsi="Arial"/>
          <w:b w:val="true"/>
          <w:sz w:val="22"/>
        </w:rPr>
        <w:t>停止供货</w:t>
      </w:r>
      <w:r>
        <w:rPr>
          <w:rFonts w:eastAsia="等线" w:ascii="Arial" w:cs="Arial" w:hAnsi="Arial"/>
          <w:sz w:val="22"/>
        </w:rPr>
        <w:t>。对于依赖核心企业货源的经销商，停止供货意味着生意无法继续，这是最有效的施压手段。</w:t>
      </w:r>
    </w:p>
    <w:p>
      <w:pPr>
        <w:spacing w:before="120" w:after="120" w:line="288" w:lineRule="auto"/>
        <w:ind w:left="0"/>
      </w:pPr>
      <w:r>
        <w:object>
          <v:shape id="_x0000_i1092" style="width:414pt;height:155pt;mso-width-percent:0;mso-height-percent:0;mso-width-percent:0;mso-height-percent:0" type="#_x0000_t75" o:ole="">
            <v:imagedata r:id="rId159" o:title=""/>
          </v:shape>
          <o:OLEObject DrawAspect="Icon" ObjectID="_1718471286" ProgID="Excel.Sheet.12" ShapeID="_x0000_i1092" Type="Embed" r:id="rId15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阶段目标</w:t>
      </w:r>
      <w:r>
        <w:rPr>
          <w:rFonts w:eastAsia="等线" w:ascii="Arial" w:cs="Arial" w:hAnsi="Arial"/>
          <w:sz w:val="22"/>
        </w:rPr>
        <w:t>：M2阶段解决率≥50%（含核心企业协同成功）</w:t>
      </w:r>
    </w:p>
    <w:p>
      <w:pPr>
        <w:spacing w:before="120" w:after="120" w:line="288" w:lineRule="auto"/>
        <w:ind w:left="0"/>
        <w:jc w:val="left"/>
      </w:pPr>
      <w:r>
        <w:rPr>
          <w:rFonts w:eastAsia="等线" w:ascii="Arial" w:cs="Arial" w:hAnsi="Arial"/>
          <w:b w:val="true"/>
          <w:sz w:val="22"/>
        </w:rPr>
        <w:t>责任人</w:t>
      </w:r>
      <w:r>
        <w:rPr>
          <w:rFonts w:eastAsia="等线" w:ascii="Arial" w:cs="Arial" w:hAnsi="Arial"/>
          <w:sz w:val="22"/>
        </w:rPr>
        <w:t>：高级催收员</w:t>
      </w:r>
    </w:p>
    <w:p>
      <w:pPr>
        <w:pBdr>
          <w:bottom w:val="single" w:color="dee0e3"/>
          <w:between w:val="single" w:color="dee0e3"/>
        </w:pBdr>
        <w:spacing w:before="120" w:after="120" w:line="288" w:lineRule="auto"/>
        <w:ind w:left="0"/>
      </w:pPr>
    </w:p>
    <w:p>
      <w:pPr>
        <w:pStyle w:val="7"/>
        <w:spacing w:before="240" w:after="120" w:line="288" w:lineRule="auto"/>
        <w:ind w:left="0"/>
        <w:jc w:val="left"/>
        <w:outlineLvl w:val="6"/>
      </w:pPr>
      <w:bookmarkStart w:name="heading_132" w:id="132"/>
      <w:r>
        <w:rPr>
          <w:rFonts w:eastAsia="等线" w:ascii="Arial" w:cs="Arial" w:hAnsi="Arial"/>
          <w:b w:val="true"/>
          <w:sz w:val="24"/>
        </w:rPr>
        <w:t>M3阶段（逾期31-90天）：法律诉讼+货物处置</w:t>
      </w:r>
      <w:bookmarkEnd w:id="132"/>
    </w:p>
    <w:p>
      <w:pPr>
        <w:spacing w:before="120" w:after="120" w:line="288" w:lineRule="auto"/>
        <w:ind w:left="0"/>
        <w:jc w:val="left"/>
      </w:pPr>
      <w:r>
        <w:rPr>
          <w:rFonts w:eastAsia="等线" w:ascii="Arial" w:cs="Arial" w:hAnsi="Arial"/>
          <w:b w:val="true"/>
          <w:sz w:val="22"/>
        </w:rPr>
        <w:t>天数设定依据</w:t>
      </w:r>
      <w:r>
        <w:rPr>
          <w:rFonts w:eastAsia="等线" w:ascii="Arial" w:cs="Arial" w:hAnsi="Arial"/>
          <w:sz w:val="22"/>
        </w:rPr>
        <w:t>：</w:t>
      </w:r>
    </w:p>
    <w:p>
      <w:pPr>
        <w:spacing w:before="120" w:after="120" w:line="288" w:lineRule="auto"/>
        <w:ind w:left="0"/>
        <w:jc w:val="left"/>
      </w:pPr>
      <w:r>
        <w:rPr>
          <w:rFonts w:eastAsia="等线" w:ascii="Arial" w:cs="Arial" w:hAnsi="Arial"/>
          <w:sz w:val="22"/>
        </w:rPr>
        <w:t>逾期超过30天，意味着</w:t>
      </w:r>
      <w:r>
        <w:rPr>
          <w:rFonts w:eastAsia="等线" w:ascii="Arial" w:cs="Arial" w:hAnsi="Arial"/>
          <w:b w:val="true"/>
          <w:sz w:val="22"/>
        </w:rPr>
        <w:t>常规催收和核心企业协同均未奏效</w:t>
      </w:r>
      <w:r>
        <w:rPr>
          <w:rFonts w:eastAsia="等线" w:ascii="Arial" w:cs="Arial" w:hAnsi="Arial"/>
          <w:sz w:val="22"/>
        </w:rPr>
        <w:t>，需要启动强制手段。选择31-90天作为M3区间：</w:t>
      </w:r>
    </w:p>
    <w:p>
      <w:pPr>
        <w:spacing w:before="120" w:after="120" w:line="288" w:lineRule="auto"/>
        <w:ind w:left="0"/>
      </w:pPr>
      <w:r>
        <w:object>
          <v:shape id="_x0000_i1093" style="width:414pt;height:197pt;mso-width-percent:0;mso-height-percent:0;mso-width-percent:0;mso-height-percent:0" type="#_x0000_t75" o:ole="">
            <v:imagedata r:id="rId161" o:title=""/>
          </v:shape>
          <o:OLEObject DrawAspect="Icon" ObjectID="_1718471287" ProgID="Excel.Sheet.12" ShapeID="_x0000_i1093" Type="Embed" r:id="rId16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催收措施</w:t>
      </w:r>
      <w:r>
        <w:rPr>
          <w:rFonts w:eastAsia="等线" w:ascii="Arial" w:cs="Arial" w:hAnsi="Arial"/>
          <w:sz w:val="22"/>
        </w:rPr>
        <w:t>：</w:t>
      </w:r>
    </w:p>
    <w:p>
      <w:pPr>
        <w:spacing w:before="120" w:after="120" w:line="288" w:lineRule="auto"/>
        <w:ind w:left="0"/>
      </w:pPr>
      <w:r>
        <w:object>
          <v:shape id="_x0000_i1094" style="width:414pt;height:197pt;mso-width-percent:0;mso-height-percent:0;mso-width-percent:0;mso-height-percent:0" type="#_x0000_t75" o:ole="">
            <v:imagedata r:id="rId163" o:title=""/>
          </v:shape>
          <o:OLEObject DrawAspect="Icon" ObjectID="_1718471288" ProgID="Excel.Sheet.12" ShapeID="_x0000_i1094" Type="Embed" r:id="rId16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货物处置与法律诉讼并行策略</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并行处理逻辑：</w:t>
              <w:br/>
              <w:t>├─ 货物处置线（快）</w:t>
              <w:br/>
              <w:t>│   ├─ 第31天：启动处置评估</w:t>
              <w:br/>
              <w:t>│   ├─ 第35天：确定处置方案（回购/拍卖）</w:t>
              <w:br/>
              <w:t>│   ├─ 第45天：完成处置，资金回收</w:t>
              <w:br/>
              <w:t>│   └─ 优势：快速回收，减少损失</w:t>
              <w:br/>
              <w:t>│</w:t>
              <w:br/>
              <w:t>├─ 法律诉讼线（慢但彻底）</w:t>
              <w:br/>
              <w:t>│   ├─ 第35天：提起诉讼</w:t>
              <w:br/>
              <w:t>│   ├─ 第60天：开庭审理</w:t>
              <w:br/>
              <w:t>│   ├─ 第90天：获得判决</w:t>
              <w:br/>
              <w:t>│   └─ 优势：追索剩余欠款，形成法律约束</w:t>
              <w:br/>
              <w:t>│</w:t>
              <w:br/>
            </w:r>
            <w:r>
              <w:rPr>
                <w:rFonts w:eastAsia="Consolas" w:ascii="Consolas" w:cs="Consolas" w:hAnsi="Consolas"/>
                <w:sz w:val="22"/>
              </w:rPr>
              <w:t>└─ 协同效果：处置回收不足部分，通过判决继续追索</w:t>
            </w:r>
          </w:p>
        </w:tc>
      </w:tr>
    </w:tbl>
    <w:p>
      <w:pPr>
        <w:spacing w:before="120" w:after="120" w:line="288" w:lineRule="auto"/>
        <w:ind w:left="0"/>
        <w:jc w:val="left"/>
      </w:pPr>
      <w:r>
        <w:rPr>
          <w:rFonts w:eastAsia="等线" w:ascii="Arial" w:cs="Arial" w:hAnsi="Arial"/>
          <w:b w:val="true"/>
          <w:sz w:val="22"/>
        </w:rPr>
        <w:t>阶段目标</w:t>
      </w:r>
      <w:r>
        <w:rPr>
          <w:rFonts w:eastAsia="等线" w:ascii="Arial" w:cs="Arial" w:hAnsi="Arial"/>
          <w:sz w:val="22"/>
        </w:rPr>
        <w:t>：M3阶段回收率≥60%（通过处置+部分还款）</w:t>
      </w:r>
    </w:p>
    <w:p>
      <w:pPr>
        <w:spacing w:before="120" w:after="120" w:line="288" w:lineRule="auto"/>
        <w:ind w:left="0"/>
        <w:jc w:val="left"/>
      </w:pPr>
      <w:r>
        <w:rPr>
          <w:rFonts w:eastAsia="等线" w:ascii="Arial" w:cs="Arial" w:hAnsi="Arial"/>
          <w:b w:val="true"/>
          <w:sz w:val="22"/>
        </w:rPr>
        <w:t>责任人</w:t>
      </w:r>
      <w:r>
        <w:rPr>
          <w:rFonts w:eastAsia="等线" w:ascii="Arial" w:cs="Arial" w:hAnsi="Arial"/>
          <w:sz w:val="22"/>
        </w:rPr>
        <w:t>：催收经理+法务部</w:t>
      </w:r>
    </w:p>
    <w:p>
      <w:pPr>
        <w:pBdr>
          <w:bottom w:val="single" w:color="dee0e3"/>
          <w:between w:val="single" w:color="dee0e3"/>
        </w:pBdr>
        <w:spacing w:before="120" w:after="120" w:line="288" w:lineRule="auto"/>
        <w:ind w:left="0"/>
      </w:pPr>
    </w:p>
    <w:p>
      <w:pPr>
        <w:pStyle w:val="7"/>
        <w:spacing w:before="240" w:after="120" w:line="288" w:lineRule="auto"/>
        <w:ind w:left="0"/>
        <w:jc w:val="left"/>
        <w:outlineLvl w:val="6"/>
      </w:pPr>
      <w:bookmarkStart w:name="heading_133" w:id="133"/>
      <w:r>
        <w:rPr>
          <w:rFonts w:eastAsia="等线" w:ascii="Arial" w:cs="Arial" w:hAnsi="Arial"/>
          <w:b w:val="true"/>
          <w:sz w:val="24"/>
        </w:rPr>
        <w:t>M4阶段（逾期&gt;90天）：诉讼执行+核销评估</w:t>
      </w:r>
      <w:bookmarkEnd w:id="133"/>
    </w:p>
    <w:p>
      <w:pPr>
        <w:spacing w:before="120" w:after="120" w:line="288" w:lineRule="auto"/>
        <w:ind w:left="0"/>
        <w:jc w:val="left"/>
      </w:pPr>
      <w:r>
        <w:rPr>
          <w:rFonts w:eastAsia="等线" w:ascii="Arial" w:cs="Arial" w:hAnsi="Arial"/>
          <w:b w:val="true"/>
          <w:sz w:val="22"/>
        </w:rPr>
        <w:t>天数设定依据</w:t>
      </w:r>
      <w:r>
        <w:rPr>
          <w:rFonts w:eastAsia="等线" w:ascii="Arial" w:cs="Arial" w:hAnsi="Arial"/>
          <w:sz w:val="22"/>
        </w:rPr>
        <w:t>：</w:t>
      </w:r>
    </w:p>
    <w:p>
      <w:pPr>
        <w:spacing w:before="120" w:after="120" w:line="288" w:lineRule="auto"/>
        <w:ind w:left="0"/>
        <w:jc w:val="left"/>
      </w:pPr>
      <w:r>
        <w:rPr>
          <w:rFonts w:eastAsia="等线" w:ascii="Arial" w:cs="Arial" w:hAnsi="Arial"/>
          <w:sz w:val="22"/>
        </w:rPr>
        <w:t>逾期超过90天，根据银行业监管要求，通常应划入"损失类"资产。此阶段：</w:t>
      </w:r>
    </w:p>
    <w:p>
      <w:pPr>
        <w:numPr>
          <w:numId w:val="742"/>
        </w:numPr>
        <w:spacing w:before="120" w:after="120" w:line="288" w:lineRule="auto"/>
        <w:ind w:left="0"/>
        <w:jc w:val="left"/>
      </w:pPr>
      <w:r>
        <w:rPr>
          <w:rFonts w:eastAsia="等线" w:ascii="Arial" w:cs="Arial" w:hAnsi="Arial"/>
          <w:sz w:val="22"/>
        </w:rPr>
        <w:t>客户主动还款概率&lt;5%</w:t>
      </w:r>
    </w:p>
    <w:p>
      <w:pPr>
        <w:numPr>
          <w:numId w:val="743"/>
        </w:numPr>
        <w:spacing w:before="120" w:after="120" w:line="288" w:lineRule="auto"/>
        <w:ind w:left="0"/>
        <w:jc w:val="left"/>
      </w:pPr>
      <w:r>
        <w:rPr>
          <w:rFonts w:eastAsia="等线" w:ascii="Arial" w:cs="Arial" w:hAnsi="Arial"/>
          <w:sz w:val="22"/>
        </w:rPr>
        <w:t>需依靠法律强制执行</w:t>
      </w:r>
    </w:p>
    <w:p>
      <w:pPr>
        <w:numPr>
          <w:numId w:val="744"/>
        </w:numPr>
        <w:spacing w:before="120" w:after="120" w:line="288" w:lineRule="auto"/>
        <w:ind w:left="0"/>
        <w:jc w:val="left"/>
      </w:pPr>
      <w:r>
        <w:rPr>
          <w:rFonts w:eastAsia="等线" w:ascii="Arial" w:cs="Arial" w:hAnsi="Arial"/>
          <w:sz w:val="22"/>
        </w:rPr>
        <w:t>部分确实无法回收的需启动核销</w:t>
      </w:r>
    </w:p>
    <w:p>
      <w:pPr>
        <w:spacing w:before="120" w:after="120" w:line="288" w:lineRule="auto"/>
        <w:ind w:left="0"/>
        <w:jc w:val="left"/>
      </w:pPr>
      <w:r>
        <w:rPr>
          <w:rFonts w:eastAsia="等线" w:ascii="Arial" w:cs="Arial" w:hAnsi="Arial"/>
          <w:b w:val="true"/>
          <w:sz w:val="22"/>
        </w:rPr>
        <w:t>处置措施</w:t>
      </w:r>
      <w:r>
        <w:rPr>
          <w:rFonts w:eastAsia="等线" w:ascii="Arial" w:cs="Arial" w:hAnsi="Arial"/>
          <w:sz w:val="22"/>
        </w:rPr>
        <w:t>：</w:t>
      </w:r>
    </w:p>
    <w:p>
      <w:pPr>
        <w:spacing w:before="120" w:after="120" w:line="288" w:lineRule="auto"/>
        <w:ind w:left="0"/>
      </w:pPr>
      <w:r>
        <w:object>
          <v:shape id="_x0000_i1095" style="width:414pt;height:192pt;mso-width-percent:0;mso-height-percent:0;mso-width-percent:0;mso-height-percent:0" type="#_x0000_t75" o:ole="">
            <v:imagedata r:id="rId165" o:title=""/>
          </v:shape>
          <o:OLEObject DrawAspect="Icon" ObjectID="_1718471289" ProgID="Excel.Sheet.12" ShapeID="_x0000_i1095" Type="Embed" r:id="rId16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核销条件</w:t>
      </w:r>
      <w:r>
        <w:rPr>
          <w:rFonts w:eastAsia="等线" w:ascii="Arial" w:cs="Arial" w:hAnsi="Arial"/>
          <w:sz w:val="22"/>
        </w:rPr>
        <w:t>：</w:t>
      </w:r>
    </w:p>
    <w:p>
      <w:pPr>
        <w:numPr>
          <w:numId w:val="745"/>
        </w:numPr>
        <w:spacing w:before="120" w:after="120" w:line="288" w:lineRule="auto"/>
        <w:ind w:left="0"/>
        <w:jc w:val="left"/>
      </w:pPr>
      <w:r>
        <w:rPr>
          <w:rFonts w:eastAsia="等线" w:ascii="Arial" w:cs="Arial" w:hAnsi="Arial"/>
          <w:sz w:val="22"/>
        </w:rPr>
        <w:t>法律诉讼终结，法院出具"终本裁定"</w:t>
      </w:r>
    </w:p>
    <w:p>
      <w:pPr>
        <w:numPr>
          <w:numId w:val="746"/>
        </w:numPr>
        <w:spacing w:before="120" w:after="120" w:line="288" w:lineRule="auto"/>
        <w:ind w:left="0"/>
        <w:jc w:val="left"/>
      </w:pPr>
      <w:r>
        <w:rPr>
          <w:rFonts w:eastAsia="等线" w:ascii="Arial" w:cs="Arial" w:hAnsi="Arial"/>
          <w:sz w:val="22"/>
        </w:rPr>
        <w:t>客户确无可执行财产</w:t>
      </w:r>
    </w:p>
    <w:p>
      <w:pPr>
        <w:numPr>
          <w:numId w:val="747"/>
        </w:numPr>
        <w:spacing w:before="120" w:after="120" w:line="288" w:lineRule="auto"/>
        <w:ind w:left="0"/>
        <w:jc w:val="left"/>
      </w:pPr>
      <w:r>
        <w:rPr>
          <w:rFonts w:eastAsia="等线" w:ascii="Arial" w:cs="Arial" w:hAnsi="Arial"/>
          <w:sz w:val="22"/>
        </w:rPr>
        <w:t>已穷尽所有追索手段</w:t>
      </w:r>
    </w:p>
    <w:p>
      <w:pPr>
        <w:numPr>
          <w:numId w:val="748"/>
        </w:numPr>
        <w:spacing w:before="120" w:after="120" w:line="288" w:lineRule="auto"/>
        <w:ind w:left="0"/>
        <w:jc w:val="left"/>
      </w:pPr>
      <w:r>
        <w:rPr>
          <w:rFonts w:eastAsia="等线" w:ascii="Arial" w:cs="Arial" w:hAnsi="Arial"/>
          <w:sz w:val="22"/>
        </w:rPr>
        <w:t>经风控总监、财务总监、总经理审批</w:t>
      </w:r>
    </w:p>
    <w:p>
      <w:pPr>
        <w:spacing w:before="120" w:after="120" w:line="288" w:lineRule="auto"/>
        <w:ind w:left="0"/>
        <w:jc w:val="left"/>
      </w:pPr>
      <w:r>
        <w:rPr>
          <w:rFonts w:eastAsia="等线" w:ascii="Arial" w:cs="Arial" w:hAnsi="Arial"/>
          <w:b w:val="true"/>
          <w:sz w:val="22"/>
        </w:rPr>
        <w:t>阶段目标</w:t>
      </w:r>
      <w:r>
        <w:rPr>
          <w:rFonts w:eastAsia="等线" w:ascii="Arial" w:cs="Arial" w:hAnsi="Arial"/>
          <w:sz w:val="22"/>
        </w:rPr>
        <w:t>：M4阶段回收率≥20%（通过执行+长期追索）</w:t>
      </w:r>
    </w:p>
    <w:p>
      <w:pPr>
        <w:spacing w:before="120" w:after="120" w:line="288" w:lineRule="auto"/>
        <w:ind w:left="0"/>
        <w:jc w:val="left"/>
      </w:pPr>
      <w:r>
        <w:rPr>
          <w:rFonts w:eastAsia="等线" w:ascii="Arial" w:cs="Arial" w:hAnsi="Arial"/>
          <w:b w:val="true"/>
          <w:sz w:val="22"/>
        </w:rPr>
        <w:t>责任人</w:t>
      </w:r>
      <w:r>
        <w:rPr>
          <w:rFonts w:eastAsia="等线" w:ascii="Arial" w:cs="Arial" w:hAnsi="Arial"/>
          <w:sz w:val="22"/>
        </w:rPr>
        <w:t>：法务部</w:t>
      </w:r>
    </w:p>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134" w:id="134"/>
      <w:r>
        <w:rPr>
          <w:rFonts w:eastAsia="等线" w:ascii="Arial" w:cs="Arial" w:hAnsi="Arial"/>
          <w:b w:val="true"/>
          <w:sz w:val="24"/>
        </w:rPr>
        <w:t>分级催收效果对比</w:t>
      </w:r>
      <w:bookmarkEnd w:id="134"/>
    </w:p>
    <w:p>
      <w:pPr>
        <w:spacing w:before="120" w:after="120" w:line="288" w:lineRule="auto"/>
        <w:ind w:left="0"/>
      </w:pPr>
      <w:r>
        <w:object>
          <v:shape id="_x0000_i1096" style="width:414pt;height:123pt;mso-width-percent:0;mso-height-percent:0;mso-width-percent:0;mso-height-percent:0" type="#_x0000_t75" o:ole="">
            <v:imagedata r:id="rId167" o:title=""/>
          </v:shape>
          <o:OLEObject DrawAspect="Icon" ObjectID="_1718471290" ProgID="Excel.Sheet.12" ShapeID="_x0000_i1096" Type="Embed" r:id="rId16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设计原则总结</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分级催收的核心逻辑是"</w:t>
            </w:r>
            <w:r>
              <w:rPr>
                <w:rFonts w:eastAsia="等线" w:ascii="Arial" w:cs="Arial" w:hAnsi="Arial"/>
                <w:b w:val="true"/>
                <w:color w:val="646a73"/>
                <w:sz w:val="22"/>
              </w:rPr>
              <w:t>早期低成本广覆盖，后期高投入精准打击</w:t>
            </w:r>
            <w:r>
              <w:rPr>
                <w:rFonts w:eastAsia="等线" w:ascii="Arial" w:cs="Arial" w:hAnsi="Arial"/>
                <w:color w:val="646a73"/>
                <w:sz w:val="22"/>
              </w:rPr>
              <w:t>"。M0-M1阶段覆盖了约70%的逾期案件，用较低成本解决大部分问题；M2-M3阶段集中资源处理疑难案件，借助核心企业协同和法律手段提升回收率。这种分级策略使整体催收成本降低40%，同时回收率提升15个百分点。</w:t>
            </w:r>
          </w:p>
        </w:tc>
      </w:tr>
    </w:tbl>
    <w:p>
      <w:pPr>
        <w:pStyle w:val="6"/>
        <w:spacing w:before="240" w:after="120" w:line="288" w:lineRule="auto"/>
        <w:ind w:left="0"/>
        <w:jc w:val="left"/>
        <w:outlineLvl w:val="5"/>
      </w:pPr>
      <w:bookmarkStart w:name="heading_135" w:id="135"/>
      <w:r>
        <w:rPr>
          <w:rFonts w:eastAsia="等线" w:ascii="Arial" w:cs="Arial" w:hAnsi="Arial"/>
          <w:b w:val="true"/>
          <w:sz w:val="24"/>
        </w:rPr>
        <w:t>行业对标</w:t>
      </w:r>
      <w:bookmarkEnd w:id="135"/>
    </w:p>
    <w:p>
      <w:pPr>
        <w:spacing w:before="120" w:after="120" w:line="288" w:lineRule="auto"/>
        <w:ind w:left="0"/>
      </w:pPr>
      <w:r>
        <w:object>
          <v:shape id="_x0000_i1097" style="width:414pt;height:104pt;mso-width-percent:0;mso-height-percent:0;mso-width-percent:0;mso-height-percent:0" type="#_x0000_t75" o:ole="">
            <v:imagedata r:id="rId169" o:title=""/>
          </v:shape>
          <o:OLEObject DrawAspect="Icon" ObjectID="_1718471291" ProgID="Excel.Sheet.12" ShapeID="_x0000_i1097" Type="Embed" r:id="rId16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我们的分级标准与平安银行存货融资最为接近，这是因为：</w:t>
      </w:r>
    </w:p>
    <w:p>
      <w:pPr>
        <w:numPr>
          <w:numId w:val="749"/>
        </w:numPr>
        <w:spacing w:before="120" w:after="120" w:line="288" w:lineRule="auto"/>
        <w:ind w:left="0"/>
        <w:jc w:val="left"/>
      </w:pPr>
      <w:r>
        <w:rPr>
          <w:rFonts w:eastAsia="等线" w:ascii="Arial" w:cs="Arial" w:hAnsi="Arial"/>
          <w:sz w:val="22"/>
        </w:rPr>
        <w:t>同为存货质押业务，客户群体和风险特征相似</w:t>
      </w:r>
    </w:p>
    <w:p>
      <w:pPr>
        <w:numPr>
          <w:numId w:val="750"/>
        </w:numPr>
        <w:spacing w:before="120" w:after="120" w:line="288" w:lineRule="auto"/>
        <w:ind w:left="0"/>
        <w:jc w:val="left"/>
      </w:pPr>
      <w:r>
        <w:rPr>
          <w:rFonts w:eastAsia="等线" w:ascii="Arial" w:cs="Arial" w:hAnsi="Arial"/>
          <w:sz w:val="22"/>
        </w:rPr>
        <w:t>M0设为3天（而非银行通行的7-10天）：供应链金融客户对资金敏感度高，3天足以区分"遗忘"和"困难"</w:t>
      </w:r>
    </w:p>
    <w:p>
      <w:pPr>
        <w:numPr>
          <w:numId w:val="751"/>
        </w:numPr>
        <w:spacing w:before="120" w:after="120" w:line="288" w:lineRule="auto"/>
        <w:ind w:left="0"/>
        <w:jc w:val="left"/>
      </w:pPr>
      <w:r>
        <w:rPr>
          <w:rFonts w:eastAsia="等线" w:ascii="Arial" w:cs="Arial" w:hAnsi="Arial"/>
          <w:sz w:val="22"/>
        </w:rPr>
        <w:t>M1设为4-15天（而非30天）：存货质押有货物处置兜底，可以更早启动协同催收和处置准备</w:t>
      </w:r>
    </w:p>
    <w:p>
      <w:pPr>
        <w:pStyle w:val="5"/>
        <w:spacing w:before="240" w:after="120" w:line="288" w:lineRule="auto"/>
        <w:ind w:left="0"/>
        <w:jc w:val="left"/>
        <w:outlineLvl w:val="4"/>
      </w:pPr>
      <w:bookmarkStart w:name="heading_136" w:id="136"/>
      <w:r>
        <w:rPr>
          <w:rFonts w:eastAsia="等线" w:ascii="Arial" w:cs="Arial" w:hAnsi="Arial"/>
          <w:color w:val="3370ff"/>
          <w:sz w:val="24"/>
        </w:rPr>
        <w:t xml:space="preserve">3.5.4.1.4 </w:t>
      </w:r>
      <w:r>
        <w:rPr>
          <w:rFonts w:eastAsia="等线" w:ascii="Arial" w:cs="Arial" w:hAnsi="Arial"/>
          <w:b w:val="true"/>
          <w:sz w:val="24"/>
        </w:rPr>
        <w:t>协同催收触发与分配规则</w:t>
      </w:r>
      <w:bookmarkEnd w:id="136"/>
    </w:p>
    <w:p>
      <w:pPr>
        <w:spacing w:before="120" w:after="120" w:line="288" w:lineRule="auto"/>
        <w:ind w:left="0"/>
        <w:jc w:val="left"/>
      </w:pPr>
      <w:r>
        <w:rPr>
          <w:rFonts w:eastAsia="等线" w:ascii="Arial" w:cs="Arial" w:hAnsi="Arial"/>
          <w:b w:val="true"/>
          <w:sz w:val="22"/>
        </w:rPr>
        <w:t>协同触发规则</w:t>
      </w:r>
    </w:p>
    <w:p>
      <w:pPr>
        <w:spacing w:before="120" w:after="120" w:line="288" w:lineRule="auto"/>
        <w:ind w:left="0"/>
        <w:jc w:val="left"/>
      </w:pPr>
      <w:r>
        <w:rPr>
          <w:rFonts w:eastAsia="等线" w:ascii="Arial" w:cs="Arial" w:hAnsi="Arial"/>
          <w:sz w:val="22"/>
        </w:rPr>
        <w:t>核心企业协同催收的触发遵循"</w:t>
      </w:r>
      <w:r>
        <w:rPr>
          <w:rFonts w:eastAsia="等线" w:ascii="Arial" w:cs="Arial" w:hAnsi="Arial"/>
          <w:b w:val="true"/>
          <w:sz w:val="22"/>
        </w:rPr>
        <w:t>问题足够严重但尚未恶化</w:t>
      </w:r>
      <w:r>
        <w:rPr>
          <w:rFonts w:eastAsia="等线" w:ascii="Arial" w:cs="Arial" w:hAnsi="Arial"/>
          <w:sz w:val="22"/>
        </w:rPr>
        <w:t>"原则，确保核心企业介入时机恰当：</w:t>
      </w:r>
    </w:p>
    <w:p>
      <w:pPr>
        <w:spacing w:before="120" w:after="120" w:line="288" w:lineRule="auto"/>
        <w:ind w:left="0"/>
      </w:pPr>
      <w:r>
        <w:object>
          <v:shape id="_x0000_i1098" style="width:414pt;height:182pt;mso-width-percent:0;mso-height-percent:0;mso-width-percent:0;mso-height-percent:0" type="#_x0000_t75" o:ole="">
            <v:imagedata r:id="rId171" o:title=""/>
          </v:shape>
          <o:OLEObject DrawAspect="Icon" ObjectID="_1718471292" ProgID="Excel.Sheet.12" ShapeID="_x0000_i1098" Type="Embed" r:id="rId17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激励与约束机制</w:t>
      </w:r>
    </w:p>
    <w:p>
      <w:pPr>
        <w:spacing w:before="120" w:after="120" w:line="288" w:lineRule="auto"/>
        <w:ind w:left="0"/>
        <w:jc w:val="left"/>
      </w:pPr>
      <w:r>
        <w:rPr>
          <w:rFonts w:eastAsia="等线" w:ascii="Arial" w:cs="Arial" w:hAnsi="Arial"/>
          <w:sz w:val="22"/>
        </w:rPr>
        <w:t>为调动核心企业协同积极性，建立双向激励约束：</w:t>
      </w:r>
    </w:p>
    <w:p>
      <w:pPr>
        <w:spacing w:before="120" w:after="120" w:line="288" w:lineRule="auto"/>
        <w:ind w:left="0"/>
      </w:pPr>
      <w:r>
        <w:object>
          <v:shape id="_x0000_i1099" style="width:414pt;height:150pt;mso-width-percent:0;mso-height-percent:0;mso-width-percent:0;mso-height-percent:0" type="#_x0000_t75" o:ole="">
            <v:imagedata r:id="rId173" o:title=""/>
          </v:shape>
          <o:OLEObject DrawAspect="Icon" ObjectID="_1718471293" ProgID="Excel.Sheet.12" ShapeID="_x0000_i1099" Type="Embed" r:id="rId17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协同SLA规范</w:t>
      </w:r>
    </w:p>
    <w:p>
      <w:pPr>
        <w:spacing w:before="120" w:after="120" w:line="288" w:lineRule="auto"/>
        <w:ind w:left="0"/>
      </w:pPr>
      <w:r>
        <w:object>
          <v:shape id="_x0000_i1100" style="width:414pt;height:126pt;mso-width-percent:0;mso-height-percent:0;mso-width-percent:0;mso-height-percent:0" type="#_x0000_t75" o:ole="">
            <v:imagedata r:id="rId175" o:title=""/>
          </v:shape>
          <o:OLEObject DrawAspect="Icon" ObjectID="_1718471294" ProgID="Excel.Sheet.12" ShapeID="_x0000_i1100" Type="Embed" r:id="rId174"/>
        </w:object>
      </w:r>
    </w:p>
    <w:p>
      <w:pPr>
        <w:spacing w:after="120"/>
        <w:ind w:left="0"/>
        <w:jc w:val="center"/>
      </w:pPr>
      <w:r>
        <w:rPr>
          <w:rFonts w:eastAsia="等线" w:ascii="Arial" w:cs="Arial" w:hAnsi="Arial"/>
          <w:b w:val="true"/>
          <w:sz w:val="22"/>
        </w:rPr>
        <w:t>点击图片可查看完整电子表格</w:t>
      </w:r>
    </w:p>
    <w:p>
      <w:pPr>
        <w:pStyle w:val="5"/>
        <w:spacing w:before="240" w:after="120" w:line="288" w:lineRule="auto"/>
        <w:ind w:left="0"/>
        <w:jc w:val="left"/>
        <w:outlineLvl w:val="4"/>
      </w:pPr>
      <w:bookmarkStart w:name="heading_137" w:id="137"/>
      <w:r>
        <w:rPr>
          <w:rFonts w:eastAsia="等线" w:ascii="Arial" w:cs="Arial" w:hAnsi="Arial"/>
          <w:color w:val="3370ff"/>
          <w:sz w:val="24"/>
        </w:rPr>
        <w:t xml:space="preserve">3.5.4.1.5 </w:t>
      </w:r>
      <w:r>
        <w:rPr>
          <w:rFonts w:eastAsia="等线" w:ascii="Arial" w:cs="Arial" w:hAnsi="Arial"/>
          <w:b w:val="true"/>
          <w:sz w:val="24"/>
        </w:rPr>
        <w:t>催收绩效管理</w:t>
      </w:r>
      <w:bookmarkEnd w:id="137"/>
    </w:p>
    <w:p>
      <w:pPr>
        <w:spacing w:before="120" w:after="120" w:line="288" w:lineRule="auto"/>
        <w:ind w:left="0"/>
        <w:jc w:val="left"/>
      </w:pPr>
      <w:r>
        <w:rPr>
          <w:rFonts w:eastAsia="等线" w:ascii="Arial" w:cs="Arial" w:hAnsi="Arial"/>
          <w:b w:val="true"/>
          <w:sz w:val="22"/>
        </w:rPr>
        <w:t>催收员考核指标</w:t>
      </w:r>
      <w:r>
        <w:rPr>
          <w:rFonts w:eastAsia="等线" w:ascii="Arial" w:cs="Arial" w:hAnsi="Arial"/>
          <w:sz w:val="22"/>
        </w:rPr>
        <w:t>：</w:t>
      </w:r>
    </w:p>
    <w:p>
      <w:pPr>
        <w:spacing w:before="120" w:after="120" w:line="288" w:lineRule="auto"/>
        <w:ind w:left="0"/>
      </w:pPr>
      <w:r>
        <w:object>
          <v:shape id="_x0000_i1101" style="width:414pt;height:182pt;mso-width-percent:0;mso-height-percent:0;mso-width-percent:0;mso-height-percent:0" type="#_x0000_t75" o:ole="">
            <v:imagedata r:id="rId177" o:title=""/>
          </v:shape>
          <o:OLEObject DrawAspect="Icon" ObjectID="_1718471295" ProgID="Excel.Sheet.12" ShapeID="_x0000_i1101" Type="Embed" r:id="rId17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分级激励</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月度催收成功率：</w:t>
              <w:br/>
              <w:t xml:space="preserve">  ≥ 80%：优秀，奖金+30%</w:t>
              <w:br/>
              <w:t xml:space="preserve">  70-79%：良好，奖金+20%</w:t>
              <w:br/>
              <w:t xml:space="preserve">  60-69%：合格，正常奖金</w:t>
              <w:br/>
              <w:t xml:space="preserve">  &lt; 60%：需改进，培训提升</w:t>
              <w:br/>
              <w:br/>
              <w:t>特殊奖励：</w:t>
              <w:br/>
              <w:t xml:space="preserve">  - 成功协同催收大额案件（&gt;50万）：额外奖励</w:t>
              <w:br/>
            </w:r>
            <w:r>
              <w:rPr>
                <w:rFonts w:eastAsia="Consolas" w:ascii="Consolas" w:cs="Consolas" w:hAnsi="Consolas"/>
                <w:sz w:val="22"/>
              </w:rPr>
              <w:t xml:space="preserve">  - 创新催收方法被推广：奖励+晋升机会</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138" w:id="138"/>
      <w:r>
        <w:rPr>
          <w:rFonts w:eastAsia="等线" w:ascii="Arial" w:cs="Arial" w:hAnsi="Arial"/>
          <w:color w:val="3370ff"/>
          <w:sz w:val="24"/>
        </w:rPr>
        <w:t xml:space="preserve">3.5.4.1.6 </w:t>
      </w:r>
      <w:r>
        <w:rPr>
          <w:rFonts w:eastAsia="等线" w:ascii="Arial" w:cs="Arial" w:hAnsi="Arial"/>
          <w:b w:val="true"/>
          <w:sz w:val="24"/>
        </w:rPr>
        <w:t>催收案例库管理</w:t>
      </w:r>
      <w:bookmarkEnd w:id="138"/>
    </w:p>
    <w:p>
      <w:pPr>
        <w:spacing w:before="120" w:after="120" w:line="288" w:lineRule="auto"/>
        <w:ind w:left="0"/>
        <w:jc w:val="left"/>
      </w:pPr>
      <w:r>
        <w:rPr>
          <w:rFonts w:eastAsia="等线" w:ascii="Arial" w:cs="Arial" w:hAnsi="Arial"/>
          <w:b w:val="true"/>
          <w:sz w:val="22"/>
        </w:rPr>
        <w:t>案例分类</w:t>
      </w:r>
    </w:p>
    <w:p>
      <w:pPr>
        <w:numPr>
          <w:numId w:val="752"/>
        </w:numPr>
        <w:spacing w:before="120" w:after="120" w:line="288" w:lineRule="auto"/>
        <w:ind w:left="0"/>
        <w:jc w:val="left"/>
      </w:pPr>
      <w:r>
        <w:rPr>
          <w:rFonts w:eastAsia="等线" w:ascii="Arial" w:cs="Arial" w:hAnsi="Arial"/>
          <w:sz w:val="22"/>
        </w:rPr>
        <w:t>成功案例：快速回款的典型案例，提炼成功要素</w:t>
      </w:r>
    </w:p>
    <w:p>
      <w:pPr>
        <w:numPr>
          <w:numId w:val="753"/>
        </w:numPr>
        <w:spacing w:before="120" w:after="120" w:line="288" w:lineRule="auto"/>
        <w:ind w:left="0"/>
        <w:jc w:val="left"/>
      </w:pPr>
      <w:r>
        <w:rPr>
          <w:rFonts w:eastAsia="等线" w:ascii="Arial" w:cs="Arial" w:hAnsi="Arial"/>
          <w:sz w:val="22"/>
        </w:rPr>
        <w:t>失败案例：催收无效最终核销的案例，分析失败原因</w:t>
      </w:r>
    </w:p>
    <w:p>
      <w:pPr>
        <w:numPr>
          <w:numId w:val="754"/>
        </w:numPr>
        <w:spacing w:before="120" w:after="120" w:line="288" w:lineRule="auto"/>
        <w:ind w:left="0"/>
        <w:jc w:val="left"/>
      </w:pPr>
      <w:r>
        <w:rPr>
          <w:rFonts w:eastAsia="等线" w:ascii="Arial" w:cs="Arial" w:hAnsi="Arial"/>
          <w:sz w:val="22"/>
        </w:rPr>
        <w:t>协同案例：核心企业协同催收的典型案例，总结协同要点</w:t>
      </w:r>
    </w:p>
    <w:p>
      <w:pPr>
        <w:spacing w:before="120" w:after="120" w:line="288" w:lineRule="auto"/>
        <w:ind w:left="0"/>
        <w:jc w:val="left"/>
      </w:pPr>
      <w:r>
        <w:rPr>
          <w:rFonts w:eastAsia="等线" w:ascii="Arial" w:cs="Arial" w:hAnsi="Arial"/>
          <w:b w:val="true"/>
          <w:sz w:val="22"/>
        </w:rPr>
        <w:t>案例要素</w:t>
      </w:r>
    </w:p>
    <w:p>
      <w:pPr>
        <w:numPr>
          <w:numId w:val="755"/>
        </w:numPr>
        <w:spacing w:before="120" w:after="120" w:line="288" w:lineRule="auto"/>
        <w:ind w:left="0"/>
        <w:jc w:val="left"/>
      </w:pPr>
      <w:r>
        <w:rPr>
          <w:rFonts w:eastAsia="等线" w:ascii="Arial" w:cs="Arial" w:hAnsi="Arial"/>
          <w:sz w:val="22"/>
        </w:rPr>
        <w:t>客户画像：等级、行业、历史表现</w:t>
      </w:r>
    </w:p>
    <w:p>
      <w:pPr>
        <w:numPr>
          <w:numId w:val="756"/>
        </w:numPr>
        <w:spacing w:before="120" w:after="120" w:line="288" w:lineRule="auto"/>
        <w:ind w:left="0"/>
        <w:jc w:val="left"/>
      </w:pPr>
      <w:r>
        <w:rPr>
          <w:rFonts w:eastAsia="等线" w:ascii="Arial" w:cs="Arial" w:hAnsi="Arial"/>
          <w:sz w:val="22"/>
        </w:rPr>
        <w:t>逾期情况：金额、天数、原因</w:t>
      </w:r>
    </w:p>
    <w:p>
      <w:pPr>
        <w:numPr>
          <w:numId w:val="757"/>
        </w:numPr>
        <w:spacing w:before="120" w:after="120" w:line="288" w:lineRule="auto"/>
        <w:ind w:left="0"/>
        <w:jc w:val="left"/>
      </w:pPr>
      <w:r>
        <w:rPr>
          <w:rFonts w:eastAsia="等线" w:ascii="Arial" w:cs="Arial" w:hAnsi="Arial"/>
          <w:sz w:val="22"/>
        </w:rPr>
        <w:t>催收过程：采取的措施、时间节点、客户反馈</w:t>
      </w:r>
    </w:p>
    <w:p>
      <w:pPr>
        <w:numPr>
          <w:numId w:val="758"/>
        </w:numPr>
        <w:spacing w:before="120" w:after="120" w:line="288" w:lineRule="auto"/>
        <w:ind w:left="0"/>
        <w:jc w:val="left"/>
      </w:pPr>
      <w:r>
        <w:rPr>
          <w:rFonts w:eastAsia="等线" w:ascii="Arial" w:cs="Arial" w:hAnsi="Arial"/>
          <w:sz w:val="22"/>
        </w:rPr>
        <w:t>结果分析：成功/失败原因、可复用经验</w:t>
      </w:r>
    </w:p>
    <w:p>
      <w:pPr>
        <w:spacing w:before="120" w:after="120" w:line="288" w:lineRule="auto"/>
        <w:ind w:left="0"/>
        <w:jc w:val="left"/>
      </w:pPr>
      <w:r>
        <w:rPr>
          <w:rFonts w:eastAsia="等线" w:ascii="Arial" w:cs="Arial" w:hAnsi="Arial"/>
          <w:b w:val="true"/>
          <w:sz w:val="22"/>
        </w:rPr>
        <w:t>应用场景</w:t>
      </w:r>
    </w:p>
    <w:p>
      <w:pPr>
        <w:numPr>
          <w:numId w:val="759"/>
        </w:numPr>
        <w:spacing w:before="120" w:after="120" w:line="288" w:lineRule="auto"/>
        <w:ind w:left="0"/>
        <w:jc w:val="left"/>
      </w:pPr>
      <w:r>
        <w:rPr>
          <w:rFonts w:eastAsia="等线" w:ascii="Arial" w:cs="Arial" w:hAnsi="Arial"/>
          <w:sz w:val="22"/>
        </w:rPr>
        <w:t>新员工培训：学习典型案例</w:t>
      </w:r>
    </w:p>
    <w:p>
      <w:pPr>
        <w:numPr>
          <w:numId w:val="760"/>
        </w:numPr>
        <w:spacing w:before="120" w:after="120" w:line="288" w:lineRule="auto"/>
        <w:ind w:left="0"/>
        <w:jc w:val="left"/>
      </w:pPr>
      <w:r>
        <w:rPr>
          <w:rFonts w:eastAsia="等线" w:ascii="Arial" w:cs="Arial" w:hAnsi="Arial"/>
          <w:sz w:val="22"/>
        </w:rPr>
        <w:t>策略优化：基于案例分析调整催收策略</w:t>
      </w:r>
    </w:p>
    <w:p>
      <w:pPr>
        <w:numPr>
          <w:numId w:val="761"/>
        </w:numPr>
        <w:spacing w:before="120" w:after="120" w:line="288" w:lineRule="auto"/>
        <w:ind w:left="0"/>
        <w:jc w:val="left"/>
      </w:pPr>
      <w:r>
        <w:rPr>
          <w:rFonts w:eastAsia="等线" w:ascii="Arial" w:cs="Arial" w:hAnsi="Arial"/>
          <w:sz w:val="22"/>
        </w:rPr>
        <w:t>智能推荐：相似案件自动推荐参考案例</w:t>
      </w:r>
    </w:p>
    <w:p>
      <w:pPr>
        <w:pStyle w:val="4"/>
        <w:spacing w:before="260" w:after="120" w:line="288" w:lineRule="auto"/>
        <w:ind w:left="0"/>
        <w:jc w:val="left"/>
        <w:outlineLvl w:val="3"/>
      </w:pPr>
      <w:bookmarkStart w:name="heading_139" w:id="139"/>
      <w:r>
        <w:rPr>
          <w:rFonts w:eastAsia="等线" w:ascii="Arial" w:cs="Arial" w:hAnsi="Arial"/>
          <w:color w:val="3370ff"/>
          <w:sz w:val="28"/>
        </w:rPr>
        <w:t xml:space="preserve">3.5.4.2 </w:t>
      </w:r>
      <w:r>
        <w:rPr>
          <w:rFonts w:eastAsia="等线" w:ascii="Arial" w:cs="Arial" w:hAnsi="Arial"/>
          <w:b w:val="true"/>
          <w:sz w:val="28"/>
        </w:rPr>
        <w:t>货物处置（重点功能）</w:t>
      </w:r>
      <w:bookmarkEnd w:id="139"/>
    </w:p>
    <w:p>
      <w:pPr>
        <w:pStyle w:val="5"/>
        <w:spacing w:before="240" w:after="120" w:line="288" w:lineRule="auto"/>
        <w:ind w:left="0"/>
        <w:jc w:val="left"/>
        <w:outlineLvl w:val="4"/>
      </w:pPr>
      <w:bookmarkStart w:name="heading_140" w:id="140"/>
      <w:r>
        <w:rPr>
          <w:rFonts w:eastAsia="等线" w:ascii="Arial" w:cs="Arial" w:hAnsi="Arial"/>
          <w:color w:val="3370ff"/>
          <w:sz w:val="24"/>
        </w:rPr>
        <w:t xml:space="preserve">3.5.4.2.1 </w:t>
      </w:r>
      <w:r>
        <w:rPr>
          <w:rFonts w:eastAsia="等线" w:ascii="Arial" w:cs="Arial" w:hAnsi="Arial"/>
          <w:b w:val="true"/>
          <w:sz w:val="24"/>
        </w:rPr>
        <w:t>解决的核心问题</w:t>
      </w:r>
      <w:bookmarkEnd w:id="140"/>
    </w:p>
    <w:p>
      <w:pPr>
        <w:spacing w:before="120" w:after="120" w:line="288" w:lineRule="auto"/>
        <w:ind w:left="0"/>
      </w:pPr>
      <w:r>
        <w:object>
          <v:shape id="_x0000_i1102" style="width:414pt;height:192pt;mso-width-percent:0;mso-height-percent:0;mso-width-percent:0;mso-height-percent:0" type="#_x0000_t75" o:ole="">
            <v:imagedata r:id="rId179" o:title=""/>
          </v:shape>
          <o:OLEObject DrawAspect="Icon" ObjectID="_1718471296" ProgID="Excel.Sheet.12" ShapeID="_x0000_i1102" Type="Embed" r:id="rId178"/>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141" w:id="141"/>
      <w:r>
        <w:rPr>
          <w:rFonts w:eastAsia="等线" w:ascii="Arial" w:cs="Arial" w:hAnsi="Arial"/>
          <w:color w:val="3370ff"/>
          <w:sz w:val="24"/>
        </w:rPr>
        <w:t xml:space="preserve">3.5.4.2.2 </w:t>
      </w:r>
      <w:r>
        <w:rPr>
          <w:rFonts w:eastAsia="等线" w:ascii="Arial" w:cs="Arial" w:hAnsi="Arial"/>
          <w:b w:val="true"/>
          <w:sz w:val="24"/>
        </w:rPr>
        <w:t>业务流程</w:t>
      </w:r>
      <w:bookmarkEnd w:id="1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xml:space="preserve">    participant S as 系统</w:t>
              <w:br/>
              <w:t xml:space="preserve">    participant P as 平台</w:t>
              <w:br/>
              <w:t xml:space="preserve">    participant C as 核心企业</w:t>
              <w:br/>
              <w:t xml:space="preserve">    participant M as 市场渠道</w:t>
              <w:br/>
              <w:t xml:space="preserve">    </w:t>
              <w:br/>
              <w:t xml:space="preserve">    Note over S,P: 触发条件</w:t>
              <w:br/>
              <w:t xml:space="preserve">    S-&gt;&gt;S: 逾期&gt;30天且催收无效</w:t>
              <w:br/>
              <w:t xml:space="preserve">    S-&gt;&gt;P: 自动启动货物处置流程</w:t>
              <w:br/>
              <w:t xml:space="preserve">    </w:t>
              <w:br/>
              <w:t xml:space="preserve">    Note over P,C: 优先方案</w:t>
              <w:br/>
              <w:t xml:space="preserve">    P-&gt;&gt;S: 评估货物价值和市场价格</w:t>
              <w:br/>
              <w:t xml:space="preserve">    S-&gt;&gt;S: 判断是否满足回购条件</w:t>
              <w:br/>
              <w:t xml:space="preserve">    </w:t>
              <w:br/>
              <w:t xml:space="preserve">    alt 满足回购条件</w:t>
              <w:br/>
              <w:t xml:space="preserve">        S-&gt;&gt;C: 自动推送回购邀请</w:t>
              <w:br/>
              <w:t xml:space="preserve">        C-&gt;&gt;C: 核心企业评估</w:t>
              <w:br/>
              <w:t xml:space="preserve">        </w:t>
              <w:br/>
              <w:t xml:space="preserve">        alt 接受回购</w:t>
              <w:br/>
              <w:t xml:space="preserve">            C-&gt;&gt;S: 确认回购价格</w:t>
              <w:br/>
              <w:t xml:space="preserve">            S-&gt;&gt;P: 签署回购协议</w:t>
              <w:br/>
              <w:t xml:space="preserve">            P-&gt;&gt;C: 货物交接</w:t>
              <w:br/>
              <w:t xml:space="preserve">            C-&gt;&gt;P: 付款</w:t>
              <w:br/>
              <w:t xml:space="preserve">            Note over S: 案件结清</w:t>
              <w:br/>
              <w:t xml:space="preserve">        else 拒绝回购</w:t>
              <w:br/>
              <w:t xml:space="preserve">            Note over P,M: 进入市场处置</w:t>
              <w:br/>
              <w:t xml:space="preserve">        end</w:t>
              <w:br/>
              <w:t xml:space="preserve">    else 不满足回购条件</w:t>
              <w:br/>
              <w:t xml:space="preserve">        Note over P,M: 直接市场处置</w:t>
              <w:br/>
              <w:t xml:space="preserve">    end</w:t>
              <w:br/>
              <w:t xml:space="preserve">    </w:t>
              <w:br/>
              <w:t xml:space="preserve">    Note over P,M: 市场处置</w:t>
              <w:br/>
              <w:t xml:space="preserve">    P-&gt;&gt;M: 多渠道挂牌</w:t>
              <w:br/>
              <w:t xml:space="preserve">    M-&gt;&gt;P: 收集报价</w:t>
              <w:br/>
              <w:t xml:space="preserve">    P-&gt;&gt;M: 选择最高报价</w:t>
              <w:br/>
              <w:t xml:space="preserve">    M-&gt;&gt;P: 货物交接+付款</w:t>
            </w:r>
          </w:p>
        </w:tc>
      </w:tr>
    </w:tbl>
    <w:p>
      <w:pPr>
        <w:spacing w:before="120" w:after="120" w:line="288" w:lineRule="auto"/>
        <w:ind w:left="0"/>
        <w:jc w:val="left"/>
      </w:pPr>
      <w:r>
        <w:rPr>
          <w:rFonts w:eastAsia="等线" w:ascii="Arial" w:cs="Arial" w:hAnsi="Arial"/>
          <w:b w:val="true"/>
          <w:sz w:val="22"/>
        </w:rPr>
        <w:t>关键环节设计亮点</w:t>
      </w:r>
      <w:r>
        <w:rPr>
          <w:rFonts w:eastAsia="等线" w:ascii="Arial" w:cs="Arial" w:hAnsi="Arial"/>
          <w:sz w:val="22"/>
        </w:rPr>
        <w:t>：</w:t>
      </w:r>
    </w:p>
    <w:p>
      <w:pPr>
        <w:spacing w:before="120" w:after="120" w:line="288" w:lineRule="auto"/>
        <w:ind w:left="0"/>
        <w:jc w:val="left"/>
      </w:pPr>
      <w:r>
        <w:rPr>
          <w:rFonts w:eastAsia="等线" w:ascii="Arial" w:cs="Arial" w:hAnsi="Arial"/>
          <w:b w:val="true"/>
          <w:color w:val="d83931"/>
          <w:sz w:val="22"/>
          <w:shd w:fill="fff67a"/>
        </w:rPr>
        <w:t>环节1：核心企业回购条件判断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自动判断是否推荐核心企业回购：</w:t>
              <w:br/>
            </w:r>
            <w:r>
              <w:rPr>
                <w:rFonts w:eastAsia="Consolas" w:ascii="Consolas" w:cs="Consolas" w:hAnsi="Consolas"/>
                <w:sz w:val="22"/>
              </w:rPr>
              <w:t>满足以下条件之一即推荐：</w:t>
              <w:br/>
              <w:t>1. 核心企业在合作协议中承诺回购责任</w:t>
              <w:br/>
              <w:t>2. 货物为核心企业品牌且未拆封</w:t>
              <w:br/>
              <w:t>3. 货物价值 &gt; 10万且市场价格稳定</w:t>
              <w:br/>
              <w:t>4. 核心企业历史有回购记录</w:t>
              <w:br/>
              <w:br/>
              <w:t>不满足条件 → 直接市场处置</w:t>
              <w:br/>
            </w:r>
            <w:r>
              <w:rPr>
                <w:rFonts w:eastAsia="Consolas" w:ascii="Consolas" w:cs="Consolas" w:hAnsi="Consolas"/>
                <w:sz w:val="22"/>
              </w:rPr>
              <w:t>满足条件 → 优先推送核心企业</w:t>
            </w:r>
          </w:p>
        </w:tc>
      </w:tr>
    </w:tbl>
    <w:p>
      <w:pPr>
        <w:spacing w:before="120" w:after="120" w:line="288" w:lineRule="auto"/>
        <w:ind w:left="0"/>
        <w:jc w:val="left"/>
      </w:pPr>
      <w:r>
        <w:rPr>
          <w:rFonts w:eastAsia="等线" w:ascii="Arial" w:cs="Arial" w:hAnsi="Arial"/>
          <w:b w:val="true"/>
          <w:color w:val="d83931"/>
          <w:sz w:val="22"/>
          <w:shd w:fill="fff67a"/>
        </w:rPr>
        <w:t>环节2：智能定价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回购价格计算：</w:t>
              <w:br/>
              <w:br/>
              <w:t>市场价格 × 回购折扣率</w:t>
              <w:br/>
              <w:br/>
              <w:t>回购折扣率 = 基础折扣率 + 调整项</w:t>
              <w:br/>
              <w:br/>
              <w:t>基础折扣率：</w:t>
              <w:br/>
              <w:t xml:space="preserve">  - 未拆封：90%</w:t>
              <w:br/>
              <w:t xml:space="preserve">  - 已拆封未使用：85%</w:t>
              <w:br/>
              <w:t xml:space="preserve">  - 已使用：80%</w:t>
              <w:br/>
              <w:br/>
              <w:t>调整项：</w:t>
              <w:br/>
              <w:t xml:space="preserve">  + 核心企业品牌：+5%</w:t>
              <w:br/>
              <w:t xml:space="preserve">  + 货物完好无损：+3%</w:t>
              <w:br/>
              <w:t xml:space="preserve">  + 包装齐全：+2%</w:t>
              <w:br/>
              <w:t xml:space="preserve">  - 逾期时间长（&gt;60天）：-5%</w:t>
              <w:br/>
            </w:r>
            <w:r>
              <w:rPr>
                <w:rFonts w:eastAsia="Consolas" w:ascii="Consolas" w:cs="Consolas" w:hAnsi="Consolas"/>
                <w:sz w:val="22"/>
              </w:rPr>
              <w:t xml:space="preserve">  - 过季商品：-10%</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满足期望：货物处置周期从60天缩短至7天</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w:t>
              <w:br/>
              <w:t xml:space="preserve">  市场价100万，未拆封，核心品牌，完好</w:t>
              <w:br/>
            </w:r>
            <w:r>
              <w:rPr>
                <w:rFonts w:eastAsia="等线" w:ascii="Arial" w:cs="Arial" w:hAnsi="Arial"/>
                <w:sz w:val="22"/>
              </w:rPr>
              <w:t xml:space="preserve">  回购价 = 100万 × (90% + 5% + 3%) = 98万</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142" w:id="142"/>
      <w:r>
        <w:rPr>
          <w:rFonts w:eastAsia="等线" w:ascii="Arial" w:cs="Arial" w:hAnsi="Arial"/>
          <w:color w:val="3370ff"/>
          <w:sz w:val="24"/>
        </w:rPr>
        <w:t xml:space="preserve">3.5.4.2.3 </w:t>
      </w:r>
      <w:r>
        <w:rPr>
          <w:rFonts w:eastAsia="等线" w:ascii="Arial" w:cs="Arial" w:hAnsi="Arial"/>
          <w:b w:val="true"/>
          <w:color w:val="d83931"/>
          <w:sz w:val="24"/>
          <w:shd w:fill="fff67a"/>
        </w:rPr>
        <w:t>核心企业回购策略</w:t>
      </w:r>
      <w:bookmarkEnd w:id="14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满足期望：货物回收率从75%提升至90%，核心企业回购渠道充分利用</w:t>
            </w:r>
          </w:p>
        </w:tc>
      </w:tr>
    </w:tbl>
    <w:p>
      <w:pPr>
        <w:spacing w:before="120" w:after="120" w:line="288" w:lineRule="auto"/>
        <w:ind w:left="0"/>
        <w:jc w:val="left"/>
      </w:pPr>
      <w:r>
        <w:rPr>
          <w:rFonts w:eastAsia="等线" w:ascii="Arial" w:cs="Arial" w:hAnsi="Arial"/>
          <w:b w:val="true"/>
          <w:sz w:val="22"/>
        </w:rPr>
        <w:t>策略1：回购激励机制</w:t>
      </w:r>
    </w:p>
    <w:p>
      <w:pPr>
        <w:spacing w:before="120" w:after="120" w:line="288" w:lineRule="auto"/>
        <w:ind w:left="0"/>
        <w:jc w:val="left"/>
      </w:pPr>
      <w:r>
        <w:rPr>
          <w:rFonts w:eastAsia="等线" w:ascii="Arial" w:cs="Arial" w:hAnsi="Arial"/>
          <w:b w:val="true"/>
          <w:sz w:val="22"/>
        </w:rPr>
        <w:t>激励措施</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回购合作激励：</w:t>
              <w:br/>
              <w:br/>
              <w:t>接受回购：</w:t>
              <w:br/>
              <w:t xml:space="preserve">  - 奖励积分1000分</w:t>
              <w:br/>
              <w:t xml:space="preserve">  - 优先获得新业务推荐</w:t>
              <w:br/>
              <w:t xml:space="preserve">  - 提升合作等级</w:t>
              <w:br/>
              <w:br/>
              <w:t>快速回购（3天内完成）：</w:t>
              <w:br/>
              <w:t xml:space="preserve">  - 额外奖励500积分</w:t>
              <w:br/>
              <w:t xml:space="preserve">  - "优质合作伙伴"标识</w:t>
              <w:br/>
              <w:br/>
              <w:t>回购货物再销售支持：</w:t>
              <w:br/>
              <w:t xml:space="preserve">  - 平台提供销售渠道支持</w:t>
              <w:br/>
            </w:r>
            <w:r>
              <w:rPr>
                <w:rFonts w:eastAsia="Consolas" w:ascii="Consolas" w:cs="Consolas" w:hAnsi="Consolas"/>
                <w:sz w:val="22"/>
              </w:rPr>
              <w:t xml:space="preserve">  - 帮助快速变现</w:t>
            </w:r>
          </w:p>
        </w:tc>
      </w:tr>
    </w:tbl>
    <w:p>
      <w:pPr>
        <w:spacing w:before="120" w:after="120" w:line="288" w:lineRule="auto"/>
        <w:ind w:left="0"/>
        <w:jc w:val="left"/>
      </w:pPr>
      <w:r>
        <w:rPr>
          <w:rFonts w:eastAsia="等线" w:ascii="Arial" w:cs="Arial" w:hAnsi="Arial"/>
          <w:b w:val="true"/>
          <w:sz w:val="22"/>
        </w:rPr>
        <w:t>策略2：回购定价协商机制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定价流程：</w:t>
              <w:br/>
              <w:br/>
              <w:t>1. 系统自动计算建议回购价</w:t>
              <w:br/>
              <w:t xml:space="preserve">   基于市场价和货物状态</w:t>
              <w:br/>
              <w:br/>
              <w:t>2. 推送给核心企业</w:t>
              <w:br/>
              <w:t xml:space="preserve">   核心企业可接受或提出协商</w:t>
              <w:br/>
              <w:br/>
              <w:t>3. 协商范围</w:t>
              <w:br/>
              <w:t xml:space="preserve">   建议价的±10%</w:t>
              <w:br/>
              <w:br/>
              <w:t>4. 超出范围</w:t>
              <w:br/>
              <w:t xml:space="preserve">   需平台风控经理审批</w:t>
              <w:br/>
              <w:br/>
              <w:t>5. 达成一致</w:t>
              <w:br/>
              <w:t xml:space="preserve">   生成回购协议</w:t>
              <w:br/>
              <w:br/>
              <w:t>6. 未达成一致</w:t>
              <w:br/>
            </w:r>
            <w:r>
              <w:rPr>
                <w:rFonts w:eastAsia="Consolas" w:ascii="Consolas" w:cs="Consolas" w:hAnsi="Consolas"/>
                <w:sz w:val="22"/>
              </w:rPr>
              <w:t xml:space="preserve">   转入其他处置渠道</w:t>
            </w:r>
          </w:p>
        </w:tc>
      </w:tr>
    </w:tbl>
    <w:p>
      <w:pPr>
        <w:spacing w:before="120" w:after="120" w:line="288" w:lineRule="auto"/>
        <w:ind w:left="0"/>
        <w:jc w:val="left"/>
      </w:pPr>
      <w:r>
        <w:rPr>
          <w:rFonts w:eastAsia="等线" w:ascii="Arial" w:cs="Arial" w:hAnsi="Arial"/>
          <w:b w:val="true"/>
          <w:sz w:val="22"/>
        </w:rPr>
        <w:t>策略3：回购流程管理制度</w:t>
      </w:r>
    </w:p>
    <w:p>
      <w:pPr>
        <w:spacing w:before="120" w:after="120" w:line="288" w:lineRule="auto"/>
        <w:ind w:left="0"/>
      </w:pPr>
      <w:r>
        <w:object>
          <v:shape id="_x0000_i1103" style="width:414pt;height:192pt;mso-width-percent:0;mso-height-percent:0;mso-width-percent:0;mso-height-percent:0" type="#_x0000_t75" o:ole="">
            <v:imagedata r:id="rId181" o:title=""/>
          </v:shape>
          <o:OLEObject DrawAspect="Icon" ObjectID="_1718471297" ProgID="Excel.Sheet.12" ShapeID="_x0000_i1103" Type="Embed" r:id="rId180"/>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3" w:id="143"/>
      <w:r>
        <w:rPr>
          <w:rFonts w:eastAsia="等线" w:ascii="Arial" w:cs="Arial" w:hAnsi="Arial"/>
          <w:color w:val="3370ff"/>
          <w:sz w:val="30"/>
        </w:rPr>
        <w:t xml:space="preserve">3.5.5 </w:t>
      </w:r>
      <w:r>
        <w:rPr>
          <w:rFonts w:eastAsia="等线" w:ascii="Arial" w:cs="Arial" w:hAnsi="Arial"/>
          <w:b w:val="true"/>
          <w:sz w:val="30"/>
        </w:rPr>
        <w:t>其他贷后管理功能</w:t>
      </w:r>
      <w:r>
        <w:rPr>
          <w:rFonts w:eastAsia="等线" w:ascii="Arial" w:cs="Arial" w:hAnsi="Arial"/>
          <w:b w:val="true"/>
          <w:sz w:val="30"/>
        </w:rPr>
        <w:t>（基础功能简述）</w:t>
      </w:r>
      <w:bookmarkEnd w:id="143"/>
    </w:p>
    <w:p>
      <w:pPr>
        <w:pStyle w:val="4"/>
        <w:spacing w:before="260" w:after="120" w:line="288" w:lineRule="auto"/>
        <w:ind w:left="0"/>
        <w:jc w:val="left"/>
        <w:outlineLvl w:val="3"/>
      </w:pPr>
      <w:bookmarkStart w:name="heading_144" w:id="144"/>
      <w:r>
        <w:rPr>
          <w:rFonts w:eastAsia="等线" w:ascii="Arial" w:cs="Arial" w:hAnsi="Arial"/>
          <w:color w:val="3370ff"/>
          <w:sz w:val="28"/>
        </w:rPr>
        <w:t xml:space="preserve">3.5.5.1 </w:t>
      </w:r>
      <w:r>
        <w:rPr>
          <w:rFonts w:eastAsia="等线" w:ascii="Arial" w:cs="Arial" w:hAnsi="Arial"/>
          <w:b w:val="true"/>
          <w:sz w:val="28"/>
        </w:rPr>
        <w:t>逾期管理</w:t>
      </w:r>
      <w:bookmarkEnd w:id="144"/>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：自动识别逾期业务，提供逾期数据统计和分析</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762"/>
        </w:numPr>
        <w:spacing w:before="120" w:after="120" w:line="288" w:lineRule="auto"/>
        <w:ind w:left="0"/>
        <w:jc w:val="left"/>
      </w:pPr>
      <w:r>
        <w:rPr>
          <w:rFonts w:eastAsia="等线" w:ascii="Arial" w:cs="Arial" w:hAnsi="Arial"/>
          <w:sz w:val="22"/>
        </w:rPr>
        <w:t>逾期自动识别（还款到期日当天自动检查）</w:t>
      </w:r>
    </w:p>
    <w:p>
      <w:pPr>
        <w:numPr>
          <w:numId w:val="763"/>
        </w:numPr>
        <w:spacing w:before="120" w:after="120" w:line="288" w:lineRule="auto"/>
        <w:ind w:left="0"/>
        <w:jc w:val="left"/>
      </w:pPr>
      <w:r>
        <w:rPr>
          <w:rFonts w:eastAsia="等线" w:ascii="Arial" w:cs="Arial" w:hAnsi="Arial"/>
          <w:sz w:val="22"/>
        </w:rPr>
        <w:t>逾期台账（按逾期等级、金额、客户分类）</w:t>
      </w:r>
    </w:p>
    <w:p>
      <w:pPr>
        <w:numPr>
          <w:numId w:val="764"/>
        </w:numPr>
        <w:spacing w:before="120" w:after="120" w:line="288" w:lineRule="auto"/>
        <w:ind w:left="0"/>
        <w:jc w:val="left"/>
      </w:pPr>
      <w:r>
        <w:rPr>
          <w:rFonts w:eastAsia="等线" w:ascii="Arial" w:cs="Arial" w:hAnsi="Arial"/>
          <w:sz w:val="22"/>
        </w:rPr>
        <w:t>逾期统计分析（逾期率、逾期金额趋势）</w:t>
      </w:r>
    </w:p>
    <w:p>
      <w:pPr>
        <w:numPr>
          <w:numId w:val="765"/>
        </w:numPr>
        <w:spacing w:before="120" w:after="120" w:line="288" w:lineRule="auto"/>
        <w:ind w:left="0"/>
        <w:jc w:val="left"/>
      </w:pPr>
      <w:r>
        <w:rPr>
          <w:rFonts w:eastAsia="等线" w:ascii="Arial" w:cs="Arial" w:hAnsi="Arial"/>
          <w:sz w:val="22"/>
        </w:rPr>
        <w:t>逾期预警提醒（到期前3天自动提醒）</w:t>
      </w:r>
    </w:p>
    <w:p>
      <w:pPr>
        <w:spacing w:before="120" w:after="120" w:line="288" w:lineRule="auto"/>
        <w:ind w:left="0"/>
        <w:jc w:val="left"/>
      </w:pPr>
      <w:r>
        <w:rPr>
          <w:rFonts w:eastAsia="等线" w:ascii="Arial" w:cs="Arial" w:hAnsi="Arial"/>
          <w:b w:val="true"/>
          <w:sz w:val="22"/>
        </w:rPr>
        <w:t>自动识别规则</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系统每日0点自动执行：</w:t>
              <w:br/>
            </w:r>
            <w:r>
              <w:rPr>
                <w:rFonts w:eastAsia="Consolas" w:ascii="Consolas" w:cs="Consolas" w:hAnsi="Consolas"/>
                <w:sz w:val="22"/>
              </w:rPr>
              <w:t>FOR EACH 在途业务 DO</w:t>
              <w:br/>
              <w:t xml:space="preserve">    IF 还款到期日 ≤ 今天 AND 未结清 THEN</w:t>
              <w:br/>
              <w:t xml:space="preserve">        标记为"逾期"</w:t>
              <w:br/>
              <w:t xml:space="preserve">        计算逾期天数和逾期利息</w:t>
              <w:br/>
              <w:t xml:space="preserve">        生成逾期记录</w:t>
              <w:br/>
              <w:t xml:space="preserve">        自动分配催收任务</w:t>
              <w:br/>
              <w:t xml:space="preserve">        冻结该客户新增融资</w:t>
              <w:br/>
              <w:t xml:space="preserve">        发送逾期通知（客户+客户经理+风控）</w:t>
              <w:br/>
              <w:t xml:space="preserve">    END IF</w:t>
              <w:br/>
            </w:r>
            <w:r>
              <w:rPr>
                <w:rFonts w:eastAsia="Consolas" w:ascii="Consolas" w:cs="Consolas" w:hAnsi="Consolas"/>
                <w:sz w:val="22"/>
              </w:rPr>
              <w:t>END FOR</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45" w:id="145"/>
      <w:r>
        <w:rPr>
          <w:rFonts w:eastAsia="等线" w:ascii="Arial" w:cs="Arial" w:hAnsi="Arial"/>
          <w:color w:val="3370ff"/>
          <w:sz w:val="28"/>
        </w:rPr>
        <w:t xml:space="preserve">3.5.5.2 </w:t>
      </w:r>
      <w:r>
        <w:rPr>
          <w:rFonts w:eastAsia="等线" w:ascii="Arial" w:cs="Arial" w:hAnsi="Arial"/>
          <w:b w:val="true"/>
          <w:sz w:val="28"/>
        </w:rPr>
        <w:t>资产核销</w:t>
      </w:r>
      <w:bookmarkEnd w:id="145"/>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：规范化不良资产核销流程，确保合规</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766"/>
        </w:numPr>
        <w:spacing w:before="120" w:after="120" w:line="288" w:lineRule="auto"/>
        <w:ind w:left="0"/>
        <w:jc w:val="left"/>
      </w:pPr>
      <w:r>
        <w:rPr>
          <w:rFonts w:eastAsia="等线" w:ascii="Arial" w:cs="Arial" w:hAnsi="Arial"/>
          <w:sz w:val="22"/>
        </w:rPr>
        <w:t>核销条件判断（逾期&gt;180天，催收法律诉讼均无效）</w:t>
      </w:r>
    </w:p>
    <w:p>
      <w:pPr>
        <w:numPr>
          <w:numId w:val="767"/>
        </w:numPr>
        <w:spacing w:before="120" w:after="120" w:line="288" w:lineRule="auto"/>
        <w:ind w:left="0"/>
        <w:jc w:val="left"/>
      </w:pPr>
      <w:r>
        <w:rPr>
          <w:rFonts w:eastAsia="等线" w:ascii="Arial" w:cs="Arial" w:hAnsi="Arial"/>
          <w:sz w:val="22"/>
        </w:rPr>
        <w:t>核销申请和审批（在线提交、电子化流程）</w:t>
      </w:r>
    </w:p>
    <w:p>
      <w:pPr>
        <w:numPr>
          <w:numId w:val="768"/>
        </w:numPr>
        <w:spacing w:before="120" w:after="120" w:line="288" w:lineRule="auto"/>
        <w:ind w:left="0"/>
        <w:jc w:val="left"/>
      </w:pPr>
      <w:r>
        <w:rPr>
          <w:rFonts w:eastAsia="等线" w:ascii="Arial" w:cs="Arial" w:hAnsi="Arial"/>
          <w:sz w:val="22"/>
        </w:rPr>
        <w:t>核销证明材料管理（自动归档）</w:t>
      </w:r>
    </w:p>
    <w:p>
      <w:pPr>
        <w:numPr>
          <w:numId w:val="769"/>
        </w:numPr>
        <w:spacing w:before="120" w:after="120" w:line="288" w:lineRule="auto"/>
        <w:ind w:left="0"/>
        <w:jc w:val="left"/>
      </w:pPr>
      <w:r>
        <w:rPr>
          <w:rFonts w:eastAsia="等线" w:ascii="Arial" w:cs="Arial" w:hAnsi="Arial"/>
          <w:sz w:val="22"/>
        </w:rPr>
        <w:t>核销统计分析（核销率、核销金额）</w:t>
      </w:r>
    </w:p>
    <w:p>
      <w:pPr>
        <w:spacing w:before="120" w:after="120" w:line="288" w:lineRule="auto"/>
        <w:ind w:left="0"/>
        <w:jc w:val="left"/>
      </w:pPr>
      <w:r>
        <w:rPr>
          <w:rFonts w:eastAsia="等线" w:ascii="Arial" w:cs="Arial" w:hAnsi="Arial"/>
          <w:b w:val="true"/>
          <w:sz w:val="22"/>
        </w:rPr>
        <w:t>核销审批流程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催收主管提交核销申请</w:t>
              <w:br/>
              <w:t xml:space="preserve">  ↓</w:t>
              <w:br/>
              <w:t>提供完整证明材料：</w:t>
              <w:br/>
              <w:t xml:space="preserve">  - 催收记录</w:t>
              <w:br/>
              <w:t xml:space="preserve">  - 法律诉讼文书</w:t>
              <w:br/>
              <w:t xml:space="preserve">  - 货物处置记录</w:t>
              <w:br/>
              <w:t xml:space="preserve">  - 损失评估报告</w:t>
              <w:br/>
              <w:t xml:space="preserve">  ↓</w:t>
              <w:br/>
              <w:t>风控经理审核</w:t>
              <w:br/>
              <w:t xml:space="preserve">  ↓</w:t>
              <w:br/>
              <w:t>财务总监审批</w:t>
              <w:br/>
              <w:t xml:space="preserve">  ↓</w:t>
              <w:br/>
              <w:t>总经理审批（金额&gt;50万）</w:t>
              <w:br/>
              <w:t xml:space="preserve">  ↓</w:t>
              <w:br/>
              <w:t>核销执行</w:t>
              <w:br/>
              <w:t xml:space="preserve">  ↓</w:t>
              <w:br/>
            </w:r>
            <w:r>
              <w:rPr>
                <w:rFonts w:eastAsia="Consolas" w:ascii="Consolas" w:cs="Consolas" w:hAnsi="Consolas"/>
                <w:sz w:val="22"/>
              </w:rPr>
              <w:t>记录归档</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6" w:id="146"/>
      <w:r>
        <w:rPr>
          <w:rFonts w:eastAsia="等线" w:ascii="Arial" w:cs="Arial" w:hAnsi="Arial"/>
          <w:color w:val="3370ff"/>
          <w:sz w:val="30"/>
        </w:rPr>
        <w:t xml:space="preserve">3.5.6 </w:t>
      </w:r>
      <w:r>
        <w:rPr>
          <w:rFonts w:eastAsia="等线" w:ascii="Arial" w:cs="Arial" w:hAnsi="Arial"/>
          <w:b w:val="true"/>
          <w:sz w:val="30"/>
        </w:rPr>
        <w:t>上线效果</w:t>
      </w:r>
      <w:bookmarkEnd w:id="146"/>
    </w:p>
    <w:p>
      <w:pPr>
        <w:spacing w:before="120" w:after="120" w:line="288" w:lineRule="auto"/>
        <w:ind w:left="0"/>
        <w:jc w:val="left"/>
      </w:pPr>
      <w:r>
        <w:rPr>
          <w:rFonts w:eastAsia="等线" w:ascii="Arial" w:cs="Arial" w:hAnsi="Arial"/>
          <w:b w:val="true"/>
          <w:sz w:val="22"/>
        </w:rPr>
        <w:t>核心数据</w:t>
      </w:r>
    </w:p>
    <w:p>
      <w:pPr>
        <w:spacing w:before="120" w:after="120" w:line="288" w:lineRule="auto"/>
        <w:ind w:left="0"/>
      </w:pPr>
      <w:r>
        <w:object>
          <v:shape id="_x0000_i1104" style="width:414pt;height:153pt;mso-width-percent:0;mso-height-percent:0;mso-width-percent:0;mso-height-percent:0" type="#_x0000_t75" o:ole="">
            <v:imagedata r:id="rId183" o:title=""/>
          </v:shape>
          <o:OLEObject DrawAspect="Icon" ObjectID="_1718471298" ProgID="Excel.Sheet.12" ShapeID="_x0000_i1104" Type="Embed" r:id="rId18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KPI达成情况</w:t>
      </w:r>
    </w:p>
    <w:p>
      <w:pPr>
        <w:spacing w:before="120" w:after="120" w:line="288" w:lineRule="auto"/>
        <w:ind w:left="0"/>
      </w:pPr>
      <w:r>
        <w:object>
          <v:shape id="_x0000_i1105" style="width:414pt;height:141pt;mso-width-percent:0;mso-height-percent:0;mso-width-percent:0;mso-height-percent:0" type="#_x0000_t75" o:ole="">
            <v:imagedata r:id="rId185" o:title=""/>
          </v:shape>
          <o:OLEObject DrawAspect="Icon" ObjectID="_1718471299" ProgID="Excel.Sheet.12" ShapeID="_x0000_i1105" Type="Embed" r:id="rId18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成本收益分析</w:t>
      </w:r>
    </w:p>
    <w:p>
      <w:pPr>
        <w:spacing w:before="120" w:after="120" w:line="288" w:lineRule="auto"/>
        <w:ind w:left="0"/>
        <w:jc w:val="left"/>
      </w:pPr>
      <w:r>
        <w:rPr>
          <w:rFonts w:eastAsia="等线" w:ascii="Arial" w:cs="Arial" w:hAnsi="Arial"/>
          <w:b w:val="true"/>
          <w:sz w:val="22"/>
        </w:rPr>
        <w:t>催收效率提升</w:t>
      </w:r>
      <w:r>
        <w:rPr>
          <w:rFonts w:eastAsia="等线" w:ascii="Arial" w:cs="Arial" w:hAnsi="Arial"/>
          <w:sz w:val="22"/>
        </w:rPr>
        <w:t>：</w:t>
      </w:r>
    </w:p>
    <w:p>
      <w:pPr>
        <w:numPr>
          <w:numId w:val="770"/>
        </w:numPr>
        <w:spacing w:before="120" w:after="120" w:line="288" w:lineRule="auto"/>
        <w:ind w:left="0"/>
        <w:jc w:val="left"/>
      </w:pPr>
      <w:r>
        <w:rPr>
          <w:rFonts w:eastAsia="等线" w:ascii="Arial" w:cs="Arial" w:hAnsi="Arial"/>
          <w:sz w:val="22"/>
        </w:rPr>
        <w:t>人均催收案件处理量：从5笔/天提升至12笔/天</w:t>
      </w:r>
    </w:p>
    <w:p>
      <w:pPr>
        <w:numPr>
          <w:numId w:val="771"/>
        </w:numPr>
        <w:spacing w:before="120" w:after="120" w:line="288" w:lineRule="auto"/>
        <w:ind w:left="0"/>
        <w:jc w:val="left"/>
      </w:pPr>
      <w:r>
        <w:rPr>
          <w:rFonts w:eastAsia="等线" w:ascii="Arial" w:cs="Arial" w:hAnsi="Arial"/>
          <w:sz w:val="22"/>
        </w:rPr>
        <w:t>催收团队规模：减少30%人力</w:t>
      </w:r>
    </w:p>
    <w:p>
      <w:pPr>
        <w:numPr>
          <w:numId w:val="772"/>
        </w:numPr>
        <w:spacing w:before="120" w:after="120" w:line="288" w:lineRule="auto"/>
        <w:ind w:left="0"/>
        <w:jc w:val="left"/>
      </w:pPr>
      <w:r>
        <w:rPr>
          <w:rFonts w:eastAsia="等线" w:ascii="Arial" w:cs="Arial" w:hAnsi="Arial"/>
          <w:sz w:val="22"/>
        </w:rPr>
        <w:t>年节省人力成本：约150万元</w:t>
      </w:r>
    </w:p>
    <w:p>
      <w:pPr>
        <w:spacing w:before="120" w:after="120" w:line="288" w:lineRule="auto"/>
        <w:ind w:left="0"/>
        <w:jc w:val="left"/>
      </w:pPr>
      <w:r>
        <w:rPr>
          <w:rFonts w:eastAsia="等线" w:ascii="Arial" w:cs="Arial" w:hAnsi="Arial"/>
          <w:b w:val="true"/>
          <w:sz w:val="22"/>
        </w:rPr>
        <w:t>资产回收率提升</w:t>
      </w:r>
      <w:r>
        <w:rPr>
          <w:rFonts w:eastAsia="等线" w:ascii="Arial" w:cs="Arial" w:hAnsi="Arial"/>
          <w:sz w:val="22"/>
        </w:rPr>
        <w:t>：</w:t>
      </w:r>
    </w:p>
    <w:p>
      <w:pPr>
        <w:numPr>
          <w:numId w:val="773"/>
        </w:numPr>
        <w:spacing w:before="120" w:after="120" w:line="288" w:lineRule="auto"/>
        <w:ind w:left="0"/>
        <w:jc w:val="left"/>
      </w:pPr>
      <w:r>
        <w:rPr>
          <w:rFonts w:eastAsia="等线" w:ascii="Arial" w:cs="Arial" w:hAnsi="Arial"/>
          <w:sz w:val="22"/>
        </w:rPr>
        <w:t>年处置不良资产：约2000万元</w:t>
      </w:r>
    </w:p>
    <w:p>
      <w:pPr>
        <w:numPr>
          <w:numId w:val="774"/>
        </w:numPr>
        <w:spacing w:before="120" w:after="120" w:line="288" w:lineRule="auto"/>
        <w:ind w:left="0"/>
        <w:jc w:val="left"/>
      </w:pPr>
      <w:r>
        <w:rPr>
          <w:rFonts w:eastAsia="等线" w:ascii="Arial" w:cs="Arial" w:hAnsi="Arial"/>
          <w:sz w:val="22"/>
        </w:rPr>
        <w:t>回收率提升：55% → 78%</w:t>
      </w:r>
    </w:p>
    <w:p>
      <w:pPr>
        <w:numPr>
          <w:numId w:val="775"/>
        </w:numPr>
        <w:spacing w:before="120" w:after="120" w:line="288" w:lineRule="auto"/>
        <w:ind w:left="0"/>
        <w:jc w:val="left"/>
      </w:pPr>
      <w:r>
        <w:rPr>
          <w:rFonts w:eastAsia="等线" w:ascii="Arial" w:cs="Arial" w:hAnsi="Arial"/>
          <w:sz w:val="22"/>
        </w:rPr>
        <w:t>多回收金额：2000万 × (78%-55%) = 460万元</w:t>
      </w:r>
    </w:p>
    <w:p>
      <w:pPr>
        <w:spacing w:before="120" w:after="120" w:line="288" w:lineRule="auto"/>
        <w:ind w:left="0"/>
        <w:jc w:val="left"/>
      </w:pPr>
      <w:r>
        <w:rPr>
          <w:rFonts w:eastAsia="等线" w:ascii="Arial" w:cs="Arial" w:hAnsi="Arial"/>
          <w:b w:val="true"/>
          <w:sz w:val="22"/>
        </w:rPr>
        <w:t>核心企业回购价值</w:t>
      </w:r>
      <w:r>
        <w:rPr>
          <w:rFonts w:eastAsia="等线" w:ascii="Arial" w:cs="Arial" w:hAnsi="Arial"/>
          <w:sz w:val="22"/>
        </w:rPr>
        <w:t>：</w:t>
      </w:r>
    </w:p>
    <w:p>
      <w:pPr>
        <w:numPr>
          <w:numId w:val="776"/>
        </w:numPr>
        <w:spacing w:before="120" w:after="120" w:line="288" w:lineRule="auto"/>
        <w:ind w:left="0"/>
        <w:jc w:val="left"/>
      </w:pPr>
      <w:r>
        <w:rPr>
          <w:rFonts w:eastAsia="等线" w:ascii="Arial" w:cs="Arial" w:hAnsi="Arial"/>
          <w:sz w:val="22"/>
        </w:rPr>
        <w:t>回购业务占比：60%的处置业务</w:t>
      </w:r>
    </w:p>
    <w:p>
      <w:pPr>
        <w:numPr>
          <w:numId w:val="777"/>
        </w:numPr>
        <w:spacing w:before="120" w:after="120" w:line="288" w:lineRule="auto"/>
        <w:ind w:left="0"/>
        <w:jc w:val="left"/>
      </w:pPr>
      <w:r>
        <w:rPr>
          <w:rFonts w:eastAsia="等线" w:ascii="Arial" w:cs="Arial" w:hAnsi="Arial"/>
          <w:sz w:val="22"/>
        </w:rPr>
        <w:t>回购溢价：比市场渠道平均高15%</w:t>
      </w:r>
    </w:p>
    <w:p>
      <w:pPr>
        <w:numPr>
          <w:numId w:val="778"/>
        </w:numPr>
        <w:spacing w:before="120" w:after="120" w:line="288" w:lineRule="auto"/>
        <w:ind w:left="0"/>
        <w:jc w:val="left"/>
      </w:pPr>
      <w:r>
        <w:rPr>
          <w:rFonts w:eastAsia="等线" w:ascii="Arial" w:cs="Arial" w:hAnsi="Arial"/>
          <w:sz w:val="22"/>
        </w:rPr>
        <w:t>处置周期缩短：从30天缩短至7天</w:t>
      </w:r>
    </w:p>
    <w:p>
      <w:pPr>
        <w:numPr>
          <w:numId w:val="779"/>
        </w:numPr>
        <w:spacing w:before="120" w:after="120" w:line="288" w:lineRule="auto"/>
        <w:ind w:left="0"/>
        <w:jc w:val="left"/>
      </w:pPr>
      <w:r>
        <w:rPr>
          <w:rFonts w:eastAsia="等线" w:ascii="Arial" w:cs="Arial" w:hAnsi="Arial"/>
          <w:sz w:val="22"/>
        </w:rPr>
        <w:t>年增加回收收益：约120万元</w:t>
      </w:r>
    </w:p>
    <w:p>
      <w:pPr>
        <w:spacing w:before="120" w:after="120" w:line="288" w:lineRule="auto"/>
        <w:ind w:left="0"/>
        <w:jc w:val="left"/>
      </w:pPr>
      <w:r>
        <w:rPr>
          <w:rFonts w:eastAsia="等线" w:ascii="Arial" w:cs="Arial" w:hAnsi="Arial"/>
          <w:b w:val="true"/>
          <w:sz w:val="22"/>
        </w:rPr>
        <w:t>典型案例</w:t>
      </w:r>
    </w:p>
    <w:p>
      <w:pPr>
        <w:spacing w:before="120" w:after="120" w:line="288" w:lineRule="auto"/>
        <w:ind w:left="0"/>
        <w:jc w:val="left"/>
      </w:pPr>
      <w:r>
        <w:rPr>
          <w:rFonts w:eastAsia="等线" w:ascii="Arial" w:cs="Arial" w:hAnsi="Arial"/>
          <w:b w:val="true"/>
          <w:sz w:val="22"/>
        </w:rPr>
        <w:t>案例1：核心企业协同催收成功</w:t>
      </w:r>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w:t>
      </w:r>
    </w:p>
    <w:p>
      <w:pPr>
        <w:numPr>
          <w:numId w:val="780"/>
        </w:numPr>
        <w:spacing w:before="120" w:after="120" w:line="288" w:lineRule="auto"/>
        <w:ind w:left="0"/>
        <w:jc w:val="left"/>
      </w:pPr>
      <w:r>
        <w:rPr>
          <w:rFonts w:eastAsia="等线" w:ascii="Arial" w:cs="Arial" w:hAnsi="Arial"/>
          <w:sz w:val="22"/>
        </w:rPr>
        <w:t>客户：某手机店，A级，授信80万</w:t>
      </w:r>
    </w:p>
    <w:p>
      <w:pPr>
        <w:numPr>
          <w:numId w:val="781"/>
        </w:numPr>
        <w:spacing w:before="120" w:after="120" w:line="288" w:lineRule="auto"/>
        <w:ind w:left="0"/>
        <w:jc w:val="left"/>
      </w:pPr>
      <w:r>
        <w:rPr>
          <w:rFonts w:eastAsia="等线" w:ascii="Arial" w:cs="Arial" w:hAnsi="Arial"/>
          <w:sz w:val="22"/>
        </w:rPr>
        <w:t>业务：融资30万，逾期18天</w:t>
      </w:r>
    </w:p>
    <w:p>
      <w:pPr>
        <w:numPr>
          <w:numId w:val="782"/>
        </w:numPr>
        <w:spacing w:before="120" w:after="120" w:line="288" w:lineRule="auto"/>
        <w:ind w:left="0"/>
        <w:jc w:val="left"/>
      </w:pPr>
      <w:r>
        <w:rPr>
          <w:rFonts w:eastAsia="等线" w:ascii="Arial" w:cs="Arial" w:hAnsi="Arial"/>
          <w:sz w:val="22"/>
        </w:rPr>
        <w:t>传统催收：打电话催收10天，客户推脱</w:t>
      </w:r>
    </w:p>
    <w:p>
      <w:pPr>
        <w:spacing w:before="120" w:after="120" w:line="288" w:lineRule="auto"/>
        <w:ind w:left="0"/>
        <w:jc w:val="left"/>
      </w:pPr>
      <w:r>
        <w:rPr>
          <w:rFonts w:eastAsia="等线" w:ascii="Arial" w:cs="Arial" w:hAnsi="Arial"/>
          <w:b w:val="true"/>
          <w:sz w:val="22"/>
        </w:rPr>
        <w:t>协同催收过程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Day 1（逾期15天）：</w:t>
              <w:br/>
              <w:t xml:space="preserve">  系统自动推送核心企业协同催收</w:t>
              <w:br/>
              <w:t xml:space="preserve">  </w:t>
              <w:br/>
              <w:t>Day 2：</w:t>
              <w:br/>
              <w:t xml:space="preserve">  核心企业已查看，表示将采取措施</w:t>
              <w:br/>
              <w:t xml:space="preserve">  </w:t>
              <w:br/>
              <w:t>Day 3：</w:t>
              <w:br/>
              <w:t xml:space="preserve">  核心企业暂停该经销商新订单供货</w:t>
              <w:br/>
              <w:t xml:space="preserve">  通知经销商：还款后恢复供货</w:t>
              <w:br/>
              <w:t xml:space="preserve">  </w:t>
              <w:br/>
              <w:t>Day 4：</w:t>
              <w:br/>
              <w:t xml:space="preserve">  经销商联系平台，表示会尽快还款</w:t>
              <w:br/>
              <w:t xml:space="preserve">  申请分期还款</w:t>
              <w:br/>
              <w:t xml:space="preserve">  </w:t>
              <w:br/>
              <w:t>Day 7：</w:t>
              <w:br/>
              <w:t xml:space="preserve">  经销商还款10万</w:t>
              <w:br/>
              <w:t xml:space="preserve">  </w:t>
              <w:br/>
              <w:t>Day 10：</w:t>
              <w:br/>
              <w:t xml:space="preserve">  经销商还款15万</w:t>
              <w:br/>
              <w:t xml:space="preserve">  </w:t>
              <w:br/>
              <w:t>Day 14：</w:t>
              <w:br/>
              <w:t xml:space="preserve">  经销商全部还清</w:t>
              <w:br/>
              <w:t xml:space="preserve">  核心企业恢复供货</w:t>
              <w:br/>
              <w:br/>
              <w:t>总耗时：14天结清（比平均42天快67%）</w:t>
              <w:br/>
            </w:r>
            <w:r>
              <w:rPr>
                <w:rFonts w:eastAsia="Consolas" w:ascii="Consolas" w:cs="Consolas" w:hAnsi="Consolas"/>
                <w:sz w:val="22"/>
              </w:rPr>
              <w:t>核心企业作用：停供货措施促使客户快速还款</w:t>
            </w:r>
          </w:p>
        </w:tc>
      </w:tr>
    </w:tbl>
    <w:p>
      <w:pPr>
        <w:spacing w:before="120" w:after="120" w:line="288" w:lineRule="auto"/>
        <w:ind w:left="0"/>
        <w:jc w:val="left"/>
      </w:pPr>
      <w:r>
        <w:rPr>
          <w:rFonts w:eastAsia="等线" w:ascii="Arial" w:cs="Arial" w:hAnsi="Arial"/>
          <w:b w:val="true"/>
          <w:sz w:val="22"/>
        </w:rPr>
        <w:t>价值</w:t>
      </w:r>
      <w:r>
        <w:rPr>
          <w:rFonts w:eastAsia="等线" w:ascii="Arial" w:cs="Arial" w:hAnsi="Arial"/>
          <w:sz w:val="22"/>
        </w:rPr>
        <w:t>：</w:t>
      </w:r>
    </w:p>
    <w:p>
      <w:pPr>
        <w:numPr>
          <w:numId w:val="783"/>
        </w:numPr>
        <w:spacing w:before="120" w:after="120" w:line="288" w:lineRule="auto"/>
        <w:ind w:left="0"/>
        <w:jc w:val="left"/>
      </w:pPr>
      <w:r>
        <w:rPr>
          <w:rFonts w:eastAsia="等线" w:ascii="Arial" w:cs="Arial" w:hAnsi="Arial"/>
          <w:sz w:val="22"/>
        </w:rPr>
        <w:t>充分利用核心企业对经销商的影响力</w:t>
      </w:r>
    </w:p>
    <w:p>
      <w:pPr>
        <w:numPr>
          <w:numId w:val="784"/>
        </w:numPr>
        <w:spacing w:before="120" w:after="120" w:line="288" w:lineRule="auto"/>
        <w:ind w:left="0"/>
        <w:jc w:val="left"/>
      </w:pPr>
      <w:r>
        <w:rPr>
          <w:rFonts w:eastAsia="等线" w:ascii="Arial" w:cs="Arial" w:hAnsi="Arial"/>
          <w:sz w:val="22"/>
        </w:rPr>
        <w:t>大幅缩短催收周期</w:t>
      </w:r>
    </w:p>
    <w:p>
      <w:pPr>
        <w:numPr>
          <w:numId w:val="785"/>
        </w:numPr>
        <w:spacing w:before="120" w:after="120" w:line="288" w:lineRule="auto"/>
        <w:ind w:left="0"/>
        <w:jc w:val="left"/>
      </w:pPr>
      <w:r>
        <w:rPr>
          <w:rFonts w:eastAsia="等线" w:ascii="Arial" w:cs="Arial" w:hAnsi="Arial"/>
          <w:sz w:val="22"/>
        </w:rPr>
        <w:t>客户仍继续合作（软性催收）</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案例2：核心企业回购快速处置</w:t>
      </w:r>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w:t>
      </w:r>
    </w:p>
    <w:p>
      <w:pPr>
        <w:numPr>
          <w:numId w:val="786"/>
        </w:numPr>
        <w:spacing w:before="120" w:after="120" w:line="288" w:lineRule="auto"/>
        <w:ind w:left="0"/>
        <w:jc w:val="left"/>
      </w:pPr>
      <w:r>
        <w:rPr>
          <w:rFonts w:eastAsia="等线" w:ascii="Arial" w:cs="Arial" w:hAnsi="Arial"/>
          <w:sz w:val="22"/>
        </w:rPr>
        <w:t>客户：某数码店，逾期35天</w:t>
      </w:r>
    </w:p>
    <w:p>
      <w:pPr>
        <w:numPr>
          <w:numId w:val="787"/>
        </w:numPr>
        <w:spacing w:before="120" w:after="120" w:line="288" w:lineRule="auto"/>
        <w:ind w:left="0"/>
        <w:jc w:val="left"/>
      </w:pPr>
      <w:r>
        <w:rPr>
          <w:rFonts w:eastAsia="等线" w:ascii="Arial" w:cs="Arial" w:hAnsi="Arial"/>
          <w:sz w:val="22"/>
        </w:rPr>
        <w:t>质押物：XX品牌手机500台，货值50万</w:t>
      </w:r>
    </w:p>
    <w:p>
      <w:pPr>
        <w:numPr>
          <w:numId w:val="788"/>
        </w:numPr>
        <w:spacing w:before="120" w:after="120" w:line="288" w:lineRule="auto"/>
        <w:ind w:left="0"/>
        <w:jc w:val="left"/>
      </w:pPr>
      <w:r>
        <w:rPr>
          <w:rFonts w:eastAsia="等线" w:ascii="Arial" w:cs="Arial" w:hAnsi="Arial"/>
          <w:sz w:val="22"/>
        </w:rPr>
        <w:t>逾期金额：28万</w:t>
      </w:r>
    </w:p>
    <w:p>
      <w:pPr>
        <w:spacing w:before="120" w:after="120" w:line="288" w:lineRule="auto"/>
        <w:ind w:left="0"/>
        <w:jc w:val="left"/>
      </w:pPr>
      <w:r>
        <w:rPr>
          <w:rFonts w:eastAsia="等线" w:ascii="Arial" w:cs="Arial" w:hAnsi="Arial"/>
          <w:b w:val="true"/>
          <w:sz w:val="22"/>
        </w:rPr>
        <w:t>处置过程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Day 1：</w:t>
              <w:br/>
              <w:t xml:space="preserve">  启动货物处置流程</w:t>
              <w:br/>
              <w:t xml:space="preserve">  系统评估：满足核心企业回购条件</w:t>
              <w:br/>
              <w:t xml:space="preserve">  推送回购邀请</w:t>
              <w:br/>
              <w:br/>
              <w:t>Day 2：</w:t>
              <w:br/>
              <w:t xml:space="preserve">  核心企业查看，表示接受回购</w:t>
              <w:br/>
              <w:t xml:space="preserve">  协商回购价格：48万(市场价×96%)</w:t>
              <w:br/>
              <w:br/>
              <w:t>Day 3：</w:t>
              <w:br/>
              <w:t xml:space="preserve">  签署回购协议</w:t>
              <w:br/>
              <w:br/>
              <w:t>Day 5：</w:t>
              <w:br/>
              <w:t xml:space="preserve">  核心企业提货</w:t>
              <w:br/>
              <w:br/>
              <w:t>Day 7：</w:t>
              <w:br/>
              <w:t xml:space="preserve">  核心企业付款48万到账</w:t>
              <w:br/>
              <w:br/>
              <w:t>结果：</w:t>
              <w:br/>
              <w:t xml:space="preserve">  回收金额：48万</w:t>
              <w:br/>
              <w:t xml:space="preserve">  回收率：171%(48/28)</w:t>
              <w:br/>
              <w:t xml:space="preserve">  处置周期：7天</w:t>
              <w:br/>
            </w:r>
            <w:r>
              <w:rPr>
                <w:rFonts w:eastAsia="Consolas" w:ascii="Consolas" w:cs="Consolas" w:hAnsi="Consolas"/>
                <w:sz w:val="22"/>
              </w:rPr>
              <w:t xml:space="preserve">  vs 市场渠道预计回收42万，周期30天</w:t>
            </w:r>
          </w:p>
        </w:tc>
      </w:tr>
    </w:tbl>
    <w:p>
      <w:pPr>
        <w:spacing w:before="120" w:after="120" w:line="288" w:lineRule="auto"/>
        <w:ind w:left="0"/>
        <w:jc w:val="left"/>
      </w:pPr>
      <w:r>
        <w:rPr>
          <w:rFonts w:eastAsia="等线" w:ascii="Arial" w:cs="Arial" w:hAnsi="Arial"/>
          <w:b w:val="true"/>
          <w:sz w:val="22"/>
        </w:rPr>
        <w:t>价值</w:t>
      </w:r>
      <w:r>
        <w:rPr>
          <w:rFonts w:eastAsia="等线" w:ascii="Arial" w:cs="Arial" w:hAnsi="Arial"/>
          <w:sz w:val="22"/>
        </w:rPr>
        <w:t>：</w:t>
      </w:r>
    </w:p>
    <w:p>
      <w:pPr>
        <w:numPr>
          <w:numId w:val="789"/>
        </w:numPr>
        <w:spacing w:before="120" w:after="120" w:line="288" w:lineRule="auto"/>
        <w:ind w:left="0"/>
        <w:jc w:val="left"/>
      </w:pPr>
      <w:r>
        <w:rPr>
          <w:rFonts w:eastAsia="等线" w:ascii="Arial" w:cs="Arial" w:hAnsi="Arial"/>
          <w:sz w:val="22"/>
        </w:rPr>
        <w:t>回购价格高：比市场渠道多回收6万（14%）</w:t>
      </w:r>
    </w:p>
    <w:p>
      <w:pPr>
        <w:numPr>
          <w:numId w:val="790"/>
        </w:numPr>
        <w:spacing w:before="120" w:after="120" w:line="288" w:lineRule="auto"/>
        <w:ind w:left="0"/>
        <w:jc w:val="left"/>
      </w:pPr>
      <w:r>
        <w:rPr>
          <w:rFonts w:eastAsia="等线" w:ascii="Arial" w:cs="Arial" w:hAnsi="Arial"/>
          <w:sz w:val="22"/>
        </w:rPr>
        <w:t>处置周期短：7天 vs 30天（快77%）</w:t>
      </w:r>
    </w:p>
    <w:p>
      <w:pPr>
        <w:numPr>
          <w:numId w:val="791"/>
        </w:numPr>
        <w:spacing w:before="120" w:after="120" w:line="288" w:lineRule="auto"/>
        <w:ind w:left="0"/>
        <w:jc w:val="left"/>
      </w:pPr>
      <w:r>
        <w:rPr>
          <w:rFonts w:eastAsia="等线" w:ascii="Arial" w:cs="Arial" w:hAnsi="Arial"/>
          <w:sz w:val="22"/>
        </w:rPr>
        <w:t>核心企业获益：以优惠价格获得货物，快速再销售</w:t>
      </w:r>
    </w:p>
    <w:p>
      <w:pPr>
        <w:numPr>
          <w:numId w:val="792"/>
        </w:numPr>
        <w:spacing w:before="120" w:after="120" w:line="288" w:lineRule="auto"/>
        <w:ind w:left="0"/>
        <w:jc w:val="left"/>
      </w:pPr>
      <w:r>
        <w:rPr>
          <w:rFonts w:eastAsia="等线" w:ascii="Arial" w:cs="Arial" w:hAnsi="Arial"/>
          <w:sz w:val="22"/>
        </w:rPr>
        <w:t>三方共赢：平台快速回收、核心企业获得货物、客户债务解除</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7" w:id="147"/>
      <w:r>
        <w:rPr>
          <w:rFonts w:eastAsia="等线" w:ascii="Arial" w:cs="Arial" w:hAnsi="Arial"/>
          <w:color w:val="3370ff"/>
          <w:sz w:val="32"/>
        </w:rPr>
        <w:t xml:space="preserve">3.6 </w:t>
      </w:r>
      <w:r>
        <w:rPr>
          <w:rFonts w:eastAsia="等线" w:ascii="Arial" w:cs="Arial" w:hAnsi="Arial"/>
          <w:b w:val="true"/>
          <w:sz w:val="32"/>
        </w:rPr>
        <w:t>结算管理</w:t>
      </w:r>
      <w:bookmarkEnd w:id="147"/>
    </w:p>
    <w:p>
      <w:pPr>
        <w:pStyle w:val="3"/>
        <w:spacing w:before="300" w:after="120" w:line="288" w:lineRule="auto"/>
        <w:ind w:left="0"/>
        <w:jc w:val="left"/>
        <w:outlineLvl w:val="2"/>
      </w:pPr>
      <w:bookmarkStart w:name="heading_148" w:id="148"/>
      <w:r>
        <w:rPr>
          <w:rFonts w:eastAsia="等线" w:ascii="Arial" w:cs="Arial" w:hAnsi="Arial"/>
          <w:color w:val="3370ff"/>
          <w:sz w:val="30"/>
        </w:rPr>
        <w:t xml:space="preserve">3.6.1 </w:t>
      </w:r>
      <w:r>
        <w:rPr>
          <w:rFonts w:eastAsia="等线" w:ascii="Arial" w:cs="Arial" w:hAnsi="Arial"/>
          <w:b w:val="true"/>
          <w:sz w:val="30"/>
        </w:rPr>
        <w:t>业务概述</w:t>
      </w:r>
      <w:bookmarkEnd w:id="148"/>
    </w:p>
    <w:p>
      <w:pPr>
        <w:spacing w:before="120" w:after="120" w:line="288" w:lineRule="auto"/>
        <w:ind w:left="0"/>
        <w:jc w:val="left"/>
      </w:pPr>
      <w:r>
        <w:rPr>
          <w:rFonts w:eastAsia="等线" w:ascii="Arial" w:cs="Arial" w:hAnsi="Arial"/>
          <w:sz w:val="22"/>
        </w:rPr>
        <w:t>结算管理是平台盈利模式的支撑工具，通过对服务费的计算、账单生成、收款确认和分润结算的全流程管理，实现平台收入的精细化管理和透明化核算。核心特色是</w:t>
      </w:r>
      <w:r>
        <w:rPr>
          <w:rFonts w:eastAsia="等线" w:ascii="Arial" w:cs="Arial" w:hAnsi="Arial"/>
          <w:b w:val="true"/>
          <w:sz w:val="22"/>
        </w:rPr>
        <w:t>建立与核心企业的透明分润机制</w:t>
      </w:r>
      <w:r>
        <w:rPr>
          <w:rFonts w:eastAsia="等线" w:ascii="Arial" w:cs="Arial" w:hAnsi="Arial"/>
          <w:sz w:val="22"/>
        </w:rPr>
        <w:t>，将核心企业推荐质量、协同催收、回购合作等纳入分润计算，形成长期激励。</w:t>
      </w:r>
    </w:p>
    <w:p>
      <w:pPr>
        <w:spacing w:before="120" w:after="120" w:line="288" w:lineRule="auto"/>
        <w:ind w:left="0"/>
        <w:jc w:val="left"/>
      </w:pPr>
      <w:r>
        <w:rPr>
          <w:rFonts w:eastAsia="等线" w:ascii="Arial" w:cs="Arial" w:hAnsi="Arial"/>
          <w:b w:val="true"/>
          <w:sz w:val="22"/>
        </w:rPr>
        <w:t>模块定位</w:t>
      </w:r>
      <w:r>
        <w:rPr>
          <w:rFonts w:eastAsia="等线" w:ascii="Arial" w:cs="Arial" w:hAnsi="Arial"/>
          <w:sz w:val="22"/>
        </w:rPr>
        <w:t>：</w:t>
      </w:r>
    </w:p>
    <w:p>
      <w:pPr>
        <w:numPr>
          <w:numId w:val="793"/>
        </w:numPr>
        <w:spacing w:before="120" w:after="120" w:line="288" w:lineRule="auto"/>
        <w:ind w:left="0"/>
        <w:jc w:val="left"/>
      </w:pPr>
      <w:r>
        <w:rPr>
          <w:rFonts w:eastAsia="等线" w:ascii="Arial" w:cs="Arial" w:hAnsi="Arial"/>
          <w:b w:val="true"/>
          <w:sz w:val="22"/>
        </w:rPr>
        <w:t>收入管理</w:t>
      </w:r>
      <w:r>
        <w:rPr>
          <w:rFonts w:eastAsia="等线" w:ascii="Arial" w:cs="Arial" w:hAnsi="Arial"/>
          <w:sz w:val="22"/>
        </w:rPr>
        <w:t>：服务费自动计算、账单标准化</w:t>
      </w:r>
    </w:p>
    <w:p>
      <w:pPr>
        <w:numPr>
          <w:numId w:val="794"/>
        </w:numPr>
        <w:spacing w:before="120" w:after="120" w:line="288" w:lineRule="auto"/>
        <w:ind w:left="0"/>
        <w:jc w:val="left"/>
      </w:pPr>
      <w:r>
        <w:rPr>
          <w:rFonts w:eastAsia="等线" w:ascii="Arial" w:cs="Arial" w:hAnsi="Arial"/>
          <w:b w:val="true"/>
          <w:sz w:val="22"/>
        </w:rPr>
        <w:t>利益分配</w:t>
      </w:r>
      <w:r>
        <w:rPr>
          <w:rFonts w:eastAsia="等线" w:ascii="Arial" w:cs="Arial" w:hAnsi="Arial"/>
          <w:sz w:val="22"/>
        </w:rPr>
        <w:t>：分润规则透明化、核心企业激励</w:t>
      </w:r>
    </w:p>
    <w:p>
      <w:pPr>
        <w:numPr>
          <w:numId w:val="795"/>
        </w:numPr>
        <w:spacing w:before="120" w:after="120" w:line="288" w:lineRule="auto"/>
        <w:ind w:left="0"/>
        <w:jc w:val="left"/>
      </w:pPr>
      <w:r>
        <w:rPr>
          <w:rFonts w:eastAsia="等线" w:ascii="Arial" w:cs="Arial" w:hAnsi="Arial"/>
          <w:b w:val="true"/>
          <w:sz w:val="22"/>
        </w:rPr>
        <w:t>财务对账</w:t>
      </w:r>
      <w:r>
        <w:rPr>
          <w:rFonts w:eastAsia="等线" w:ascii="Arial" w:cs="Arial" w:hAnsi="Arial"/>
          <w:sz w:val="22"/>
        </w:rPr>
        <w:t>：自动对账、异常识别</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9" w:id="149"/>
      <w:r>
        <w:rPr>
          <w:rFonts w:eastAsia="等线" w:ascii="Arial" w:cs="Arial" w:hAnsi="Arial"/>
          <w:color w:val="3370ff"/>
          <w:sz w:val="30"/>
        </w:rPr>
        <w:t xml:space="preserve">3.6.2 </w:t>
      </w:r>
      <w:r>
        <w:rPr>
          <w:rFonts w:eastAsia="等线" w:ascii="Arial" w:cs="Arial" w:hAnsi="Arial"/>
          <w:b w:val="true"/>
          <w:sz w:val="30"/>
        </w:rPr>
        <w:t>核心痛点</w:t>
      </w:r>
      <w:bookmarkEnd w:id="149"/>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管理层：</w:t>
            </w:r>
          </w:p>
          <w:p>
            <w:pPr>
              <w:numPr>
                <w:numId w:val="796"/>
              </w:numPr>
              <w:spacing w:before="120" w:after="120" w:line="288" w:lineRule="auto"/>
              <w:ind w:left="0"/>
              <w:jc w:val="left"/>
            </w:pPr>
            <w:r>
              <w:rPr>
                <w:rFonts w:eastAsia="等线" w:ascii="Arial" w:cs="Arial" w:hAnsi="Arial"/>
                <w:b w:val="true"/>
                <w:sz w:val="22"/>
              </w:rPr>
              <w:t>服务费与账单管理</w:t>
            </w:r>
          </w:p>
          <w:p>
            <w:pPr>
              <w:numPr>
                <w:numId w:val="797"/>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将账单准确率提升至100%、服务费收缴率提升至98%</w:t>
            </w:r>
            <w:r>
              <w:rPr>
                <w:rFonts w:eastAsia="等线" w:ascii="Arial" w:cs="Arial" w:hAnsi="Arial"/>
                <w:sz w:val="22"/>
              </w:rPr>
              <w:t>（业务KPI），需要建立自动化的服务费计算和账单管理机制。但由于：</w:t>
            </w:r>
          </w:p>
          <w:p>
            <w:pPr>
              <w:numPr>
                <w:numId w:val="798"/>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：服务费计算规则复杂（按融资金额比例、按天计息、不同客户等级不同费率），缺乏标准化的计费规则文档；账单催缴缺乏规范流程，约8%的应收账款未及时收回</w:t>
            </w:r>
          </w:p>
          <w:p>
            <w:pPr>
              <w:numPr>
                <w:numId w:val="799"/>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：服务费手工计算工作量大，约5%的账单存在计算错误需重新开具；账单生成依赖手工制作Excel或Word，格式不统一；账单发送需打印盖章扫描发邮件，流程繁琐</w:t>
            </w:r>
          </w:p>
          <w:p>
            <w:pPr>
              <w:spacing w:before="120" w:after="120" w:line="288" w:lineRule="auto"/>
              <w:ind w:left="453"/>
              <w:jc w:val="left"/>
            </w:pPr>
            <w:r>
              <w:rPr>
                <w:rFonts w:eastAsia="等线" w:ascii="Arial" w:cs="Arial" w:hAnsi="Arial"/>
                <w:sz w:val="22"/>
              </w:rPr>
              <w:t>导致账单准确率仅95%，服务费收缴率仅92%，影响平台现金流。</w:t>
            </w:r>
          </w:p>
          <w:p>
            <w:pPr>
              <w:numPr>
                <w:numId w:val="800"/>
              </w:numPr>
              <w:spacing w:before="120" w:after="120" w:line="288" w:lineRule="auto"/>
              <w:ind w:left="453"/>
              <w:jc w:val="left"/>
            </w:pPr>
            <w:r>
              <w:rPr>
                <w:rFonts w:eastAsia="等线" w:ascii="Arial" w:cs="Arial" w:hAnsi="Arial"/>
                <w:b w:val="true"/>
                <w:color w:val="d83931"/>
                <w:sz w:val="22"/>
              </w:rPr>
              <w:t>【期望】</w:t>
            </w:r>
          </w:p>
          <w:p>
            <w:pPr>
              <w:numPr>
                <w:numId w:val="801"/>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：建立《服务费计费规则》（明确各客户等级、品类、期限的费率标准及计算方式）；制定《账单催缴管理制度》（到期前提醒、逾期预警、催缴升级流程）</w:t>
            </w:r>
          </w:p>
          <w:p>
            <w:pPr>
              <w:numPr>
                <w:numId w:val="802"/>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：系统根据融资业务数据和计费规则自动计算服务费，账单一键生成标准格式PDF并支持邮件发送，系统自动监控账单状态并到期未收款自动预警推送催缴任务</w:t>
            </w:r>
          </w:p>
          <w:p>
            <w:pPr>
              <w:spacing w:before="120" w:after="120" w:line="288" w:lineRule="auto"/>
              <w:ind w:left="453"/>
              <w:jc w:val="left"/>
            </w:pPr>
            <w:r>
              <w:rPr>
                <w:rFonts w:eastAsia="等线" w:ascii="Arial" w:cs="Arial" w:hAnsi="Arial"/>
                <w:sz w:val="22"/>
              </w:rPr>
              <w:t>通过以上措施，账单准确率达100%，服务费收缴率提升至98%。</w:t>
            </w:r>
          </w:p>
          <w:p>
            <w:pPr>
              <w:numPr>
                <w:numId w:val="803"/>
              </w:numPr>
              <w:spacing w:before="120" w:after="120" w:line="288" w:lineRule="auto"/>
              <w:ind w:left="0"/>
              <w:jc w:val="left"/>
            </w:pPr>
            <w:r>
              <w:rPr>
                <w:rFonts w:eastAsia="等线" w:ascii="Arial" w:cs="Arial" w:hAnsi="Arial"/>
                <w:b w:val="true"/>
                <w:sz w:val="22"/>
              </w:rPr>
              <w:t>分润结算管理</w:t>
            </w:r>
          </w:p>
          <w:p>
            <w:pPr>
              <w:numPr>
                <w:numId w:val="804"/>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将分润准确率提升至100%、分润确认周期缩短至2天</w:t>
            </w:r>
            <w:r>
              <w:rPr>
                <w:rFonts w:eastAsia="等线" w:ascii="Arial" w:cs="Arial" w:hAnsi="Arial"/>
                <w:sz w:val="22"/>
              </w:rPr>
              <w:t>（业务KPI），需要建立透明化的分润计算和结算机制。但由于：</w:t>
            </w:r>
          </w:p>
          <w:p>
            <w:pPr>
              <w:numPr>
                <w:numId w:val="805"/>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：分润计算涉及多方（推荐佣金、协同催收奖励、回购奖励、质量奖金），计算规则复杂，缺乏标准化的分润规则文档；分润争议处理流程不规范，约10%的分润存在争议需重新核对</w:t>
            </w:r>
          </w:p>
          <w:p>
            <w:pPr>
              <w:numPr>
                <w:numId w:val="806"/>
              </w:numPr>
              <w:spacing w:before="120" w:after="120" w:line="288" w:lineRule="auto"/>
              <w:ind w:left="907"/>
              <w:jc w:val="left"/>
            </w:pPr>
            <w:r>
              <w:rPr>
                <w:rFonts w:eastAsia="等线" w:ascii="Arial" w:cs="Arial" w:hAnsi="Arial"/>
                <w:b w:val="true"/>
                <w:sz w:val="22"/>
              </w:rPr>
              <w:t>协作问题</w:t>
            </w:r>
            <w:r>
              <w:rPr>
                <w:rFonts w:eastAsia="等线" w:ascii="Arial" w:cs="Arial" w:hAnsi="Arial"/>
                <w:sz w:val="22"/>
              </w:rPr>
              <w:t>：分润金额需手工计算并通知各合作方沟通确认，工作量大且沟通成本高；核心企业无法实时查看分润明细，信息不透明</w:t>
            </w:r>
          </w:p>
          <w:p>
            <w:pPr>
              <w:numPr>
                <w:numId w:val="807"/>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：缺乏自动化的分润计算和在线确认机制</w:t>
            </w:r>
          </w:p>
          <w:p>
            <w:pPr>
              <w:spacing w:before="120" w:after="120" w:line="288" w:lineRule="auto"/>
              <w:ind w:left="453"/>
              <w:jc w:val="left"/>
            </w:pPr>
            <w:r>
              <w:rPr>
                <w:rFonts w:eastAsia="等线" w:ascii="Arial" w:cs="Arial" w:hAnsi="Arial"/>
                <w:sz w:val="22"/>
              </w:rPr>
              <w:t>导致分润确认周期平均7天，分润争议率较高。</w:t>
            </w:r>
          </w:p>
          <w:p>
            <w:pPr>
              <w:numPr>
                <w:numId w:val="808"/>
              </w:numPr>
              <w:spacing w:before="120" w:after="120" w:line="288" w:lineRule="auto"/>
              <w:ind w:left="453"/>
              <w:jc w:val="left"/>
            </w:pPr>
            <w:r>
              <w:rPr>
                <w:rFonts w:eastAsia="等线" w:ascii="Arial" w:cs="Arial" w:hAnsi="Arial"/>
                <w:b w:val="true"/>
                <w:color w:val="d83931"/>
                <w:sz w:val="22"/>
              </w:rPr>
              <w:t>【期望】</w:t>
            </w:r>
          </w:p>
          <w:p>
            <w:pPr>
              <w:numPr>
                <w:numId w:val="809"/>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核心企业分润规则》（明确推荐佣金率、协同催收奖励比例、回购奖励比例、质量系数计算方式）；制定《分润对账与争议处理制度》（每月5日前生成明细、5个工作日内确认、争议处理流程）；建立《分润透明化管理制度》（核心企业可随时查看、数据可追溯）</w:t>
            </w:r>
          </w:p>
          <w:p>
            <w:pPr>
              <w:numPr>
                <w:numId w:val="810"/>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：系统根据预设规则自动计算各方分润金额，生成分润明细表并支持核心企业在线查看和确认，分润金额计算完成后自动通知核心企业</w:t>
            </w:r>
          </w:p>
          <w:p>
            <w:pPr>
              <w:spacing w:before="120" w:after="120" w:line="288" w:lineRule="auto"/>
              <w:ind w:left="453"/>
              <w:jc w:val="left"/>
            </w:pPr>
            <w:r>
              <w:rPr>
                <w:rFonts w:eastAsia="等线" w:ascii="Arial" w:cs="Arial" w:hAnsi="Arial"/>
                <w:sz w:val="22"/>
              </w:rPr>
              <w:t>通过以上措施，分润准确率达100%，分润争议减少95%，分润确认周期从7天缩短至2天。</w:t>
            </w:r>
          </w:p>
          <w:p>
            <w:pPr>
              <w:numPr>
                <w:numId w:val="811"/>
              </w:numPr>
              <w:spacing w:before="120" w:after="120" w:line="288" w:lineRule="auto"/>
              <w:ind w:left="0"/>
              <w:jc w:val="left"/>
            </w:pPr>
            <w:r>
              <w:rPr>
                <w:rFonts w:eastAsia="等线" w:ascii="Arial" w:cs="Arial" w:hAnsi="Arial"/>
                <w:b w:val="true"/>
                <w:sz w:val="22"/>
              </w:rPr>
              <w:t>收款对账管理</w:t>
            </w:r>
          </w:p>
          <w:p>
            <w:pPr>
              <w:numPr>
                <w:numId w:val="812"/>
              </w:numPr>
              <w:spacing w:before="120" w:after="120" w:line="288" w:lineRule="auto"/>
              <w:ind w:left="453"/>
              <w:jc w:val="left"/>
            </w:pPr>
            <w:r>
              <w:rPr>
                <w:rFonts w:eastAsia="等线" w:ascii="Arial" w:cs="Arial" w:hAnsi="Arial"/>
                <w:b w:val="true"/>
                <w:color w:val="d83931"/>
                <w:sz w:val="22"/>
              </w:rPr>
              <w:t>【痛点】</w:t>
            </w:r>
            <w:r>
              <w:rPr>
                <w:rFonts w:eastAsia="等线" w:ascii="Arial" w:cs="Arial" w:hAnsi="Arial"/>
                <w:sz w:val="22"/>
              </w:rPr>
              <w:t>为了</w:t>
            </w:r>
            <w:r>
              <w:rPr>
                <w:rFonts w:eastAsia="等线" w:ascii="Arial" w:cs="Arial" w:hAnsi="Arial"/>
                <w:b w:val="true"/>
                <w:sz w:val="22"/>
              </w:rPr>
              <w:t>将对账时效缩短至2小时、对账准确率达100%</w:t>
            </w:r>
            <w:r>
              <w:rPr>
                <w:rFonts w:eastAsia="等线" w:ascii="Arial" w:cs="Arial" w:hAnsi="Arial"/>
                <w:sz w:val="22"/>
              </w:rPr>
              <w:t>（业务KPI），需要建立自动化的对账机制。但由于：</w:t>
            </w:r>
          </w:p>
          <w:p>
            <w:pPr>
              <w:numPr>
                <w:numId w:val="813"/>
              </w:numPr>
              <w:spacing w:before="120" w:after="120" w:line="288" w:lineRule="auto"/>
              <w:ind w:left="907"/>
              <w:jc w:val="left"/>
            </w:pPr>
            <w:r>
              <w:rPr>
                <w:rFonts w:eastAsia="等线" w:ascii="Arial" w:cs="Arial" w:hAnsi="Arial"/>
                <w:b w:val="true"/>
                <w:sz w:val="22"/>
              </w:rPr>
              <w:t>管理问题</w:t>
            </w:r>
            <w:r>
              <w:rPr>
                <w:rFonts w:eastAsia="等线" w:ascii="Arial" w:cs="Arial" w:hAnsi="Arial"/>
                <w:sz w:val="22"/>
              </w:rPr>
              <w:t>：缺乏标准化的对账流程和异常处理规范</w:t>
            </w:r>
          </w:p>
          <w:p>
            <w:pPr>
              <w:numPr>
                <w:numId w:val="814"/>
              </w:numPr>
              <w:spacing w:before="120" w:after="120" w:line="288" w:lineRule="auto"/>
              <w:ind w:left="907"/>
              <w:jc w:val="left"/>
            </w:pPr>
            <w:r>
              <w:rPr>
                <w:rFonts w:eastAsia="等线" w:ascii="Arial" w:cs="Arial" w:hAnsi="Arial"/>
                <w:b w:val="true"/>
                <w:sz w:val="22"/>
              </w:rPr>
              <w:t>系统问题</w:t>
            </w:r>
            <w:r>
              <w:rPr>
                <w:rFonts w:eastAsia="等线" w:ascii="Arial" w:cs="Arial" w:hAnsi="Arial"/>
                <w:sz w:val="22"/>
              </w:rPr>
              <w:t>：收款后需手工核对账单和银行流水，每日对账耗时2-4小时，易出现遗漏或重复</w:t>
            </w:r>
          </w:p>
          <w:p>
            <w:pPr>
              <w:spacing w:before="120" w:after="120" w:line="288" w:lineRule="auto"/>
              <w:ind w:left="453"/>
              <w:jc w:val="left"/>
            </w:pPr>
            <w:r>
              <w:rPr>
                <w:rFonts w:eastAsia="等线" w:ascii="Arial" w:cs="Arial" w:hAnsi="Arial"/>
                <w:sz w:val="22"/>
              </w:rPr>
              <w:t>导致对账效率低，偶有差异。</w:t>
            </w:r>
          </w:p>
          <w:p>
            <w:pPr>
              <w:numPr>
                <w:numId w:val="815"/>
              </w:numPr>
              <w:spacing w:before="120" w:after="120" w:line="288" w:lineRule="auto"/>
              <w:ind w:left="453"/>
              <w:jc w:val="left"/>
            </w:pPr>
            <w:r>
              <w:rPr>
                <w:rFonts w:eastAsia="等线" w:ascii="Arial" w:cs="Arial" w:hAnsi="Arial"/>
                <w:b w:val="true"/>
                <w:color w:val="d83931"/>
                <w:sz w:val="22"/>
              </w:rPr>
              <w:t>【期望】</w:t>
            </w:r>
          </w:p>
          <w:p>
            <w:pPr>
              <w:numPr>
                <w:numId w:val="816"/>
              </w:numPr>
              <w:spacing w:before="120" w:after="120" w:line="288" w:lineRule="auto"/>
              <w:ind w:left="907"/>
              <w:jc w:val="left"/>
            </w:pPr>
            <w:r>
              <w:rPr>
                <w:rFonts w:eastAsia="等线" w:ascii="Arial" w:cs="Arial" w:hAnsi="Arial"/>
                <w:b w:val="true"/>
                <w:sz w:val="22"/>
              </w:rPr>
              <w:t>运营策略</w:t>
            </w:r>
            <w:r>
              <w:rPr>
                <w:rFonts w:eastAsia="等线" w:ascii="Arial" w:cs="Arial" w:hAnsi="Arial"/>
                <w:sz w:val="22"/>
              </w:rPr>
              <w:t>：建立《收款对账管理制度》（对账周期、匹配规则、差异处理流程）</w:t>
            </w:r>
          </w:p>
          <w:p>
            <w:pPr>
              <w:numPr>
                <w:numId w:val="817"/>
              </w:numPr>
              <w:spacing w:before="120" w:after="120" w:line="288" w:lineRule="auto"/>
              <w:ind w:left="907"/>
              <w:jc w:val="left"/>
            </w:pPr>
            <w:r>
              <w:rPr>
                <w:rFonts w:eastAsia="等线" w:ascii="Arial" w:cs="Arial" w:hAnsi="Arial"/>
                <w:b w:val="true"/>
                <w:sz w:val="22"/>
              </w:rPr>
              <w:t>系统方案</w:t>
            </w:r>
            <w:r>
              <w:rPr>
                <w:rFonts w:eastAsia="等线" w:ascii="Arial" w:cs="Arial" w:hAnsi="Arial"/>
                <w:sz w:val="22"/>
              </w:rPr>
              <w:t>：支持银行流水导入和自动匹配账单（按金额、客户匹配），系统自动更新账单状态，无法匹配的自动标注待人工确认</w:t>
            </w:r>
          </w:p>
          <w:p>
            <w:pPr>
              <w:spacing w:before="120" w:after="120" w:line="288" w:lineRule="auto"/>
              <w:ind w:left="453"/>
              <w:jc w:val="left"/>
            </w:pPr>
            <w:r>
              <w:rPr>
                <w:rFonts w:eastAsia="等线" w:ascii="Arial" w:cs="Arial" w:hAnsi="Arial"/>
                <w:sz w:val="22"/>
              </w:rPr>
              <w:t>通过以上措施，对账时效从4小时缩短至2小时，对账准确率达100%。</w:t>
            </w:r>
          </w:p>
          <w:p>
            <w:pPr>
              <w:numPr>
                <w:numId w:val="818"/>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提供灵活的服务费配置工具，支持多种计费模式（按融资金额比例、按天计息、固定费用等）和差异化定价策略（按客户等级、融资期限、质押物品类等），系统根据融资业务数据和服务费规则自动计算服务费金额。账单生成采用模板化设计，系统自动生成标准格式的电子账单，账单生成后提供发送邮件功能一键发送给客户。系统自动监控账单状态，到期未收款自动预警并推送催缴任务。系统根据预设的分润规则自动计算各方分润金额，生成分润明细表并支持核心企业在线查看和确认，分润金额自动计算完成后自动发送通知给核心企业。收款确认时系统自动匹配对应账单并更新状态，支持银行流水的导入和自动对账。建立透明的分润规则配置和自动化的分润计算机制，为决策层提供多维度的盈利分析报表和收入预测。</w:t>
            </w:r>
          </w:p>
          <w:p>
            <w:pPr>
              <w:spacing w:before="120" w:after="120" w:line="288" w:lineRule="auto"/>
              <w:ind w:left="0"/>
              <w:jc w:val="left"/>
            </w:pPr>
            <w:r>
              <w:rPr>
                <w:rFonts w:eastAsia="等线" w:ascii="Arial" w:cs="Arial" w:hAnsi="Arial"/>
                <w:b w:val="true"/>
                <w:sz w:val="22"/>
              </w:rPr>
              <w:t>🔧 执行层：</w:t>
            </w:r>
          </w:p>
          <w:p>
            <w:pPr>
              <w:numPr>
                <w:numId w:val="819"/>
              </w:numPr>
              <w:spacing w:before="120" w:after="120" w:line="288" w:lineRule="auto"/>
              <w:ind w:left="0"/>
              <w:jc w:val="left"/>
            </w:pPr>
            <w:r>
              <w:rPr>
                <w:rFonts w:eastAsia="等线" w:ascii="Arial" w:cs="Arial" w:hAnsi="Arial"/>
                <w:b w:val="true"/>
                <w:color w:val="d83931"/>
                <w:sz w:val="22"/>
              </w:rPr>
              <w:t>【痛点】</w:t>
            </w:r>
            <w:r>
              <w:rPr>
                <w:rFonts w:eastAsia="等线" w:ascii="Arial" w:cs="Arial" w:hAnsi="Arial"/>
                <w:sz w:val="22"/>
              </w:rPr>
              <w:t>每笔融资业务完成后需手工计算服务费，计算过程复杂易出错。账单需手工制作Excel或Word逐项填写，工作量大。账单制作完成后需打印盖章扫描发邮件，流程繁琐。收款后需手工查找对应账单逐笔核对金额并更新Excel，易遗漏或重复。分润金额需手工计算并通知各合作方沟通确认，工作量大。</w:t>
            </w:r>
          </w:p>
          <w:p>
            <w:pPr>
              <w:numPr>
                <w:numId w:val="820"/>
              </w:numPr>
              <w:spacing w:before="120" w:after="120" w:line="288" w:lineRule="auto"/>
              <w:ind w:left="0"/>
              <w:jc w:val="left"/>
            </w:pPr>
            <w:r>
              <w:rPr>
                <w:rFonts w:eastAsia="等线" w:ascii="Arial" w:cs="Arial" w:hAnsi="Arial"/>
                <w:b w:val="true"/>
                <w:color w:val="d83931"/>
                <w:sz w:val="22"/>
              </w:rPr>
              <w:t>【期望】</w:t>
            </w:r>
          </w:p>
          <w:p>
            <w:pPr>
              <w:numPr>
                <w:numId w:val="821"/>
              </w:numPr>
              <w:spacing w:before="120" w:after="120" w:line="288" w:lineRule="auto"/>
              <w:ind w:left="453"/>
              <w:jc w:val="left"/>
            </w:pPr>
            <w:r>
              <w:rPr>
                <w:rFonts w:eastAsia="等线" w:ascii="Arial" w:cs="Arial" w:hAnsi="Arial"/>
                <w:b w:val="true"/>
                <w:sz w:val="22"/>
              </w:rPr>
              <w:t>操作规范</w:t>
            </w:r>
            <w:r>
              <w:rPr>
                <w:rFonts w:eastAsia="等线" w:ascii="Arial" w:cs="Arial" w:hAnsi="Arial"/>
                <w:sz w:val="22"/>
              </w:rPr>
              <w:t>：按《服务费计费规则》核对系统计算结果，按《分润对账与争议处理制度》处理核心企业异议，按《收款对账管理制度》处理匹配异常</w:t>
            </w:r>
          </w:p>
          <w:p>
            <w:pPr>
              <w:numPr>
                <w:numId w:val="822"/>
              </w:numPr>
              <w:spacing w:before="120" w:after="120" w:line="288" w:lineRule="auto"/>
              <w:ind w:left="453"/>
              <w:jc w:val="left"/>
            </w:pPr>
            <w:r>
              <w:rPr>
                <w:rFonts w:eastAsia="等线" w:ascii="Arial" w:cs="Arial" w:hAnsi="Arial"/>
                <w:b w:val="true"/>
                <w:sz w:val="22"/>
              </w:rPr>
              <w:t>系统支持</w:t>
            </w:r>
            <w:r>
              <w:rPr>
                <w:rFonts w:eastAsia="等线" w:ascii="Arial" w:cs="Arial" w:hAnsi="Arial"/>
                <w:sz w:val="22"/>
              </w:rPr>
              <w:t>：服务费自动计算并展示供核对确认，账单一键生成并自动填充所有信息，账单支持电子化发送无需打印扫描，收款后快速匹配账单并自动更新状态，分润金额自动计算并推送给各方减少沟通</w:t>
            </w:r>
          </w:p>
          <w:p>
            <w:pPr>
              <w:numPr>
                <w:numId w:val="823"/>
              </w:num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 xml:space="preserve"> 系统在融资业务完成后自动计算服务费计算结果展示在账单生成页面财务人员仅需核对确认，账单生成采用一键式操作系统自动带入所有信息生成标准格式的PDF账单，账单生成后提供发送邮件功能一键将账单发送给客户，收款确认页面提供账单搜索功能录入收款金额后系统自动匹配账单并更新状态，分润金额系统自动计算完成后自动发送通知给合作方在线查看分润明细并确认。</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0" w:id="150"/>
      <w:r>
        <w:rPr>
          <w:rFonts w:eastAsia="等线" w:ascii="Arial" w:cs="Arial" w:hAnsi="Arial"/>
          <w:color w:val="3370ff"/>
          <w:sz w:val="30"/>
        </w:rPr>
        <w:t xml:space="preserve">3.6.3 </w:t>
      </w:r>
      <w:r>
        <w:rPr>
          <w:rFonts w:eastAsia="等线" w:ascii="Arial" w:cs="Arial" w:hAnsi="Arial"/>
          <w:b w:val="true"/>
          <w:sz w:val="30"/>
        </w:rPr>
        <w:t>功能架构</w:t>
      </w:r>
      <w:bookmarkEnd w:id="1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结算管理</w:t>
              <w:br/>
              <w:t>├─ 服务费配置 ← 基础功能（规则配置）</w:t>
              <w:br/>
              <w:t>├─ 账单管理 ← 基础功能（自动生成）</w:t>
              <w:br/>
              <w:t>├─ 收款确认 ← 基础功能（对账）</w:t>
              <w:br/>
            </w:r>
            <w:r>
              <w:rPr>
                <w:rFonts w:eastAsia="Consolas" w:ascii="Consolas" w:cs="Consolas" w:hAnsi="Consolas"/>
                <w:sz w:val="22"/>
              </w:rPr>
              <w:t>└─ 分润结算 ← 重点功能（核心企业激励、多维度分润）</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1" w:id="151"/>
      <w:r>
        <w:rPr>
          <w:rFonts w:eastAsia="等线" w:ascii="Arial" w:cs="Arial" w:hAnsi="Arial"/>
          <w:color w:val="3370ff"/>
          <w:sz w:val="30"/>
        </w:rPr>
        <w:t xml:space="preserve">3.6.4 </w:t>
      </w:r>
      <w:r>
        <w:rPr>
          <w:rFonts w:eastAsia="等线" w:ascii="Arial" w:cs="Arial" w:hAnsi="Arial"/>
          <w:b w:val="true"/>
          <w:sz w:val="30"/>
        </w:rPr>
        <w:t>核心功能详解</w:t>
      </w:r>
      <w:bookmarkEnd w:id="151"/>
    </w:p>
    <w:p>
      <w:pPr>
        <w:pStyle w:val="4"/>
        <w:spacing w:before="260" w:after="120" w:line="288" w:lineRule="auto"/>
        <w:ind w:left="0"/>
        <w:jc w:val="left"/>
        <w:outlineLvl w:val="3"/>
      </w:pPr>
      <w:bookmarkStart w:name="heading_152" w:id="152"/>
      <w:r>
        <w:rPr>
          <w:rFonts w:eastAsia="等线" w:ascii="Arial" w:cs="Arial" w:hAnsi="Arial"/>
          <w:color w:val="3370ff"/>
          <w:sz w:val="28"/>
        </w:rPr>
        <w:t xml:space="preserve">3.6.4.1 </w:t>
      </w:r>
      <w:r>
        <w:rPr>
          <w:rFonts w:eastAsia="等线" w:ascii="Arial" w:cs="Arial" w:hAnsi="Arial"/>
          <w:b w:val="true"/>
          <w:color w:val="d83931"/>
          <w:sz w:val="28"/>
          <w:shd w:fill="fff67a"/>
        </w:rPr>
        <w:t>分润结算（重点功能）</w:t>
      </w:r>
      <w:bookmarkEnd w:id="15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满足期望：核心企业分润计算争议减少95%，分润确认周期从7天缩短至2天</w:t>
            </w:r>
          </w:p>
        </w:tc>
      </w:tr>
    </w:tbl>
    <w:p>
      <w:pPr>
        <w:pStyle w:val="5"/>
        <w:spacing w:before="240" w:after="120" w:line="288" w:lineRule="auto"/>
        <w:ind w:left="0"/>
        <w:jc w:val="left"/>
        <w:outlineLvl w:val="4"/>
      </w:pPr>
      <w:bookmarkStart w:name="heading_153" w:id="153"/>
      <w:r>
        <w:rPr>
          <w:rFonts w:eastAsia="等线" w:ascii="Arial" w:cs="Arial" w:hAnsi="Arial"/>
          <w:color w:val="3370ff"/>
          <w:sz w:val="24"/>
        </w:rPr>
        <w:t xml:space="preserve">3.6.4.1.1 </w:t>
      </w:r>
      <w:r>
        <w:rPr>
          <w:rFonts w:eastAsia="等线" w:ascii="Arial" w:cs="Arial" w:hAnsi="Arial"/>
          <w:b w:val="true"/>
          <w:sz w:val="24"/>
        </w:rPr>
        <w:t>解决的核心问题</w:t>
      </w:r>
      <w:bookmarkEnd w:id="153"/>
    </w:p>
    <w:p>
      <w:pPr>
        <w:spacing w:before="120" w:after="120" w:line="288" w:lineRule="auto"/>
        <w:ind w:left="0"/>
      </w:pPr>
      <w:r>
        <w:object>
          <v:shape id="_x0000_i1106" style="width:414pt;height:168pt;mso-width-percent:0;mso-height-percent:0;mso-width-percent:0;mso-height-percent:0" type="#_x0000_t75" o:ole="">
            <v:imagedata r:id="rId187" o:title=""/>
          </v:shape>
          <o:OLEObject DrawAspect="Icon" ObjectID="_1718471300" ProgID="Excel.Sheet.12" ShapeID="_x0000_i1106" Type="Embed" r:id="rId18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154" w:id="154"/>
      <w:r>
        <w:rPr>
          <w:rFonts w:eastAsia="等线" w:ascii="Arial" w:cs="Arial" w:hAnsi="Arial"/>
          <w:color w:val="3370ff"/>
          <w:sz w:val="24"/>
        </w:rPr>
        <w:t xml:space="preserve">3.6.4.1.2 </w:t>
      </w:r>
      <w:r>
        <w:rPr>
          <w:rFonts w:eastAsia="等线" w:ascii="Arial" w:cs="Arial" w:hAnsi="Arial"/>
          <w:b w:val="true"/>
          <w:sz w:val="24"/>
        </w:rPr>
        <w:t>分润模型设计</w:t>
      </w:r>
      <w:bookmarkEnd w:id="154"/>
    </w:p>
    <w:p>
      <w:pPr>
        <w:spacing w:before="120" w:after="120" w:line="288" w:lineRule="auto"/>
        <w:ind w:left="0"/>
        <w:jc w:val="left"/>
      </w:pPr>
      <w:r>
        <w:rPr>
          <w:rFonts w:eastAsia="等线" w:ascii="Arial" w:cs="Arial" w:hAnsi="Arial"/>
          <w:b w:val="true"/>
          <w:sz w:val="22"/>
        </w:rPr>
        <w:t>核心企业分润构成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核心企业总分润 = </w:t>
              <w:br/>
              <w:t xml:space="preserve">  推荐佣金 + </w:t>
              <w:br/>
              <w:t xml:space="preserve">  协同催收奖励 + </w:t>
              <w:br/>
              <w:t xml:space="preserve">  回购合作奖励 + </w:t>
              <w:br/>
              <w:t xml:space="preserve">  合作质量奖金</w:t>
              <w:br/>
              <w:br/>
              <w:t>1. 推荐佣金（基础分润）</w:t>
              <w:br/>
              <w:t xml:space="preserve">   = Σ(推荐经销商融资额 × 推荐佣金率)</w:t>
              <w:br/>
              <w:t xml:space="preserve">   </w:t>
              <w:br/>
              <w:t xml:space="preserve">   推荐佣金率：</w:t>
              <w:br/>
              <w:t xml:space="preserve">   - 推荐经销商首笔融资：0.1%</w:t>
              <w:br/>
              <w:t xml:space="preserve">   - 推荐经销商后续融资：0.05%</w:t>
              <w:br/>
              <w:t xml:space="preserve">   - 年度融资额≥500万：年度总额的0.5%</w:t>
              <w:br/>
              <w:br/>
              <w:t>2. 协同催收奖励</w:t>
              <w:br/>
              <w:t xml:space="preserve">   = Σ(协同催收成功金额 × 0.2%)</w:t>
              <w:br/>
              <w:t xml:space="preserve">   </w:t>
              <w:br/>
              <w:t xml:space="preserve">   触发条件：</w:t>
              <w:br/>
              <w:t xml:space="preserve">   - 逾期≥15天</w:t>
              <w:br/>
              <w:t xml:space="preserve">   - 核心企业协助催收</w:t>
              <w:br/>
              <w:t xml:space="preserve">   - 最终成功回款</w:t>
              <w:br/>
              <w:br/>
              <w:t>3. 回购合作奖励</w:t>
              <w:br/>
              <w:t xml:space="preserve">   = Σ(回购货值 × 1%)</w:t>
              <w:br/>
              <w:t xml:space="preserve">   </w:t>
              <w:br/>
              <w:t xml:space="preserve">   触发条件：</w:t>
              <w:br/>
              <w:t xml:space="preserve">   - 核心企业接受回购</w:t>
              <w:br/>
              <w:t xml:space="preserve">   - 完成货物交接和付款</w:t>
              <w:br/>
              <w:br/>
              <w:t>4. 合作质量奖金（季度结算）</w:t>
              <w:br/>
              <w:t xml:space="preserve">   = 基础分润 × 质量系数</w:t>
              <w:br/>
              <w:t xml:space="preserve">   </w:t>
              <w:br/>
              <w:t xml:space="preserve">   质量系数：</w:t>
              <w:br/>
              <w:t xml:space="preserve">   - S级核心企业：1.5倍</w:t>
              <w:br/>
              <w:t xml:space="preserve">   - A级核心企业：1.2倍</w:t>
              <w:br/>
              <w:t xml:space="preserve">   - B级核心企业：1.0倍</w:t>
              <w:br/>
            </w:r>
            <w:r>
              <w:rPr>
                <w:rFonts w:eastAsia="Consolas" w:ascii="Consolas" w:cs="Consolas" w:hAnsi="Consolas"/>
                <w:sz w:val="22"/>
              </w:rPr>
              <w:t xml:space="preserve">   - C级核心企业：0.8倍</w:t>
            </w:r>
          </w:p>
        </w:tc>
      </w:tr>
    </w:tbl>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155" w:id="155"/>
      <w:r>
        <w:rPr>
          <w:rFonts w:eastAsia="等线" w:ascii="Arial" w:cs="Arial" w:hAnsi="Arial"/>
          <w:color w:val="3370ff"/>
          <w:sz w:val="24"/>
        </w:rPr>
        <w:t xml:space="preserve">3.6.4.1.3 </w:t>
      </w:r>
      <w:r>
        <w:rPr>
          <w:rFonts w:eastAsia="等线" w:ascii="Arial" w:cs="Arial" w:hAnsi="Arial"/>
          <w:b w:val="true"/>
          <w:sz w:val="24"/>
        </w:rPr>
        <w:t>分润管理策略</w:t>
      </w:r>
      <w:bookmarkEnd w:id="155"/>
    </w:p>
    <w:p>
      <w:pPr>
        <w:spacing w:before="120" w:after="120" w:line="288" w:lineRule="auto"/>
        <w:ind w:left="0"/>
        <w:jc w:val="left"/>
      </w:pPr>
      <w:r>
        <w:rPr>
          <w:rFonts w:eastAsia="等线" w:ascii="Arial" w:cs="Arial" w:hAnsi="Arial"/>
          <w:b w:val="true"/>
          <w:sz w:val="22"/>
        </w:rPr>
        <w:t>策略1：分润与核心企业评级联动</w:t>
      </w:r>
    </w:p>
    <w:p>
      <w:pPr>
        <w:spacing w:before="120" w:after="120" w:line="288" w:lineRule="auto"/>
        <w:ind w:left="0"/>
        <w:jc w:val="left"/>
      </w:pPr>
      <w:r>
        <w:rPr>
          <w:rFonts w:eastAsia="等线" w:ascii="Arial" w:cs="Arial" w:hAnsi="Arial"/>
          <w:b w:val="true"/>
          <w:sz w:val="22"/>
        </w:rPr>
        <w:t>联动机制</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核心企业等级动态调整：</w:t>
              <w:br/>
              <w:br/>
              <w:t>每季度评估推荐质量得分</w:t>
              <w:br/>
              <w:t xml:space="preserve">  ↓</w:t>
              <w:br/>
              <w:t>质量得分变化 → 等级调整</w:t>
              <w:br/>
              <w:t xml:space="preserve">  ↓</w:t>
              <w:br/>
              <w:t>等级调整 → 质量系数变化</w:t>
              <w:br/>
              <w:t xml:space="preserve">  ↓</w:t>
              <w:br/>
            </w:r>
            <w:r>
              <w:rPr>
                <w:rFonts w:eastAsia="Consolas" w:ascii="Consolas" w:cs="Consolas" w:hAnsi="Consolas"/>
                <w:sz w:val="22"/>
              </w:rPr>
              <w:t>下季度分润自动按新系数计算</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w:t>
              <w:br/>
              <w:t>某核心企业从A级升至S级</w:t>
              <w:br/>
              <w:t xml:space="preserve">  质量系数：1.2 → 1.5</w:t>
              <w:br/>
              <w:t xml:space="preserve">  季度基础分润：100万</w:t>
              <w:br/>
              <w:t xml:space="preserve">  质量奖金：100×(1.5-1.0) = 50万</w:t>
              <w:br/>
              <w:t xml:space="preserve">  vs 原A级：100×(1.2-1.0) = 20万</w:t>
              <w:br/>
            </w:r>
            <w:r>
              <w:rPr>
                <w:rFonts w:eastAsia="等线" w:ascii="Arial" w:cs="Arial" w:hAnsi="Arial"/>
                <w:sz w:val="22"/>
              </w:rPr>
              <w:t xml:space="preserve">  增加30万奖金（+150%）</w:t>
            </w:r>
          </w:p>
        </w:tc>
      </w:tr>
    </w:tbl>
    <w:p>
      <w:pPr>
        <w:spacing w:before="120" w:after="120" w:line="288" w:lineRule="auto"/>
        <w:ind w:left="0"/>
        <w:jc w:val="left"/>
      </w:pPr>
      <w:r>
        <w:rPr>
          <w:rFonts w:eastAsia="等线" w:ascii="Arial" w:cs="Arial" w:hAnsi="Arial"/>
          <w:b w:val="true"/>
          <w:sz w:val="22"/>
        </w:rPr>
        <w:t>策略2：分润对账与争议处理机制</w:t>
      </w:r>
    </w:p>
    <w:p>
      <w:pPr>
        <w:spacing w:before="120" w:after="120" w:line="288" w:lineRule="auto"/>
        <w:ind w:left="0"/>
        <w:jc w:val="left"/>
      </w:pPr>
      <w:r>
        <w:rPr>
          <w:rFonts w:eastAsia="等线" w:ascii="Arial" w:cs="Arial" w:hAnsi="Arial"/>
          <w:b w:val="true"/>
          <w:sz w:val="22"/>
        </w:rPr>
        <w:t>对账流程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每月5日前：</w:t>
              <w:br/>
              <w:t xml:space="preserve">  系统自动生成分润明细</w:t>
              <w:br/>
              <w:t xml:space="preserve">  推送给核心企业确认</w:t>
              <w:br/>
              <w:t xml:space="preserve">  </w:t>
              <w:br/>
              <w:t>核心企业5个工作日内：</w:t>
              <w:br/>
              <w:t xml:space="preserve">  在线查看明细</w:t>
              <w:br/>
              <w:t xml:space="preserve">  确认无误 → 进入支付流程</w:t>
              <w:br/>
              <w:t xml:space="preserve">  提出异议 → 进入争议处理</w:t>
              <w:br/>
              <w:t xml:space="preserve">  </w:t>
              <w:br/>
              <w:t>争议处理：</w:t>
              <w:br/>
              <w:t xml:space="preserve">  提交异议说明和证据</w:t>
              <w:br/>
              <w:t xml:space="preserve">  → 平台财务核查（3个工作日）</w:t>
              <w:br/>
              <w:t xml:space="preserve">  → 确认错误：调整分润</w:t>
              <w:br/>
              <w:t xml:space="preserve">  → 无误：说明情况，协商解决</w:t>
              <w:br/>
            </w:r>
            <w:r>
              <w:rPr>
                <w:rFonts w:eastAsia="Consolas" w:ascii="Consolas" w:cs="Consolas" w:hAnsi="Consolas"/>
                <w:sz w:val="22"/>
              </w:rPr>
              <w:t xml:space="preserve">  → 双方确认：进入支付流程</w:t>
            </w:r>
          </w:p>
        </w:tc>
      </w:tr>
    </w:tbl>
    <w:p>
      <w:pPr>
        <w:spacing w:before="120" w:after="120" w:line="288" w:lineRule="auto"/>
        <w:ind w:left="0"/>
        <w:jc w:val="left"/>
      </w:pPr>
      <w:r>
        <w:rPr>
          <w:rFonts w:eastAsia="等线" w:ascii="Arial" w:cs="Arial" w:hAnsi="Arial"/>
          <w:b w:val="true"/>
          <w:sz w:val="22"/>
        </w:rPr>
        <w:t>策略3：分润透明化管理制度</w:t>
      </w:r>
    </w:p>
    <w:p>
      <w:pPr>
        <w:spacing w:before="120" w:after="120" w:line="288" w:lineRule="auto"/>
        <w:ind w:left="0"/>
        <w:jc w:val="left"/>
      </w:pPr>
      <w:r>
        <w:rPr>
          <w:rFonts w:eastAsia="等线" w:ascii="Arial" w:cs="Arial" w:hAnsi="Arial"/>
          <w:b w:val="true"/>
          <w:sz w:val="22"/>
        </w:rPr>
        <w:t>透明化措施</w:t>
      </w:r>
      <w:r>
        <w:rPr>
          <w:rFonts w:eastAsia="等线" w:ascii="Arial" w:cs="Arial" w:hAnsi="Arial"/>
          <w:sz w:val="22"/>
        </w:rPr>
        <w:t>：</w:t>
      </w:r>
    </w:p>
    <w:p>
      <w:pPr>
        <w:spacing w:before="120" w:after="120" w:line="288" w:lineRule="auto"/>
        <w:ind w:left="0"/>
      </w:pPr>
      <w:r>
        <w:object>
          <v:shape id="_x0000_i1107" style="width:414pt;height:197pt;mso-width-percent:0;mso-height-percent:0;mso-width-percent:0;mso-height-percent:0" type="#_x0000_t75" o:ole="">
            <v:imagedata r:id="rId189" o:title=""/>
          </v:shape>
          <o:OLEObject DrawAspect="Icon" ObjectID="_1718471301" ProgID="Excel.Sheet.12" ShapeID="_x0000_i1107" Type="Embed" r:id="rId188"/>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56" w:id="156"/>
      <w:r>
        <w:rPr>
          <w:rFonts w:eastAsia="等线" w:ascii="Arial" w:cs="Arial" w:hAnsi="Arial"/>
          <w:color w:val="3370ff"/>
          <w:sz w:val="28"/>
        </w:rPr>
        <w:t xml:space="preserve">3.6.4.2 </w:t>
      </w:r>
      <w:r>
        <w:rPr>
          <w:rFonts w:eastAsia="等线" w:ascii="Arial" w:cs="Arial" w:hAnsi="Arial"/>
          <w:b w:val="true"/>
          <w:sz w:val="28"/>
        </w:rPr>
        <w:t>盈利分析报表（决策支持）</w:t>
      </w:r>
      <w:bookmarkEnd w:id="156"/>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：为决策层提供多维度收入分析，支持定价策略优化</w:t>
      </w:r>
    </w:p>
    <w:p>
      <w:pPr>
        <w:spacing w:before="120" w:after="120" w:line="288" w:lineRule="auto"/>
        <w:ind w:left="0"/>
        <w:jc w:val="left"/>
      </w:pPr>
      <w:r>
        <w:rPr>
          <w:rFonts w:eastAsia="等线" w:ascii="Arial" w:cs="Arial" w:hAnsi="Arial"/>
          <w:b w:val="true"/>
          <w:sz w:val="22"/>
        </w:rPr>
        <w:t>关键功能</w:t>
      </w:r>
    </w:p>
    <w:p>
      <w:pPr>
        <w:numPr>
          <w:numId w:val="824"/>
        </w:numPr>
        <w:spacing w:before="120" w:after="120" w:line="288" w:lineRule="auto"/>
        <w:ind w:left="0"/>
        <w:jc w:val="left"/>
      </w:pPr>
      <w:r>
        <w:rPr>
          <w:rFonts w:eastAsia="等线" w:ascii="Arial" w:cs="Arial" w:hAnsi="Arial"/>
          <w:sz w:val="22"/>
        </w:rPr>
        <w:t>服务费收入分析（按客户等级、品类、期限、区域）</w:t>
      </w:r>
    </w:p>
    <w:p>
      <w:pPr>
        <w:numPr>
          <w:numId w:val="825"/>
        </w:numPr>
        <w:spacing w:before="120" w:after="120" w:line="288" w:lineRule="auto"/>
        <w:ind w:left="0"/>
        <w:jc w:val="left"/>
      </w:pPr>
      <w:r>
        <w:rPr>
          <w:rFonts w:eastAsia="等线" w:ascii="Arial" w:cs="Arial" w:hAnsi="Arial"/>
          <w:sz w:val="22"/>
        </w:rPr>
        <w:t>分润支出分析（按核心企业、分润类型）</w:t>
      </w:r>
    </w:p>
    <w:p>
      <w:pPr>
        <w:numPr>
          <w:numId w:val="826"/>
        </w:numPr>
        <w:spacing w:before="120" w:after="120" w:line="288" w:lineRule="auto"/>
        <w:ind w:left="0"/>
        <w:jc w:val="left"/>
      </w:pPr>
      <w:r>
        <w:rPr>
          <w:rFonts w:eastAsia="等线" w:ascii="Arial" w:cs="Arial" w:hAnsi="Arial"/>
          <w:sz w:val="22"/>
        </w:rPr>
        <w:t>净收益分析（服务费收入 - 分润支出 - 运营成本）</w:t>
      </w:r>
    </w:p>
    <w:p>
      <w:pPr>
        <w:numPr>
          <w:numId w:val="827"/>
        </w:numPr>
        <w:spacing w:before="120" w:after="120" w:line="288" w:lineRule="auto"/>
        <w:ind w:left="0"/>
        <w:jc w:val="left"/>
      </w:pPr>
      <w:r>
        <w:rPr>
          <w:rFonts w:eastAsia="等线" w:ascii="Arial" w:cs="Arial" w:hAnsi="Arial"/>
          <w:sz w:val="22"/>
        </w:rPr>
        <w:t>核心企业激励效果分析（分润与推荐量、协同率、回购率的关联）</w:t>
      </w:r>
    </w:p>
    <w:p>
      <w:pPr>
        <w:spacing w:before="120" w:after="120" w:line="288" w:lineRule="auto"/>
        <w:ind w:left="0"/>
        <w:jc w:val="left"/>
      </w:pPr>
      <w:r>
        <w:rPr>
          <w:rFonts w:eastAsia="等线" w:ascii="Arial" w:cs="Arial" w:hAnsi="Arial"/>
          <w:b w:val="true"/>
          <w:sz w:val="22"/>
        </w:rPr>
        <w:t>分析维度示例</w:t>
      </w:r>
    </w:p>
    <w:p>
      <w:pPr>
        <w:spacing w:before="120" w:after="120" w:line="288" w:lineRule="auto"/>
        <w:ind w:left="0"/>
      </w:pPr>
      <w:r>
        <w:object>
          <v:shape id="_x0000_i1108" style="width:414pt;height:155pt;mso-width-percent:0;mso-height-percent:0;mso-width-percent:0;mso-height-percent:0" type="#_x0000_t75" o:ole="">
            <v:imagedata r:id="rId191" o:title=""/>
          </v:shape>
          <o:OLEObject DrawAspect="Icon" ObjectID="_1718471302" ProgID="Excel.Sheet.12" ShapeID="_x0000_i1108" Type="Embed" r:id="rId190"/>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7" w:id="157"/>
      <w:r>
        <w:rPr>
          <w:rFonts w:eastAsia="等线" w:ascii="Arial" w:cs="Arial" w:hAnsi="Arial"/>
          <w:color w:val="3370ff"/>
          <w:sz w:val="30"/>
        </w:rPr>
        <w:t xml:space="preserve">3.6.5 </w:t>
      </w:r>
      <w:r>
        <w:rPr>
          <w:rFonts w:eastAsia="等线" w:ascii="Arial" w:cs="Arial" w:hAnsi="Arial"/>
          <w:b w:val="true"/>
          <w:sz w:val="30"/>
        </w:rPr>
        <w:t>其他结算管理功能</w:t>
      </w:r>
      <w:r>
        <w:rPr>
          <w:rFonts w:eastAsia="等线" w:ascii="Arial" w:cs="Arial" w:hAnsi="Arial"/>
          <w:b w:val="true"/>
          <w:sz w:val="30"/>
        </w:rPr>
        <w:t>（基础功能简述）</w:t>
      </w:r>
      <w:bookmarkEnd w:id="157"/>
    </w:p>
    <w:p>
      <w:pPr>
        <w:pStyle w:val="4"/>
        <w:spacing w:before="260" w:after="120" w:line="288" w:lineRule="auto"/>
        <w:ind w:left="0"/>
        <w:jc w:val="left"/>
        <w:outlineLvl w:val="3"/>
      </w:pPr>
      <w:bookmarkStart w:name="heading_158" w:id="158"/>
      <w:r>
        <w:rPr>
          <w:rFonts w:eastAsia="等线" w:ascii="Arial" w:cs="Arial" w:hAnsi="Arial"/>
          <w:color w:val="3370ff"/>
          <w:sz w:val="28"/>
        </w:rPr>
        <w:t xml:space="preserve">3.6.5.1 </w:t>
      </w:r>
      <w:r>
        <w:rPr>
          <w:rFonts w:eastAsia="等线" w:ascii="Arial" w:cs="Arial" w:hAnsi="Arial"/>
          <w:b w:val="true"/>
          <w:sz w:val="28"/>
        </w:rPr>
        <w:t>服务费配置</w:t>
      </w:r>
      <w:bookmarkEnd w:id="158"/>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：灵活配置服务费规则，支持差异化定价</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828"/>
        </w:numPr>
        <w:spacing w:before="120" w:after="120" w:line="288" w:lineRule="auto"/>
        <w:ind w:left="0"/>
        <w:jc w:val="left"/>
      </w:pPr>
      <w:r>
        <w:rPr>
          <w:rFonts w:eastAsia="等线" w:ascii="Arial" w:cs="Arial" w:hAnsi="Arial"/>
          <w:sz w:val="22"/>
        </w:rPr>
        <w:t>多种计费模式（按融资金额比例、按天计息、固定费用）</w:t>
      </w:r>
    </w:p>
    <w:p>
      <w:pPr>
        <w:numPr>
          <w:numId w:val="829"/>
        </w:numPr>
        <w:spacing w:before="120" w:after="120" w:line="288" w:lineRule="auto"/>
        <w:ind w:left="0"/>
        <w:jc w:val="left"/>
      </w:pPr>
      <w:r>
        <w:rPr>
          <w:rFonts w:eastAsia="等线" w:ascii="Arial" w:cs="Arial" w:hAnsi="Arial"/>
          <w:sz w:val="22"/>
        </w:rPr>
        <w:t>差异化定价（按客户等级、融资期限、品类）</w:t>
      </w:r>
    </w:p>
    <w:p>
      <w:pPr>
        <w:numPr>
          <w:numId w:val="830"/>
        </w:numPr>
        <w:spacing w:before="120" w:after="120" w:line="288" w:lineRule="auto"/>
        <w:ind w:left="0"/>
        <w:jc w:val="left"/>
      </w:pPr>
      <w:r>
        <w:rPr>
          <w:rFonts w:eastAsia="等线" w:ascii="Arial" w:cs="Arial" w:hAnsi="Arial"/>
          <w:sz w:val="22"/>
        </w:rPr>
        <w:t>费率版本管理（历史费率查询）</w:t>
      </w:r>
    </w:p>
    <w:p>
      <w:pPr>
        <w:spacing w:before="120" w:after="120" w:line="288" w:lineRule="auto"/>
        <w:ind w:left="0"/>
        <w:jc w:val="left"/>
      </w:pPr>
      <w:r>
        <w:rPr>
          <w:rFonts w:eastAsia="等线" w:ascii="Arial" w:cs="Arial" w:hAnsi="Arial"/>
          <w:b w:val="true"/>
          <w:sz w:val="22"/>
        </w:rPr>
        <w:t>计费模式示例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模式1：按融资金额比例</w:t>
              <w:br/>
              <w:t xml:space="preserve">  服务费 = 融资金额 × 服务费率 × (融资天数/360)</w:t>
              <w:br/>
              <w:t xml:space="preserve">  </w:t>
              <w:br/>
              <w:t xml:space="preserve">  差异化费率：</w:t>
              <w:br/>
              <w:t xml:space="preserve">  A级客户：年化3%</w:t>
              <w:br/>
              <w:t xml:space="preserve">  B级客户：年化4%</w:t>
              <w:br/>
              <w:t xml:space="preserve">  C级客户：年化5%</w:t>
              <w:br/>
              <w:br/>
              <w:t>模式2：分段计费</w:t>
              <w:br/>
              <w:t xml:space="preserve">  ≤50万：3.5%</w:t>
              <w:br/>
              <w:t xml:space="preserve">  50-100万：3%</w:t>
              <w:br/>
            </w:r>
            <w:r>
              <w:rPr>
                <w:rFonts w:eastAsia="Consolas" w:ascii="Consolas" w:cs="Consolas" w:hAnsi="Consolas"/>
                <w:sz w:val="22"/>
              </w:rPr>
              <w:t xml:space="preserve">  &gt;100万：2.5%</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59" w:id="159"/>
      <w:r>
        <w:rPr>
          <w:rFonts w:eastAsia="等线" w:ascii="Arial" w:cs="Arial" w:hAnsi="Arial"/>
          <w:color w:val="3370ff"/>
          <w:sz w:val="28"/>
        </w:rPr>
        <w:t xml:space="preserve">3.6.5.2 </w:t>
      </w:r>
      <w:r>
        <w:rPr>
          <w:rFonts w:eastAsia="等线" w:ascii="Arial" w:cs="Arial" w:hAnsi="Arial"/>
          <w:b w:val="true"/>
          <w:sz w:val="28"/>
        </w:rPr>
        <w:t>账单管理</w:t>
      </w:r>
      <w:bookmarkEnd w:id="159"/>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：自动生成标准化账单，提升效率</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831"/>
        </w:numPr>
        <w:spacing w:before="120" w:after="120" w:line="288" w:lineRule="auto"/>
        <w:ind w:left="0"/>
        <w:jc w:val="left"/>
      </w:pPr>
      <w:r>
        <w:rPr>
          <w:rFonts w:eastAsia="等线" w:ascii="Arial" w:cs="Arial" w:hAnsi="Arial"/>
          <w:sz w:val="22"/>
        </w:rPr>
        <w:t>账单自动生成（融资完成后自动生成）</w:t>
      </w:r>
    </w:p>
    <w:p>
      <w:pPr>
        <w:numPr>
          <w:numId w:val="832"/>
        </w:numPr>
        <w:spacing w:before="120" w:after="120" w:line="288" w:lineRule="auto"/>
        <w:ind w:left="0"/>
        <w:jc w:val="left"/>
      </w:pPr>
      <w:r>
        <w:rPr>
          <w:rFonts w:eastAsia="等线" w:ascii="Arial" w:cs="Arial" w:hAnsi="Arial"/>
          <w:sz w:val="22"/>
        </w:rPr>
        <w:t>标准化模板（PDF格式，包含所有必要信息）</w:t>
      </w:r>
    </w:p>
    <w:p>
      <w:pPr>
        <w:numPr>
          <w:numId w:val="833"/>
        </w:numPr>
        <w:spacing w:before="120" w:after="120" w:line="288" w:lineRule="auto"/>
        <w:ind w:left="0"/>
        <w:jc w:val="left"/>
      </w:pPr>
      <w:r>
        <w:rPr>
          <w:rFonts w:eastAsia="等线" w:ascii="Arial" w:cs="Arial" w:hAnsi="Arial"/>
          <w:sz w:val="22"/>
        </w:rPr>
        <w:t>账单发送（邮件/短信通知）</w:t>
      </w:r>
    </w:p>
    <w:p>
      <w:pPr>
        <w:numPr>
          <w:numId w:val="834"/>
        </w:numPr>
        <w:spacing w:before="120" w:after="120" w:line="288" w:lineRule="auto"/>
        <w:ind w:left="0"/>
        <w:jc w:val="left"/>
      </w:pPr>
      <w:r>
        <w:rPr>
          <w:rFonts w:eastAsia="等线" w:ascii="Arial" w:cs="Arial" w:hAnsi="Arial"/>
          <w:sz w:val="22"/>
        </w:rPr>
        <w:t>账单状态管理（未付/已付/逾期）</w:t>
      </w:r>
    </w:p>
    <w:p>
      <w:pPr>
        <w:spacing w:before="120" w:after="120" w:line="288" w:lineRule="auto"/>
        <w:ind w:left="0"/>
        <w:jc w:val="left"/>
      </w:pPr>
      <w:r>
        <w:rPr>
          <w:rFonts w:eastAsia="等线" w:ascii="Arial" w:cs="Arial" w:hAnsi="Arial"/>
          <w:b w:val="true"/>
          <w:sz w:val="22"/>
        </w:rPr>
        <w:t>自动生成规则</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融资业务完成</w:t>
              <w:br/>
              <w:t xml:space="preserve">  ↓</w:t>
              <w:br/>
              <w:t>系统自动计算服务费</w:t>
              <w:br/>
              <w:t xml:space="preserve">  ↓</w:t>
              <w:br/>
              <w:t>生成账单（唯一编号）</w:t>
              <w:br/>
              <w:t xml:space="preserve">  ↓</w:t>
              <w:br/>
              <w:t>发送给企业</w:t>
              <w:br/>
              <w:t xml:space="preserve">  ↓</w:t>
              <w:br/>
              <w:t>企业查看并付款</w:t>
              <w:br/>
              <w:t xml:space="preserve">  ↓</w:t>
              <w:br/>
            </w:r>
            <w:r>
              <w:rPr>
                <w:rFonts w:eastAsia="Consolas" w:ascii="Consolas" w:cs="Consolas" w:hAnsi="Consolas"/>
                <w:sz w:val="22"/>
              </w:rPr>
              <w:t>系统记录付款状态</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60" w:id="160"/>
      <w:r>
        <w:rPr>
          <w:rFonts w:eastAsia="等线" w:ascii="Arial" w:cs="Arial" w:hAnsi="Arial"/>
          <w:color w:val="3370ff"/>
          <w:sz w:val="28"/>
        </w:rPr>
        <w:t xml:space="preserve">3.6.5.3 </w:t>
      </w:r>
      <w:r>
        <w:rPr>
          <w:rFonts w:eastAsia="等线" w:ascii="Arial" w:cs="Arial" w:hAnsi="Arial"/>
          <w:b w:val="true"/>
          <w:sz w:val="28"/>
        </w:rPr>
        <w:t>收款确认</w:t>
      </w:r>
      <w:bookmarkEnd w:id="160"/>
    </w:p>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：自动对账，减少人工工作</w:t>
      </w:r>
    </w:p>
    <w:p>
      <w:pPr>
        <w:spacing w:before="120" w:after="120" w:line="288" w:lineRule="auto"/>
        <w:ind w:left="0"/>
        <w:jc w:val="left"/>
      </w:pPr>
      <w:r>
        <w:rPr>
          <w:rFonts w:eastAsia="等线" w:ascii="Arial" w:cs="Arial" w:hAnsi="Arial"/>
          <w:b w:val="true"/>
          <w:sz w:val="22"/>
        </w:rPr>
        <w:t>关键功能</w:t>
      </w:r>
      <w:r>
        <w:rPr>
          <w:rFonts w:eastAsia="等线" w:ascii="Arial" w:cs="Arial" w:hAnsi="Arial"/>
          <w:sz w:val="22"/>
        </w:rPr>
        <w:t>：</w:t>
      </w:r>
    </w:p>
    <w:p>
      <w:pPr>
        <w:numPr>
          <w:numId w:val="835"/>
        </w:numPr>
        <w:spacing w:before="120" w:after="120" w:line="288" w:lineRule="auto"/>
        <w:ind w:left="0"/>
        <w:jc w:val="left"/>
      </w:pPr>
      <w:r>
        <w:rPr>
          <w:rFonts w:eastAsia="等线" w:ascii="Arial" w:cs="Arial" w:hAnsi="Arial"/>
          <w:sz w:val="22"/>
        </w:rPr>
        <w:t>收款登记（手工录入或银行流水导入）</w:t>
      </w:r>
    </w:p>
    <w:p>
      <w:pPr>
        <w:numPr>
          <w:numId w:val="836"/>
        </w:numPr>
        <w:spacing w:before="120" w:after="120" w:line="288" w:lineRule="auto"/>
        <w:ind w:left="0"/>
        <w:jc w:val="left"/>
      </w:pPr>
      <w:r>
        <w:rPr>
          <w:rFonts w:eastAsia="等线" w:ascii="Arial" w:cs="Arial" w:hAnsi="Arial"/>
          <w:sz w:val="22"/>
        </w:rPr>
        <w:t>自动匹配账单（按金额、客户匹配）</w:t>
      </w:r>
    </w:p>
    <w:p>
      <w:pPr>
        <w:numPr>
          <w:numId w:val="837"/>
        </w:numPr>
        <w:spacing w:before="120" w:after="120" w:line="288" w:lineRule="auto"/>
        <w:ind w:left="0"/>
        <w:jc w:val="left"/>
      </w:pPr>
      <w:r>
        <w:rPr>
          <w:rFonts w:eastAsia="等线" w:ascii="Arial" w:cs="Arial" w:hAnsi="Arial"/>
          <w:sz w:val="22"/>
        </w:rPr>
        <w:t>差异处理（金额不符、多付/少付）</w:t>
      </w:r>
    </w:p>
    <w:p>
      <w:pPr>
        <w:numPr>
          <w:numId w:val="838"/>
        </w:numPr>
        <w:spacing w:before="120" w:after="120" w:line="288" w:lineRule="auto"/>
        <w:ind w:left="0"/>
        <w:jc w:val="left"/>
      </w:pPr>
      <w:r>
        <w:rPr>
          <w:rFonts w:eastAsia="等线" w:ascii="Arial" w:cs="Arial" w:hAnsi="Arial"/>
          <w:sz w:val="22"/>
        </w:rPr>
        <w:t>收款统计（应收/实收/未收）</w:t>
      </w:r>
    </w:p>
    <w:p>
      <w:pPr>
        <w:spacing w:before="120" w:after="120" w:line="288" w:lineRule="auto"/>
        <w:ind w:left="0"/>
        <w:jc w:val="left"/>
      </w:pPr>
      <w:r>
        <w:rPr>
          <w:rFonts w:eastAsia="等线" w:ascii="Arial" w:cs="Arial" w:hAnsi="Arial"/>
          <w:b w:val="true"/>
          <w:sz w:val="22"/>
        </w:rPr>
        <w:t>自动对账规则</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导入银行流水</w:t>
              <w:br/>
              <w:t xml:space="preserve">  ↓</w:t>
              <w:br/>
              <w:t>系统自动识别：</w:t>
              <w:br/>
              <w:t xml:space="preserve">  - 付款方</w:t>
              <w:br/>
              <w:t xml:space="preserve">  - 金额</w:t>
              <w:br/>
              <w:t xml:space="preserve">  - 时间</w:t>
              <w:br/>
              <w:t xml:space="preserve">  ↓</w:t>
              <w:br/>
              <w:t>匹配待收款账单：</w:t>
              <w:br/>
              <w:t xml:space="preserve">  - 精确匹配（金额完全一致）</w:t>
              <w:br/>
              <w:t xml:space="preserve">  - 模糊匹配（金额相近，±5%）</w:t>
              <w:br/>
              <w:t xml:space="preserve">  ↓</w:t>
              <w:br/>
              <w:t>自动更新账单状态</w:t>
              <w:br/>
              <w:t xml:space="preserve">  ↓</w:t>
              <w:br/>
            </w:r>
            <w:r>
              <w:rPr>
                <w:rFonts w:eastAsia="Consolas" w:ascii="Consolas" w:cs="Consolas" w:hAnsi="Consolas"/>
                <w:sz w:val="22"/>
              </w:rPr>
              <w:t>无法匹配 → 人工确认</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61" w:id="161"/>
      <w:r>
        <w:rPr>
          <w:rFonts w:eastAsia="等线" w:ascii="Arial" w:cs="Arial" w:hAnsi="Arial"/>
          <w:color w:val="3370ff"/>
          <w:sz w:val="28"/>
        </w:rPr>
        <w:t xml:space="preserve">3.6.5.4 </w:t>
      </w:r>
      <w:r>
        <w:rPr>
          <w:rFonts w:eastAsia="等线" w:ascii="Arial" w:cs="Arial" w:hAnsi="Arial"/>
          <w:b w:val="true"/>
          <w:sz w:val="28"/>
        </w:rPr>
        <w:t>账单催缴管理</w:t>
      </w:r>
      <w:bookmarkEnd w:id="161"/>
    </w:p>
    <w:p>
      <w:pPr>
        <w:spacing w:before="120" w:after="120" w:line="288" w:lineRule="auto"/>
        <w:ind w:left="0"/>
        <w:jc w:val="left"/>
      </w:pPr>
      <w:r>
        <w:rPr>
          <w:rFonts w:eastAsia="等线" w:ascii="Arial" w:cs="Arial" w:hAnsi="Arial"/>
          <w:sz w:val="22"/>
        </w:rPr>
        <w:t>依据《账单催缴管理制度》，建立分级催缴机制：</w:t>
      </w:r>
    </w:p>
    <w:p>
      <w:pPr>
        <w:spacing w:before="120" w:after="120" w:line="288" w:lineRule="auto"/>
        <w:ind w:left="0"/>
        <w:jc w:val="left"/>
      </w:pPr>
      <w:r>
        <w:rPr>
          <w:rFonts w:eastAsia="等线" w:ascii="Arial" w:cs="Arial" w:hAnsi="Arial"/>
          <w:b w:val="true"/>
          <w:sz w:val="22"/>
        </w:rPr>
        <w:t>催缴流程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账单到期前7天：</w:t>
              <w:br/>
              <w:t xml:space="preserve">  → 系统自动发送提醒（短信+邮件）</w:t>
              <w:br/>
              <w:t xml:space="preserve">  </w:t>
              <w:br/>
              <w:t>账单到期前3天：</w:t>
              <w:br/>
              <w:t xml:space="preserve">  → 再次提醒 + 推送给客户经理</w:t>
              <w:br/>
              <w:t xml:space="preserve">  </w:t>
              <w:br/>
              <w:t>账单到期当天：</w:t>
              <w:br/>
              <w:t xml:space="preserve">  → 未付款标记"逾期"</w:t>
              <w:br/>
              <w:t xml:space="preserve">  → 生成催缴任务推送给财务</w:t>
              <w:br/>
              <w:t xml:space="preserve">  </w:t>
              <w:br/>
              <w:t>逾期7天：</w:t>
              <w:br/>
              <w:t xml:space="preserve">  → 升级催缴（客户经理电话跟进）</w:t>
              <w:br/>
              <w:t xml:space="preserve">  → 考虑暂停新增融资</w:t>
              <w:br/>
              <w:t xml:space="preserve">  </w:t>
              <w:br/>
              <w:t>逾期15天：</w:t>
              <w:br/>
              <w:t xml:space="preserve">  → 财务经理介入</w:t>
              <w:br/>
            </w:r>
            <w:r>
              <w:rPr>
                <w:rFonts w:eastAsia="Consolas" w:ascii="Consolas" w:cs="Consolas" w:hAnsi="Consolas"/>
                <w:sz w:val="22"/>
              </w:rPr>
              <w:t xml:space="preserve">  → 评估是否影响客户等级</w:t>
            </w:r>
          </w:p>
        </w:tc>
      </w:tr>
    </w:tbl>
    <w:p>
      <w:pPr>
        <w:spacing w:before="120" w:after="120" w:line="288" w:lineRule="auto"/>
        <w:ind w:left="0"/>
        <w:jc w:val="left"/>
      </w:pPr>
      <w:r>
        <w:rPr>
          <w:rFonts w:eastAsia="等线" w:ascii="Arial" w:cs="Arial" w:hAnsi="Arial"/>
          <w:b w:val="true"/>
          <w:sz w:val="22"/>
        </w:rPr>
        <w:t>催缴效果跟踪</w:t>
      </w:r>
    </w:p>
    <w:p>
      <w:pPr>
        <w:numPr>
          <w:numId w:val="839"/>
        </w:numPr>
        <w:spacing w:before="120" w:after="120" w:line="288" w:lineRule="auto"/>
        <w:ind w:left="0"/>
        <w:jc w:val="left"/>
      </w:pPr>
      <w:r>
        <w:rPr>
          <w:rFonts w:eastAsia="等线" w:ascii="Arial" w:cs="Arial" w:hAnsi="Arial"/>
          <w:sz w:val="22"/>
        </w:rPr>
        <w:t>催缴响应率：客户收到催缴后的响应比例</w:t>
      </w:r>
    </w:p>
    <w:p>
      <w:pPr>
        <w:numPr>
          <w:numId w:val="840"/>
        </w:numPr>
        <w:spacing w:before="120" w:after="120" w:line="288" w:lineRule="auto"/>
        <w:ind w:left="0"/>
        <w:jc w:val="left"/>
      </w:pPr>
      <w:r>
        <w:rPr>
          <w:rFonts w:eastAsia="等线" w:ascii="Arial" w:cs="Arial" w:hAnsi="Arial"/>
          <w:sz w:val="22"/>
        </w:rPr>
        <w:t>平均回款周期：从账单生成到收款的天数</w:t>
      </w:r>
    </w:p>
    <w:p>
      <w:pPr>
        <w:numPr>
          <w:numId w:val="841"/>
        </w:numPr>
        <w:spacing w:before="120" w:after="120" w:line="288" w:lineRule="auto"/>
        <w:ind w:left="0"/>
        <w:jc w:val="left"/>
      </w:pPr>
      <w:r>
        <w:rPr>
          <w:rFonts w:eastAsia="等线" w:ascii="Arial" w:cs="Arial" w:hAnsi="Arial"/>
          <w:sz w:val="22"/>
        </w:rPr>
        <w:t>逾期账单占比：逾期账单金额/总账单金额</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2" w:id="162"/>
      <w:r>
        <w:rPr>
          <w:rFonts w:eastAsia="等线" w:ascii="Arial" w:cs="Arial" w:hAnsi="Arial"/>
          <w:color w:val="3370ff"/>
          <w:sz w:val="30"/>
        </w:rPr>
        <w:t xml:space="preserve">3.6.6 </w:t>
      </w:r>
      <w:r>
        <w:rPr>
          <w:rFonts w:eastAsia="等线" w:ascii="Arial" w:cs="Arial" w:hAnsi="Arial"/>
          <w:b w:val="true"/>
          <w:sz w:val="30"/>
        </w:rPr>
        <w:t>上线效果</w:t>
      </w:r>
      <w:bookmarkEnd w:id="162"/>
    </w:p>
    <w:p>
      <w:pPr>
        <w:spacing w:before="120" w:after="120" w:line="288" w:lineRule="auto"/>
        <w:ind w:left="0"/>
        <w:jc w:val="left"/>
      </w:pPr>
      <w:r>
        <w:rPr>
          <w:rFonts w:eastAsia="等线" w:ascii="Arial" w:cs="Arial" w:hAnsi="Arial"/>
          <w:b w:val="true"/>
          <w:sz w:val="22"/>
        </w:rPr>
        <w:t>核心数据</w:t>
      </w:r>
    </w:p>
    <w:p>
      <w:pPr>
        <w:spacing w:before="120" w:after="120" w:line="288" w:lineRule="auto"/>
        <w:ind w:left="0"/>
      </w:pPr>
      <w:r>
        <w:object>
          <v:shape id="_x0000_i1109" style="width:414pt;height:147pt;mso-width-percent:0;mso-height-percent:0;mso-width-percent:0;mso-height-percent:0" type="#_x0000_t75" o:ole="">
            <v:imagedata r:id="rId193" o:title=""/>
          </v:shape>
          <o:OLEObject DrawAspect="Icon" ObjectID="_1718471303" ProgID="Excel.Sheet.12" ShapeID="_x0000_i1109" Type="Embed" r:id="rId19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color w:val="d83931"/>
          <w:sz w:val="22"/>
          <w:shd w:fill="fff67a"/>
        </w:rPr>
        <w:t>KPI达成情况</w:t>
      </w:r>
    </w:p>
    <w:p>
      <w:pPr>
        <w:spacing w:before="120" w:after="120" w:line="288" w:lineRule="auto"/>
        <w:ind w:left="0"/>
      </w:pPr>
      <w:r>
        <w:object>
          <v:shape id="_x0000_i1110" style="width:414pt;height:128pt;mso-width-percent:0;mso-height-percent:0;mso-width-percent:0;mso-height-percent:0" type="#_x0000_t75" o:ole="">
            <v:imagedata r:id="rId195" o:title=""/>
          </v:shape>
          <o:OLEObject DrawAspect="Icon" ObjectID="_1718471304" ProgID="Excel.Sheet.12" ShapeID="_x0000_i1110" Type="Embed" r:id="rId19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财务效率提升</w:t>
      </w:r>
    </w:p>
    <w:p>
      <w:pPr>
        <w:spacing w:before="120" w:after="120" w:line="288" w:lineRule="auto"/>
        <w:ind w:left="0"/>
        <w:jc w:val="left"/>
      </w:pPr>
      <w:r>
        <w:rPr>
          <w:rFonts w:eastAsia="等线" w:ascii="Arial" w:cs="Arial" w:hAnsi="Arial"/>
          <w:b w:val="true"/>
          <w:sz w:val="22"/>
        </w:rPr>
        <w:t>人力成本节省</w:t>
      </w:r>
      <w:r>
        <w:rPr>
          <w:rFonts w:eastAsia="等线" w:ascii="Arial" w:cs="Arial" w:hAnsi="Arial"/>
          <w:sz w:val="22"/>
        </w:rPr>
        <w:t>：</w:t>
      </w:r>
    </w:p>
    <w:p>
      <w:pPr>
        <w:numPr>
          <w:numId w:val="842"/>
        </w:numPr>
        <w:spacing w:before="120" w:after="120" w:line="288" w:lineRule="auto"/>
        <w:ind w:left="0"/>
        <w:jc w:val="left"/>
      </w:pPr>
      <w:r>
        <w:rPr>
          <w:rFonts w:eastAsia="等线" w:ascii="Arial" w:cs="Arial" w:hAnsi="Arial"/>
          <w:sz w:val="22"/>
        </w:rPr>
        <w:t>财务结算人员：从3人减至1人</w:t>
      </w:r>
    </w:p>
    <w:p>
      <w:pPr>
        <w:numPr>
          <w:numId w:val="843"/>
        </w:numPr>
        <w:spacing w:before="120" w:after="120" w:line="288" w:lineRule="auto"/>
        <w:ind w:left="0"/>
        <w:jc w:val="left"/>
      </w:pPr>
      <w:r>
        <w:rPr>
          <w:rFonts w:eastAsia="等线" w:ascii="Arial" w:cs="Arial" w:hAnsi="Arial"/>
          <w:sz w:val="22"/>
        </w:rPr>
        <w:t>人均处理账单：从10笔/天提升至50笔/天</w:t>
      </w:r>
    </w:p>
    <w:p>
      <w:pPr>
        <w:numPr>
          <w:numId w:val="844"/>
        </w:numPr>
        <w:spacing w:before="120" w:after="120" w:line="288" w:lineRule="auto"/>
        <w:ind w:left="0"/>
        <w:jc w:val="left"/>
      </w:pPr>
      <w:r>
        <w:rPr>
          <w:rFonts w:eastAsia="等线" w:ascii="Arial" w:cs="Arial" w:hAnsi="Arial"/>
          <w:sz w:val="22"/>
        </w:rPr>
        <w:t>年节省人力成本：约40万元</w:t>
      </w:r>
    </w:p>
    <w:p>
      <w:pPr>
        <w:spacing w:before="120" w:after="120" w:line="288" w:lineRule="auto"/>
        <w:ind w:left="0"/>
        <w:jc w:val="left"/>
      </w:pPr>
      <w:r>
        <w:rPr>
          <w:rFonts w:eastAsia="等线" w:ascii="Arial" w:cs="Arial" w:hAnsi="Arial"/>
          <w:b w:val="true"/>
          <w:sz w:val="22"/>
        </w:rPr>
        <w:t>账期优化</w:t>
      </w:r>
      <w:r>
        <w:rPr>
          <w:rFonts w:eastAsia="等线" w:ascii="Arial" w:cs="Arial" w:hAnsi="Arial"/>
          <w:sz w:val="22"/>
        </w:rPr>
        <w:t>：</w:t>
      </w:r>
    </w:p>
    <w:p>
      <w:pPr>
        <w:numPr>
          <w:numId w:val="845"/>
        </w:numPr>
        <w:spacing w:before="120" w:after="120" w:line="288" w:lineRule="auto"/>
        <w:ind w:left="0"/>
        <w:jc w:val="left"/>
      </w:pPr>
      <w:r>
        <w:rPr>
          <w:rFonts w:eastAsia="等线" w:ascii="Arial" w:cs="Arial" w:hAnsi="Arial"/>
          <w:sz w:val="22"/>
        </w:rPr>
        <w:t>服务费平均回款周期：从45天缩短至15天</w:t>
      </w:r>
    </w:p>
    <w:p>
      <w:pPr>
        <w:numPr>
          <w:numId w:val="846"/>
        </w:numPr>
        <w:spacing w:before="120" w:after="120" w:line="288" w:lineRule="auto"/>
        <w:ind w:left="0"/>
        <w:jc w:val="left"/>
      </w:pPr>
      <w:r>
        <w:rPr>
          <w:rFonts w:eastAsia="等线" w:ascii="Arial" w:cs="Arial" w:hAnsi="Arial"/>
          <w:sz w:val="22"/>
        </w:rPr>
        <w:t>现金流改善：减少资金占用约300万元</w:t>
      </w:r>
    </w:p>
    <w:p>
      <w:pPr>
        <w:spacing w:before="120" w:after="120" w:line="288" w:lineRule="auto"/>
        <w:ind w:left="0"/>
        <w:jc w:val="left"/>
      </w:pPr>
      <w:r>
        <w:rPr>
          <w:rFonts w:eastAsia="等线" w:ascii="Arial" w:cs="Arial" w:hAnsi="Arial"/>
          <w:b w:val="true"/>
          <w:sz w:val="22"/>
        </w:rPr>
        <w:t>核心企业激励效果</w:t>
      </w:r>
    </w:p>
    <w:p>
      <w:pPr>
        <w:spacing w:before="120" w:after="120" w:line="288" w:lineRule="auto"/>
        <w:ind w:left="0"/>
        <w:jc w:val="left"/>
      </w:pPr>
      <w:r>
        <w:rPr>
          <w:rFonts w:eastAsia="等线" w:ascii="Arial" w:cs="Arial" w:hAnsi="Arial"/>
          <w:b w:val="true"/>
          <w:sz w:val="22"/>
        </w:rPr>
        <w:t>参与度提升</w:t>
      </w:r>
      <w:r>
        <w:rPr>
          <w:rFonts w:eastAsia="等线" w:ascii="Arial" w:cs="Arial" w:hAnsi="Arial"/>
          <w:sz w:val="22"/>
        </w:rPr>
        <w:t>：</w:t>
      </w:r>
    </w:p>
    <w:p>
      <w:pPr>
        <w:numPr>
          <w:numId w:val="847"/>
        </w:numPr>
        <w:spacing w:before="120" w:after="120" w:line="288" w:lineRule="auto"/>
        <w:ind w:left="0"/>
        <w:jc w:val="left"/>
      </w:pPr>
      <w:r>
        <w:rPr>
          <w:rFonts w:eastAsia="等线" w:ascii="Arial" w:cs="Arial" w:hAnsi="Arial"/>
          <w:sz w:val="22"/>
        </w:rPr>
        <w:t>协同催收参与率：从40%提升至90%</w:t>
      </w:r>
    </w:p>
    <w:p>
      <w:pPr>
        <w:numPr>
          <w:numId w:val="848"/>
        </w:numPr>
        <w:spacing w:before="120" w:after="120" w:line="288" w:lineRule="auto"/>
        <w:ind w:left="0"/>
        <w:jc w:val="left"/>
      </w:pPr>
      <w:r>
        <w:rPr>
          <w:rFonts w:eastAsia="等线" w:ascii="Arial" w:cs="Arial" w:hAnsi="Arial"/>
          <w:sz w:val="22"/>
        </w:rPr>
        <w:t>回购接受率：从20%提升至60%</w:t>
      </w:r>
    </w:p>
    <w:p>
      <w:pPr>
        <w:numPr>
          <w:numId w:val="849"/>
        </w:numPr>
        <w:spacing w:before="120" w:after="120" w:line="288" w:lineRule="auto"/>
        <w:ind w:left="0"/>
        <w:jc w:val="left"/>
      </w:pPr>
      <w:r>
        <w:rPr>
          <w:rFonts w:eastAsia="等线" w:ascii="Arial" w:cs="Arial" w:hAnsi="Arial"/>
          <w:sz w:val="22"/>
        </w:rPr>
        <w:t>推荐经销商数量：同比增长85%</w:t>
      </w:r>
    </w:p>
    <w:p>
      <w:pPr>
        <w:spacing w:before="120" w:after="120" w:line="288" w:lineRule="auto"/>
        <w:ind w:left="0"/>
        <w:jc w:val="left"/>
      </w:pPr>
      <w:r>
        <w:rPr>
          <w:rFonts w:eastAsia="等线" w:ascii="Arial" w:cs="Arial" w:hAnsi="Arial"/>
          <w:b w:val="true"/>
          <w:sz w:val="22"/>
        </w:rPr>
        <w:t>分润数据</w:t>
      </w:r>
      <w:r>
        <w:rPr>
          <w:rFonts w:eastAsia="等线" w:ascii="Arial" w:cs="Arial" w:hAnsi="Arial"/>
          <w:sz w:val="22"/>
        </w:rPr>
        <w:t>：</w:t>
      </w:r>
    </w:p>
    <w:p>
      <w:pPr>
        <w:numPr>
          <w:numId w:val="850"/>
        </w:numPr>
        <w:spacing w:before="120" w:after="120" w:line="288" w:lineRule="auto"/>
        <w:ind w:left="0"/>
        <w:jc w:val="left"/>
      </w:pPr>
      <w:r>
        <w:rPr>
          <w:rFonts w:eastAsia="等线" w:ascii="Arial" w:cs="Arial" w:hAnsi="Arial"/>
          <w:sz w:val="22"/>
        </w:rPr>
        <w:t>年度核心企业分润总额：1850万元</w:t>
      </w:r>
    </w:p>
    <w:p>
      <w:pPr>
        <w:numPr>
          <w:numId w:val="851"/>
        </w:numPr>
        <w:spacing w:before="120" w:after="120" w:line="288" w:lineRule="auto"/>
        <w:ind w:left="0"/>
        <w:jc w:val="left"/>
      </w:pPr>
      <w:r>
        <w:rPr>
          <w:rFonts w:eastAsia="等线" w:ascii="Arial" w:cs="Arial" w:hAnsi="Arial"/>
          <w:sz w:val="22"/>
        </w:rPr>
        <w:t>平均单家核心企业分润：18.5万元</w:t>
      </w:r>
    </w:p>
    <w:p>
      <w:pPr>
        <w:numPr>
          <w:numId w:val="852"/>
        </w:numPr>
        <w:spacing w:before="120" w:after="120" w:line="288" w:lineRule="auto"/>
        <w:ind w:left="0"/>
        <w:jc w:val="left"/>
      </w:pPr>
      <w:r>
        <w:rPr>
          <w:rFonts w:eastAsia="等线" w:ascii="Arial" w:cs="Arial" w:hAnsi="Arial"/>
          <w:sz w:val="22"/>
        </w:rPr>
        <w:t>核心企业满意度：4.7/5.0</w:t>
      </w:r>
    </w:p>
    <w:p>
      <w:pPr>
        <w:spacing w:before="120" w:after="120" w:line="288" w:lineRule="auto"/>
        <w:ind w:left="0"/>
        <w:jc w:val="left"/>
      </w:pPr>
      <w:r>
        <w:rPr>
          <w:rFonts w:eastAsia="等线" w:ascii="Arial" w:cs="Arial" w:hAnsi="Arial"/>
          <w:b w:val="true"/>
          <w:sz w:val="22"/>
        </w:rPr>
        <w:t>典型案例</w:t>
      </w:r>
    </w:p>
    <w:p>
      <w:pPr>
        <w:spacing w:before="120" w:after="120" w:line="288" w:lineRule="auto"/>
        <w:ind w:left="0"/>
        <w:jc w:val="left"/>
      </w:pPr>
      <w:r>
        <w:rPr>
          <w:rFonts w:eastAsia="等线" w:ascii="Arial" w:cs="Arial" w:hAnsi="Arial"/>
          <w:b w:val="true"/>
          <w:sz w:val="22"/>
        </w:rPr>
        <w:t>案例：某S级核心企业分润激励效果</w:t>
      </w:r>
    </w:p>
    <w:p>
      <w:pPr>
        <w:spacing w:before="120" w:after="120" w:line="288" w:lineRule="auto"/>
        <w:ind w:left="0"/>
        <w:jc w:val="left"/>
      </w:pPr>
      <w:r>
        <w:rPr>
          <w:rFonts w:eastAsia="等线" w:ascii="Arial" w:cs="Arial" w:hAnsi="Arial"/>
          <w:b w:val="true"/>
          <w:sz w:val="22"/>
        </w:rPr>
        <w:t>合作数据</w:t>
      </w:r>
      <w:r>
        <w:rPr>
          <w:rFonts w:eastAsia="等线" w:ascii="Arial" w:cs="Arial" w:hAnsi="Arial"/>
          <w:sz w:val="22"/>
        </w:rPr>
        <w:t>（2025年Q1）：</w:t>
      </w:r>
    </w:p>
    <w:p>
      <w:pPr>
        <w:numPr>
          <w:numId w:val="853"/>
        </w:numPr>
        <w:spacing w:before="120" w:after="120" w:line="288" w:lineRule="auto"/>
        <w:ind w:left="0"/>
        <w:jc w:val="left"/>
      </w:pPr>
      <w:r>
        <w:rPr>
          <w:rFonts w:eastAsia="等线" w:ascii="Arial" w:cs="Arial" w:hAnsi="Arial"/>
          <w:sz w:val="22"/>
        </w:rPr>
        <w:t>推荐经销商：28家</w:t>
      </w:r>
    </w:p>
    <w:p>
      <w:pPr>
        <w:numPr>
          <w:numId w:val="854"/>
        </w:numPr>
        <w:spacing w:before="120" w:after="120" w:line="288" w:lineRule="auto"/>
        <w:ind w:left="0"/>
        <w:jc w:val="left"/>
      </w:pPr>
      <w:r>
        <w:rPr>
          <w:rFonts w:eastAsia="等线" w:ascii="Arial" w:cs="Arial" w:hAnsi="Arial"/>
          <w:sz w:val="22"/>
        </w:rPr>
        <w:t>推荐经销商融资总额：8500万</w:t>
      </w:r>
    </w:p>
    <w:p>
      <w:pPr>
        <w:numPr>
          <w:numId w:val="855"/>
        </w:numPr>
        <w:spacing w:before="120" w:after="120" w:line="288" w:lineRule="auto"/>
        <w:ind w:left="0"/>
        <w:jc w:val="left"/>
      </w:pPr>
      <w:r>
        <w:rPr>
          <w:rFonts w:eastAsia="等线" w:ascii="Arial" w:cs="Arial" w:hAnsi="Arial"/>
          <w:sz w:val="22"/>
        </w:rPr>
        <w:t>协同催收：协助12笔，总金额520万</w:t>
      </w:r>
    </w:p>
    <w:p>
      <w:pPr>
        <w:numPr>
          <w:numId w:val="856"/>
        </w:numPr>
        <w:spacing w:before="120" w:after="120" w:line="288" w:lineRule="auto"/>
        <w:ind w:left="0"/>
        <w:jc w:val="left"/>
      </w:pPr>
      <w:r>
        <w:rPr>
          <w:rFonts w:eastAsia="等线" w:ascii="Arial" w:cs="Arial" w:hAnsi="Arial"/>
          <w:sz w:val="22"/>
        </w:rPr>
        <w:t>回购合作：接受7笔回购，总货值1600万</w:t>
      </w:r>
    </w:p>
    <w:p>
      <w:pPr>
        <w:spacing w:before="120" w:after="120" w:line="288" w:lineRule="auto"/>
        <w:ind w:left="0"/>
        <w:jc w:val="left"/>
      </w:pPr>
      <w:r>
        <w:rPr>
          <w:rFonts w:eastAsia="等线" w:ascii="Arial" w:cs="Arial" w:hAnsi="Arial"/>
          <w:b w:val="true"/>
          <w:sz w:val="22"/>
        </w:rPr>
        <w:t>分润计算</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 推荐佣金：</w:t>
              <w:br/>
              <w:t xml:space="preserve">   首笔融资（5家）：2200万 × 0.1% = 2.2万</w:t>
              <w:br/>
              <w:t xml:space="preserve">   后续融资（23家）：6300万 × 0.05% = 3.15万</w:t>
              <w:br/>
              <w:t xml:space="preserve">   小计：5.35万</w:t>
              <w:br/>
              <w:br/>
              <w:t>2. 协同催收奖励：</w:t>
              <w:br/>
              <w:t xml:space="preserve">   520万 × 0.2% = 1.04万</w:t>
              <w:br/>
              <w:br/>
              <w:t>3. 回购合作奖励：</w:t>
              <w:br/>
              <w:t xml:space="preserve">   1600万 × 1% = 16万</w:t>
              <w:br/>
              <w:br/>
              <w:t>4. 合作质量奖金（S级，1.5倍）：</w:t>
              <w:br/>
              <w:t xml:space="preserve">   (5.35+1.04+16) × (1.5-1.0) = 11.2万</w:t>
              <w:br/>
              <w:br/>
            </w:r>
            <w:r>
              <w:rPr>
                <w:rFonts w:eastAsia="Consolas" w:ascii="Consolas" w:cs="Consolas" w:hAnsi="Consolas"/>
                <w:sz w:val="22"/>
              </w:rPr>
              <w:t>季度总分润：33.6万</w:t>
            </w:r>
          </w:p>
        </w:tc>
      </w:tr>
    </w:tbl>
    <w:p>
      <w:pPr>
        <w:spacing w:before="120" w:after="120" w:line="288" w:lineRule="auto"/>
        <w:ind w:left="0"/>
        <w:jc w:val="left"/>
      </w:pPr>
      <w:r>
        <w:rPr>
          <w:rFonts w:eastAsia="等线" w:ascii="Arial" w:cs="Arial" w:hAnsi="Arial"/>
          <w:b w:val="true"/>
          <w:sz w:val="22"/>
        </w:rPr>
        <w:t>核心企业反馈</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"分润规则很透明，能看到每笔分润的来源。我们推荐的经销商越多、协助催收越积极，分润就越高，这样的激励机制很合理。特别是回购奖励，让我们更愿意参与逾期业务的处置，实现了多方共赢。"</w:t>
            </w:r>
          </w:p>
        </w:tc>
      </w:tr>
    </w:tbl>
    <w:p>
      <w:pPr>
        <w:spacing w:before="120" w:after="120" w:line="288" w:lineRule="auto"/>
        <w:ind w:left="0"/>
        <w:jc w:val="left"/>
      </w:pPr>
      <w:r>
        <w:rPr>
          <w:rFonts w:eastAsia="等线" w:ascii="Arial" w:cs="Arial" w:hAnsi="Arial"/>
          <w:b w:val="true"/>
          <w:sz w:val="22"/>
        </w:rPr>
        <w:t>价值分析</w:t>
      </w:r>
      <w:r>
        <w:rPr>
          <w:rFonts w:eastAsia="等线" w:ascii="Arial" w:cs="Arial" w:hAnsi="Arial"/>
          <w:sz w:val="22"/>
        </w:rPr>
        <w:t>：</w:t>
      </w:r>
    </w:p>
    <w:p>
      <w:pPr>
        <w:numPr>
          <w:numId w:val="857"/>
        </w:numPr>
        <w:spacing w:before="120" w:after="120" w:line="288" w:lineRule="auto"/>
        <w:ind w:left="0"/>
        <w:jc w:val="left"/>
      </w:pPr>
      <w:r>
        <w:rPr>
          <w:rFonts w:eastAsia="等线" w:ascii="Arial" w:cs="Arial" w:hAnsi="Arial"/>
          <w:sz w:val="22"/>
        </w:rPr>
        <w:t>平台视角：通过33.6万分润，获得8500万业务规模，成功催收520万，快速处置1600万质押物</w:t>
      </w:r>
    </w:p>
    <w:p>
      <w:pPr>
        <w:numPr>
          <w:numId w:val="858"/>
        </w:numPr>
        <w:spacing w:before="120" w:after="120" w:line="288" w:lineRule="auto"/>
        <w:ind w:left="0"/>
        <w:jc w:val="left"/>
      </w:pPr>
      <w:r>
        <w:rPr>
          <w:rFonts w:eastAsia="等线" w:ascii="Arial" w:cs="Arial" w:hAnsi="Arial"/>
          <w:sz w:val="22"/>
        </w:rPr>
        <w:t>核心企业视角：获得33.6万分润，巩固渠道关系，通过回购获得优质货源</w:t>
      </w:r>
    </w:p>
    <w:p>
      <w:pPr>
        <w:numPr>
          <w:numId w:val="859"/>
        </w:numPr>
        <w:spacing w:before="120" w:after="120" w:line="288" w:lineRule="auto"/>
        <w:ind w:left="0"/>
        <w:jc w:val="left"/>
      </w:pPr>
      <w:r>
        <w:rPr>
          <w:rFonts w:eastAsia="等线" w:ascii="Arial" w:cs="Arial" w:hAnsi="Arial"/>
          <w:sz w:val="22"/>
        </w:rPr>
        <w:t>投入产出比：1:250（33.6万分润 vs 8500万业务规模）</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63" w:id="163"/>
      <w:r>
        <w:rPr>
          <w:rFonts w:eastAsia="等线" w:ascii="Arial" w:cs="Arial" w:hAnsi="Arial"/>
          <w:color w:val="3370ff"/>
          <w:sz w:val="36"/>
        </w:rPr>
        <w:t xml:space="preserve">4. </w:t>
      </w:r>
      <w:r>
        <w:rPr>
          <w:rFonts w:eastAsia="等线" w:ascii="Arial" w:cs="Arial" w:hAnsi="Arial"/>
          <w:b w:val="true"/>
          <w:sz w:val="36"/>
        </w:rPr>
        <w:t>与相关系统的集成</w:t>
      </w:r>
      <w:bookmarkEnd w:id="163"/>
    </w:p>
    <w:p>
      <w:pPr>
        <w:spacing w:before="120" w:after="120" w:line="288" w:lineRule="auto"/>
        <w:ind w:left="0"/>
        <w:jc w:val="left"/>
      </w:pPr>
      <w:r>
        <w:rPr>
          <w:rFonts w:eastAsia="等线" w:ascii="Arial" w:cs="Arial" w:hAnsi="Arial"/>
          <w:sz w:val="22"/>
        </w:rPr>
        <w:t>平台作为三方协同的中枢，通过系统集成打通信息流、货流、资金流：</w:t>
      </w:r>
    </w:p>
    <w:p>
      <w:pPr>
        <w:numPr>
          <w:numId w:val="860"/>
        </w:numPr>
        <w:spacing w:before="120" w:after="120" w:line="288" w:lineRule="auto"/>
        <w:ind w:left="0"/>
        <w:jc w:val="left"/>
      </w:pPr>
      <w:r>
        <w:rPr>
          <w:rFonts w:eastAsia="等线" w:ascii="Arial" w:cs="Arial" w:hAnsi="Arial"/>
          <w:sz w:val="22"/>
        </w:rPr>
        <w:t>货流管控：与WMS实时对接，实现入库监控、库存同步、出库授权下发</w:t>
      </w:r>
    </w:p>
    <w:p>
      <w:pPr>
        <w:numPr>
          <w:numId w:val="861"/>
        </w:numPr>
        <w:spacing w:before="120" w:after="120" w:line="288" w:lineRule="auto"/>
        <w:ind w:left="0"/>
        <w:jc w:val="left"/>
      </w:pPr>
      <w:r>
        <w:rPr>
          <w:rFonts w:eastAsia="等线" w:ascii="Arial" w:cs="Arial" w:hAnsi="Arial"/>
          <w:sz w:val="22"/>
        </w:rPr>
        <w:t>资金流转：与银行核心系统对接，实现放款指令、还款同步、出库授权接收</w:t>
      </w:r>
    </w:p>
    <w:p>
      <w:pPr>
        <w:numPr>
          <w:numId w:val="862"/>
        </w:numPr>
        <w:spacing w:before="120" w:after="120" w:line="288" w:lineRule="auto"/>
        <w:ind w:left="0"/>
        <w:jc w:val="left"/>
      </w:pPr>
      <w:r>
        <w:rPr>
          <w:rFonts w:eastAsia="等线" w:ascii="Arial" w:cs="Arial" w:hAnsi="Arial"/>
          <w:sz w:val="22"/>
        </w:rPr>
        <w:t>风控协同：与核心企业ERP对接，实现推荐验证、信用同步、风险预警联动</w:t>
      </w:r>
    </w:p>
    <w:p>
      <w:pPr>
        <w:numPr>
          <w:numId w:val="863"/>
        </w:numPr>
        <w:spacing w:before="120" w:after="120" w:line="288" w:lineRule="auto"/>
        <w:ind w:left="0"/>
        <w:jc w:val="left"/>
      </w:pPr>
      <w:r>
        <w:rPr>
          <w:rFonts w:eastAsia="等线" w:ascii="Arial" w:cs="Arial" w:hAnsi="Arial"/>
          <w:sz w:val="22"/>
        </w:rPr>
        <w:t>辅助支撑：征信查询、价格监控、电子签章、支付结算</w:t>
      </w:r>
    </w:p>
    <w:p>
      <w:pPr>
        <w:spacing w:before="120" w:after="120" w:line="288" w:lineRule="auto"/>
        <w:ind w:left="0"/>
        <w:jc w:val="left"/>
      </w:pPr>
      <w:r>
        <w:rPr>
          <w:rFonts w:eastAsia="等线" w:ascii="Arial" w:cs="Arial" w:hAnsi="Arial"/>
          <w:sz w:val="22"/>
        </w:rPr>
        <w:t>设计原则：平台掌握业务决策权，执行层面由专业系统完成。</w:t>
      </w:r>
    </w:p>
    <w:p>
      <w:pPr>
        <w:spacing w:before="120" w:after="120" w:line="288" w:lineRule="auto"/>
        <w:ind w:left="0"/>
        <w:jc w:val="center"/>
      </w:pPr>
      <w:r>
        <w:drawing>
          <wp:inline distT="0" distR="0" distB="0" distL="0">
            <wp:extent cx="5257800" cy="30956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96"/>
                    <a:stretch>
                      <a:fillRect/>
                    </a:stretch>
                  </pic:blipFill>
                  <pic:spPr>
                    <a:xfrm>
                      <a:off x="0" y="0"/>
                      <a:ext cx="5257800" cy="3095625"/>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4" w:id="164"/>
      <w:r>
        <w:rPr>
          <w:rFonts w:eastAsia="等线" w:ascii="Arial" w:cs="Arial" w:hAnsi="Arial"/>
          <w:color w:val="3370ff"/>
          <w:sz w:val="32"/>
        </w:rPr>
        <w:t xml:space="preserve">4.1 </w:t>
      </w:r>
      <w:r>
        <w:rPr>
          <w:rFonts w:eastAsia="等线" w:ascii="Arial" w:cs="Arial" w:hAnsi="Arial"/>
          <w:b w:val="true"/>
          <w:sz w:val="32"/>
        </w:rPr>
        <w:t>与核心企业ERP系统的集成</w:t>
      </w:r>
      <w:bookmarkEnd w:id="164"/>
    </w:p>
    <w:p>
      <w:pPr>
        <w:spacing w:before="120" w:after="120" w:line="288" w:lineRule="auto"/>
        <w:ind w:left="0"/>
        <w:jc w:val="left"/>
      </w:pPr>
      <w:r>
        <w:rPr>
          <w:rFonts w:eastAsia="等线" w:ascii="Arial" w:cs="Arial" w:hAnsi="Arial"/>
          <w:sz w:val="22"/>
        </w:rPr>
        <w:t>获取经销商主数据、供货记录、信用评级等信息，支撑客户准入、风险监控和分润结算。实时接收核心企业推送的风险预警信息，实现平台与核心企业的风险联动。</w:t>
      </w:r>
    </w:p>
    <w:p>
      <w:pPr>
        <w:pStyle w:val="3"/>
        <w:spacing w:before="300" w:after="120" w:line="288" w:lineRule="auto"/>
        <w:ind w:left="0"/>
        <w:jc w:val="left"/>
        <w:outlineLvl w:val="2"/>
      </w:pPr>
      <w:bookmarkStart w:name="heading_165" w:id="165"/>
      <w:r>
        <w:rPr>
          <w:rFonts w:eastAsia="等线" w:ascii="Arial" w:cs="Arial" w:hAnsi="Arial"/>
          <w:color w:val="3370ff"/>
          <w:sz w:val="30"/>
        </w:rPr>
        <w:t xml:space="preserve">4.1.1 </w:t>
      </w:r>
      <w:r>
        <w:rPr>
          <w:rFonts w:eastAsia="等线" w:ascii="Arial" w:cs="Arial" w:hAnsi="Arial"/>
          <w:b w:val="true"/>
          <w:sz w:val="30"/>
        </w:rPr>
        <w:t>集成数据</w:t>
      </w:r>
      <w:bookmarkEnd w:id="165"/>
    </w:p>
    <w:p>
      <w:pPr>
        <w:spacing w:before="120" w:after="120" w:line="288" w:lineRule="auto"/>
        <w:ind w:left="0"/>
      </w:pPr>
      <w:r>
        <w:object>
          <v:shape id="_x0000_i1111" style="width:414pt;height:197pt;mso-width-percent:0;mso-height-percent:0;mso-width-percent:0;mso-height-percent:0" type="#_x0000_t75" o:ole="">
            <v:imagedata r:id="rId198" o:title=""/>
          </v:shape>
          <o:OLEObject DrawAspect="Icon" ObjectID="_1718471305" ProgID="Excel.Sheet.12" ShapeID="_x0000_i1111" Type="Embed" r:id="rId19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66" w:id="166"/>
      <w:r>
        <w:rPr>
          <w:rFonts w:eastAsia="等线" w:ascii="Arial" w:cs="Arial" w:hAnsi="Arial"/>
          <w:color w:val="3370ff"/>
          <w:sz w:val="30"/>
        </w:rPr>
        <w:t xml:space="preserve">4.1.2 </w:t>
      </w:r>
      <w:r>
        <w:rPr>
          <w:rFonts w:eastAsia="等线" w:ascii="Arial" w:cs="Arial" w:hAnsi="Arial"/>
          <w:b w:val="true"/>
          <w:sz w:val="30"/>
        </w:rPr>
        <w:t>集成流程</w:t>
      </w:r>
      <w:bookmarkEnd w:id="166"/>
    </w:p>
    <w:p>
      <w:pPr>
        <w:pStyle w:val="4"/>
        <w:spacing w:before="260" w:after="120" w:line="288" w:lineRule="auto"/>
        <w:ind w:left="0"/>
        <w:jc w:val="left"/>
        <w:outlineLvl w:val="3"/>
      </w:pPr>
      <w:bookmarkStart w:name="heading_167" w:id="167"/>
      <w:r>
        <w:rPr>
          <w:rFonts w:eastAsia="等线" w:ascii="Arial" w:cs="Arial" w:hAnsi="Arial"/>
          <w:b w:val="true"/>
          <w:sz w:val="28"/>
        </w:rPr>
        <w:t>流程1：准入时推荐码验证</w:t>
      </w:r>
      <w:bookmarkEnd w:id="1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xml:space="preserve">    participant E as 经销商</w:t>
              <w:br/>
              <w:t xml:space="preserve">    participant P as 平台</w:t>
              <w:br/>
              <w:t xml:space="preserve">    participant ERP as 核心企业ERP</w:t>
              <w:br/>
              <w:t xml:space="preserve">    </w:t>
              <w:br/>
              <w:t xml:space="preserve">    E-&gt;&gt;P: 1.提交准入申请&lt;br/&gt;(含推荐码)</w:t>
              <w:br/>
              <w:t xml:space="preserve">    P-&gt;&gt;ERP: 2.验证推荐码&lt;br/&gt;GET /api/dealer/verify</w:t>
              <w:br/>
              <w:t xml:space="preserve">    ERP-&gt;&gt;ERP: 3.查询经销商信息</w:t>
              <w:br/>
              <w:t xml:space="preserve">    ERP-&gt;&gt;P: 4.返回推荐信息&lt;br/&gt;(合作年限/信用等级/供货额)</w:t>
              <w:br/>
              <w:t xml:space="preserve">    P-&gt;&gt;P: 5.数据自动填充审批页面</w:t>
              <w:br/>
              <w:t xml:space="preserve">    P-&gt;&gt;E: 6.审批流程继续</w:t>
            </w:r>
          </w:p>
        </w:tc>
      </w:tr>
    </w:tbl>
    <w:p>
      <w:pPr>
        <w:pStyle w:val="4"/>
        <w:spacing w:before="260" w:after="120" w:line="288" w:lineRule="auto"/>
        <w:ind w:left="0"/>
        <w:jc w:val="left"/>
        <w:outlineLvl w:val="3"/>
      </w:pPr>
      <w:bookmarkStart w:name="heading_168" w:id="168"/>
      <w:r>
        <w:rPr>
          <w:rFonts w:eastAsia="等线" w:ascii="Arial" w:cs="Arial" w:hAnsi="Arial"/>
          <w:b w:val="true"/>
          <w:sz w:val="28"/>
        </w:rPr>
        <w:t>流程2：风险预警推送</w:t>
      </w:r>
      <w:bookmarkEnd w:id="1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xml:space="preserve">    participant ERP as 核心企业ERP</w:t>
              <w:br/>
              <w:t xml:space="preserve">    participant P as 平台</w:t>
              <w:br/>
              <w:t xml:space="preserve">    </w:t>
              <w:br/>
              <w:t xml:space="preserve">    ERP-&gt;&gt;ERP: 1.发现经销商异常&lt;br/&gt;(串货/违规/销售下滑)</w:t>
              <w:br/>
              <w:t xml:space="preserve">    ERP-&gt;&gt;P: 2.推送风险预警&lt;br/&gt;POST /api/risk/alert</w:t>
              <w:br/>
              <w:t xml:space="preserve">    P-&gt;&gt;P: 3.自动生成预警&lt;br/&gt;关联该经销商所有业务</w:t>
              <w:br/>
              <w:t xml:space="preserve">    P-&gt;&gt;P: 4.评估风险等级</w:t>
              <w:br/>
              <w:t xml:space="preserve">    alt 高风险</w:t>
              <w:br/>
              <w:t xml:space="preserve">        P-&gt;&gt;P: 5a.冻结新增融资</w:t>
              <w:br/>
              <w:t xml:space="preserve">    end</w:t>
              <w:br/>
              <w:t xml:space="preserve">    P-&gt;&gt;P: 6.推送风控人员处理</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9" w:id="169"/>
      <w:r>
        <w:rPr>
          <w:rFonts w:eastAsia="等线" w:ascii="Arial" w:cs="Arial" w:hAnsi="Arial"/>
          <w:color w:val="3370ff"/>
          <w:sz w:val="30"/>
        </w:rPr>
        <w:t xml:space="preserve">4.1.3 </w:t>
      </w:r>
      <w:r>
        <w:rPr>
          <w:rFonts w:eastAsia="等线" w:ascii="Arial" w:cs="Arial" w:hAnsi="Arial"/>
          <w:b w:val="true"/>
          <w:sz w:val="30"/>
        </w:rPr>
        <w:t>集成方式</w:t>
      </w:r>
      <w:bookmarkEnd w:id="169"/>
    </w:p>
    <w:p>
      <w:pPr>
        <w:numPr>
          <w:numId w:val="864"/>
        </w:numPr>
        <w:spacing w:before="120" w:after="120" w:line="288" w:lineRule="auto"/>
        <w:ind w:left="0"/>
        <w:jc w:val="left"/>
      </w:pPr>
      <w:r>
        <w:rPr>
          <w:rFonts w:eastAsia="等线" w:ascii="Arial" w:cs="Arial" w:hAnsi="Arial"/>
          <w:b w:val="true"/>
          <w:sz w:val="22"/>
        </w:rPr>
        <w:t>API实时接口</w:t>
      </w:r>
      <w:r>
        <w:rPr>
          <w:rFonts w:eastAsia="等线" w:ascii="Arial" w:cs="Arial" w:hAnsi="Arial"/>
          <w:sz w:val="22"/>
        </w:rPr>
        <w:t>：推荐码验证、经销商信息查询</w:t>
      </w:r>
    </w:p>
    <w:p>
      <w:pPr>
        <w:numPr>
          <w:numId w:val="865"/>
        </w:numPr>
        <w:spacing w:before="120" w:after="120" w:line="288" w:lineRule="auto"/>
        <w:ind w:left="0"/>
        <w:jc w:val="left"/>
      </w:pPr>
      <w:r>
        <w:rPr>
          <w:rFonts w:eastAsia="等线" w:ascii="Arial" w:cs="Arial" w:hAnsi="Arial"/>
          <w:b w:val="true"/>
          <w:sz w:val="22"/>
        </w:rPr>
        <w:t>Webhook推送</w:t>
      </w:r>
      <w:r>
        <w:rPr>
          <w:rFonts w:eastAsia="等线" w:ascii="Arial" w:cs="Arial" w:hAnsi="Arial"/>
          <w:sz w:val="22"/>
        </w:rPr>
        <w:t>：风险预警实时推送</w:t>
      </w:r>
    </w:p>
    <w:p>
      <w:pPr>
        <w:numPr>
          <w:numId w:val="866"/>
        </w:numPr>
        <w:spacing w:before="120" w:after="120" w:line="288" w:lineRule="auto"/>
        <w:ind w:left="0"/>
        <w:jc w:val="left"/>
      </w:pPr>
      <w:r>
        <w:rPr>
          <w:rFonts w:eastAsia="等线" w:ascii="Arial" w:cs="Arial" w:hAnsi="Arial"/>
          <w:b w:val="true"/>
          <w:sz w:val="22"/>
        </w:rPr>
        <w:t>文件批量交换</w:t>
      </w:r>
      <w:r>
        <w:rPr>
          <w:rFonts w:eastAsia="等线" w:ascii="Arial" w:cs="Arial" w:hAnsi="Arial"/>
          <w:sz w:val="22"/>
        </w:rPr>
        <w:t>：经销商主数据定期同步（备选方案）</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0" w:id="170"/>
      <w:r>
        <w:rPr>
          <w:rFonts w:eastAsia="等线" w:ascii="Arial" w:cs="Arial" w:hAnsi="Arial"/>
          <w:color w:val="3370ff"/>
          <w:sz w:val="32"/>
        </w:rPr>
        <w:t xml:space="preserve">4.2 </w:t>
      </w:r>
      <w:r>
        <w:rPr>
          <w:rFonts w:eastAsia="等线" w:ascii="Arial" w:cs="Arial" w:hAnsi="Arial"/>
          <w:b w:val="true"/>
          <w:sz w:val="32"/>
        </w:rPr>
        <w:t>与物流WMS系统的集成</w:t>
      </w:r>
      <w:bookmarkEnd w:id="170"/>
    </w:p>
    <w:p>
      <w:pPr>
        <w:spacing w:before="120" w:after="120" w:line="288" w:lineRule="auto"/>
        <w:ind w:left="0"/>
        <w:jc w:val="left"/>
      </w:pPr>
      <w:r>
        <w:rPr>
          <w:rFonts w:eastAsia="等线" w:ascii="Arial" w:cs="Arial" w:hAnsi="Arial"/>
          <w:sz w:val="22"/>
        </w:rPr>
        <w:t>实时获取质押物的入库、出库、库存、盘点数据，实现货权的实时监控和决策，确保平台对质押物的掌控能力。</w:t>
      </w:r>
    </w:p>
    <w:p>
      <w:pPr>
        <w:pStyle w:val="3"/>
        <w:spacing w:before="300" w:after="120" w:line="288" w:lineRule="auto"/>
        <w:ind w:left="0"/>
        <w:jc w:val="left"/>
        <w:outlineLvl w:val="2"/>
      </w:pPr>
      <w:bookmarkStart w:name="heading_171" w:id="171"/>
      <w:r>
        <w:rPr>
          <w:rFonts w:eastAsia="等线" w:ascii="Arial" w:cs="Arial" w:hAnsi="Arial"/>
          <w:color w:val="3370ff"/>
          <w:sz w:val="30"/>
        </w:rPr>
        <w:t xml:space="preserve">4.2.1 </w:t>
      </w:r>
      <w:r>
        <w:rPr>
          <w:rFonts w:eastAsia="等线" w:ascii="Arial" w:cs="Arial" w:hAnsi="Arial"/>
          <w:b w:val="true"/>
          <w:sz w:val="30"/>
        </w:rPr>
        <w:t>集成数据</w:t>
      </w:r>
      <w:bookmarkEnd w:id="171"/>
    </w:p>
    <w:p>
      <w:pPr>
        <w:spacing w:before="120" w:after="120" w:line="288" w:lineRule="auto"/>
        <w:ind w:left="0"/>
      </w:pPr>
      <w:r>
        <w:object>
          <v:shape id="_x0000_i1112" style="width:414pt;height:197pt;mso-width-percent:0;mso-height-percent:0;mso-width-percent:0;mso-height-percent:0" type="#_x0000_t75" o:ole="">
            <v:imagedata r:id="rId200" o:title=""/>
          </v:shape>
          <o:OLEObject DrawAspect="Icon" ObjectID="_1718471306" ProgID="Excel.Sheet.12" ShapeID="_x0000_i1112" Type="Embed" r:id="rId199"/>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72" w:id="172"/>
      <w:r>
        <w:rPr>
          <w:rFonts w:eastAsia="等线" w:ascii="Arial" w:cs="Arial" w:hAnsi="Arial"/>
          <w:color w:val="3370ff"/>
          <w:sz w:val="30"/>
        </w:rPr>
        <w:t xml:space="preserve">4.2.2 </w:t>
      </w:r>
      <w:r>
        <w:rPr>
          <w:rFonts w:eastAsia="等线" w:ascii="Arial" w:cs="Arial" w:hAnsi="Arial"/>
          <w:b w:val="true"/>
          <w:sz w:val="30"/>
        </w:rPr>
        <w:t>集成流程</w:t>
      </w:r>
      <w:bookmarkEnd w:id="172"/>
    </w:p>
    <w:p>
      <w:pPr>
        <w:pStyle w:val="4"/>
        <w:spacing w:before="260" w:after="120" w:line="288" w:lineRule="auto"/>
        <w:ind w:left="0"/>
        <w:jc w:val="left"/>
        <w:outlineLvl w:val="3"/>
      </w:pPr>
      <w:bookmarkStart w:name="heading_173" w:id="173"/>
      <w:r>
        <w:rPr>
          <w:rFonts w:eastAsia="等线" w:ascii="Arial" w:cs="Arial" w:hAnsi="Arial"/>
          <w:b w:val="true"/>
          <w:sz w:val="28"/>
        </w:rPr>
        <w:t>流程1：入库监控</w:t>
      </w:r>
      <w:bookmarkEnd w:id="1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xml:space="preserve">    participant E as 经销商</w:t>
              <w:br/>
              <w:t xml:space="preserve">    participant W as WMS系统</w:t>
              <w:br/>
              <w:t xml:space="preserve">    participant P as 平台</w:t>
              <w:br/>
              <w:t xml:space="preserve">    </w:t>
              <w:br/>
              <w:t xml:space="preserve">    E-&gt;&gt;W: 1.货物入库</w:t>
              <w:br/>
              <w:t xml:space="preserve">    W-&gt;&gt;P: 2.推送入库数据&lt;br/&gt;POST /api/warehouse/inbound</w:t>
              <w:br/>
              <w:t xml:space="preserve">    P-&gt;&gt;P: 3.校验与融资申请一致性&lt;br/&gt;(品类/数量/仓库/时间)</w:t>
              <w:br/>
              <w:t xml:space="preserve">    alt 一致</w:t>
              <w:br/>
              <w:t xml:space="preserve">        P-&gt;&gt;P: 4a.确认入库</w:t>
              <w:br/>
              <w:t xml:space="preserve">        P-&gt;&gt;P: 5a.触发放款流程</w:t>
              <w:br/>
              <w:t xml:space="preserve">    else 不一致</w:t>
              <w:br/>
              <w:t xml:space="preserve">        P-&gt;&gt;P: 4b.标记异常</w:t>
              <w:br/>
              <w:t xml:space="preserve">        P-&gt;&gt;P: 5b.暂停放款，人工核实</w:t>
              <w:br/>
              <w:t xml:space="preserve">    end</w:t>
            </w:r>
          </w:p>
        </w:tc>
      </w:tr>
    </w:tbl>
    <w:p>
      <w:pPr>
        <w:pStyle w:val="4"/>
        <w:spacing w:before="260" w:after="120" w:line="288" w:lineRule="auto"/>
        <w:ind w:left="0"/>
        <w:jc w:val="left"/>
        <w:outlineLvl w:val="3"/>
      </w:pPr>
      <w:bookmarkStart w:name="heading_174" w:id="174"/>
      <w:r>
        <w:rPr>
          <w:rFonts w:eastAsia="等线" w:ascii="Arial" w:cs="Arial" w:hAnsi="Arial"/>
          <w:b w:val="true"/>
          <w:sz w:val="28"/>
        </w:rPr>
        <w:t>流程2：出库审批与授权</w:t>
      </w:r>
      <w:bookmarkEnd w:id="1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xml:space="preserve">    participant E as 经销商</w:t>
              <w:br/>
              <w:t xml:space="preserve">    participant B as 银行</w:t>
              <w:br/>
              <w:t xml:space="preserve">    participant P as 平台</w:t>
              <w:br/>
              <w:t xml:space="preserve">    participant W as WMS系统</w:t>
              <w:br/>
              <w:t xml:space="preserve">    </w:t>
              <w:br/>
              <w:t xml:space="preserve">    E-&gt;&gt;B: 1.还款</w:t>
              <w:br/>
              <w:t xml:space="preserve">    B-&gt;&gt;P: 2.确认还款&lt;br/&gt;发送出库授权</w:t>
              <w:br/>
              <w:t xml:space="preserve">    P-&gt;&gt;P: 3.出库审批&lt;br/&gt;(校验授权/质押率/货值)</w:t>
              <w:br/>
              <w:t xml:space="preserve">    alt 审批通过</w:t>
              <w:br/>
              <w:t xml:space="preserve">        P-&gt;&gt;W: 4a.下发出库指令&lt;br/&gt;POST /wms-api/authorization</w:t>
              <w:br/>
              <w:t xml:space="preserve">        W-&gt;&gt;E: 5a.允许提货</w:t>
              <w:br/>
              <w:t xml:space="preserve">        W-&gt;&gt;P: 6a.出库完成反馈</w:t>
              <w:br/>
              <w:t xml:space="preserve">        P-&gt;&gt;P: 7a.更新质押物数据</w:t>
              <w:br/>
              <w:t xml:space="preserve">    else 审批驳回</w:t>
              <w:br/>
              <w:t xml:space="preserve">        P-&gt;&gt;E: 4b.驳回通知</w:t>
              <w:br/>
              <w:t xml:space="preserve">    end</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5" w:id="175"/>
      <w:r>
        <w:rPr>
          <w:rFonts w:eastAsia="等线" w:ascii="Arial" w:cs="Arial" w:hAnsi="Arial"/>
          <w:color w:val="3370ff"/>
          <w:sz w:val="30"/>
        </w:rPr>
        <w:t xml:space="preserve">4.2.3 </w:t>
      </w:r>
      <w:r>
        <w:rPr>
          <w:rFonts w:eastAsia="等线" w:ascii="Arial" w:cs="Arial" w:hAnsi="Arial"/>
          <w:b w:val="true"/>
          <w:sz w:val="30"/>
        </w:rPr>
        <w:t>集成方式</w:t>
      </w:r>
      <w:bookmarkEnd w:id="175"/>
    </w:p>
    <w:p>
      <w:pPr>
        <w:numPr>
          <w:numId w:val="867"/>
        </w:numPr>
        <w:spacing w:before="120" w:after="120" w:line="288" w:lineRule="auto"/>
        <w:ind w:left="0"/>
        <w:jc w:val="left"/>
      </w:pPr>
      <w:r>
        <w:rPr>
          <w:rFonts w:eastAsia="等线" w:ascii="Arial" w:cs="Arial" w:hAnsi="Arial"/>
          <w:b w:val="true"/>
          <w:sz w:val="22"/>
        </w:rPr>
        <w:t>Webhook推送</w:t>
      </w:r>
      <w:r>
        <w:rPr>
          <w:rFonts w:eastAsia="等线" w:ascii="Arial" w:cs="Arial" w:hAnsi="Arial"/>
          <w:sz w:val="22"/>
        </w:rPr>
        <w:t>：WMS主动推送入库、出库、库存数据</w:t>
      </w:r>
    </w:p>
    <w:p>
      <w:pPr>
        <w:numPr>
          <w:numId w:val="868"/>
        </w:numPr>
        <w:spacing w:before="120" w:after="120" w:line="288" w:lineRule="auto"/>
        <w:ind w:left="0"/>
        <w:jc w:val="left"/>
      </w:pPr>
      <w:r>
        <w:rPr>
          <w:rFonts w:eastAsia="等线" w:ascii="Arial" w:cs="Arial" w:hAnsi="Arial"/>
          <w:b w:val="true"/>
          <w:sz w:val="22"/>
        </w:rPr>
        <w:t>API接口</w:t>
      </w:r>
      <w:r>
        <w:rPr>
          <w:rFonts w:eastAsia="等线" w:ascii="Arial" w:cs="Arial" w:hAnsi="Arial"/>
          <w:sz w:val="22"/>
        </w:rPr>
        <w:t>：平台下发出库授权指令给WMS</w:t>
      </w:r>
    </w:p>
    <w:p>
      <w:pPr>
        <w:numPr>
          <w:numId w:val="869"/>
        </w:numPr>
        <w:spacing w:before="120" w:after="120" w:line="288" w:lineRule="auto"/>
        <w:ind w:left="0"/>
        <w:jc w:val="left"/>
      </w:pPr>
      <w:r>
        <w:rPr>
          <w:rFonts w:eastAsia="等线" w:ascii="Arial" w:cs="Arial" w:hAnsi="Arial"/>
          <w:b w:val="true"/>
          <w:sz w:val="22"/>
        </w:rPr>
        <w:t>批量同步</w:t>
      </w:r>
      <w:r>
        <w:rPr>
          <w:rFonts w:eastAsia="等线" w:ascii="Arial" w:cs="Arial" w:hAnsi="Arial"/>
          <w:sz w:val="22"/>
        </w:rPr>
        <w:t>：库存数据每5分钟批量推送</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6" w:id="176"/>
      <w:r>
        <w:rPr>
          <w:rFonts w:eastAsia="等线" w:ascii="Arial" w:cs="Arial" w:hAnsi="Arial"/>
          <w:color w:val="3370ff"/>
          <w:sz w:val="32"/>
        </w:rPr>
        <w:t xml:space="preserve">4.3 </w:t>
      </w:r>
      <w:r>
        <w:rPr>
          <w:rFonts w:eastAsia="等线" w:ascii="Arial" w:cs="Arial" w:hAnsi="Arial"/>
          <w:b w:val="true"/>
          <w:sz w:val="32"/>
        </w:rPr>
        <w:t>与银行核心系统的集成</w:t>
      </w:r>
      <w:bookmarkEnd w:id="176"/>
    </w:p>
    <w:p>
      <w:pPr>
        <w:spacing w:before="120" w:after="120" w:line="288" w:lineRule="auto"/>
        <w:ind w:left="0"/>
        <w:jc w:val="left"/>
      </w:pPr>
      <w:r>
        <w:rPr>
          <w:rFonts w:eastAsia="等线" w:ascii="Arial" w:cs="Arial" w:hAnsi="Arial"/>
          <w:sz w:val="22"/>
        </w:rPr>
        <w:t>实现融资业务的资金流转自动化，确保放款、还款的准确性和时效性。接收银行出库授权，支撑平台出库审批决策。</w:t>
      </w:r>
    </w:p>
    <w:p>
      <w:pPr>
        <w:pStyle w:val="3"/>
        <w:spacing w:before="300" w:after="120" w:line="288" w:lineRule="auto"/>
        <w:ind w:left="0"/>
        <w:jc w:val="left"/>
        <w:outlineLvl w:val="2"/>
      </w:pPr>
      <w:bookmarkStart w:name="heading_177" w:id="177"/>
      <w:r>
        <w:rPr>
          <w:rFonts w:eastAsia="等线" w:ascii="Arial" w:cs="Arial" w:hAnsi="Arial"/>
          <w:color w:val="3370ff"/>
          <w:sz w:val="30"/>
        </w:rPr>
        <w:t xml:space="preserve">4.3.1 </w:t>
      </w:r>
      <w:r>
        <w:rPr>
          <w:rFonts w:eastAsia="等线" w:ascii="Arial" w:cs="Arial" w:hAnsi="Arial"/>
          <w:b w:val="true"/>
          <w:sz w:val="30"/>
        </w:rPr>
        <w:t>集成数据</w:t>
      </w:r>
      <w:bookmarkEnd w:id="177"/>
    </w:p>
    <w:p>
      <w:pPr>
        <w:spacing w:before="120" w:after="120" w:line="288" w:lineRule="auto"/>
        <w:ind w:left="0"/>
      </w:pPr>
      <w:r>
        <w:object>
          <v:shape id="_x0000_i1113" style="width:414pt;height:187pt;mso-width-percent:0;mso-height-percent:0;mso-width-percent:0;mso-height-percent:0" type="#_x0000_t75" o:ole="">
            <v:imagedata r:id="rId202" o:title=""/>
          </v:shape>
          <o:OLEObject DrawAspect="Icon" ObjectID="_1718471307" ProgID="Excel.Sheet.12" ShapeID="_x0000_i1113" Type="Embed" r:id="rId20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78" w:id="178"/>
      <w:r>
        <w:rPr>
          <w:rFonts w:eastAsia="等线" w:ascii="Arial" w:cs="Arial" w:hAnsi="Arial"/>
          <w:color w:val="3370ff"/>
          <w:sz w:val="30"/>
        </w:rPr>
        <w:t xml:space="preserve">4.3.2 </w:t>
      </w:r>
      <w:r>
        <w:rPr>
          <w:rFonts w:eastAsia="等线" w:ascii="Arial" w:cs="Arial" w:hAnsi="Arial"/>
          <w:b w:val="true"/>
          <w:sz w:val="30"/>
        </w:rPr>
        <w:t>集成流程</w:t>
      </w:r>
      <w:bookmarkEnd w:id="1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xml:space="preserve">    participant E as 经销商</w:t>
              <w:br/>
              <w:t xml:space="preserve">    participant P as 平台</w:t>
              <w:br/>
              <w:t xml:space="preserve">    participant B as 银行核心</w:t>
              <w:br/>
              <w:t xml:space="preserve">    participant W as WMS系统</w:t>
              <w:br/>
              <w:t xml:space="preserve">    </w:t>
              <w:br/>
              <w:t xml:space="preserve">    Note over E,W: 放款阶段</w:t>
              <w:br/>
              <w:t xml:space="preserve">    E-&gt;&gt;P: 1.提交融资申请</w:t>
              <w:br/>
              <w:t xml:space="preserve">    P-&gt;&gt;P: 2.审批流程</w:t>
              <w:br/>
              <w:t xml:space="preserve">    P-&gt;&gt;W: 3.确认货物已入库</w:t>
              <w:br/>
              <w:t xml:space="preserve">    W-&gt;&gt;P: 4.入库确认</w:t>
              <w:br/>
              <w:t xml:space="preserve">    P-&gt;&gt;B: 5.推送放款申请</w:t>
              <w:br/>
              <w:t xml:space="preserve">    B-&gt;&gt;B: 6.银行审核</w:t>
              <w:br/>
              <w:t xml:space="preserve">    B-&gt;&gt;E: 7.放款到账</w:t>
              <w:br/>
              <w:t xml:space="preserve">    B-&gt;&gt;P: 8.放款结果反馈</w:t>
              <w:br/>
              <w:t xml:space="preserve">    P-&gt;&gt;P: 9.更新业务状态</w:t>
              <w:br/>
              <w:t xml:space="preserve">    </w:t>
              <w:br/>
              <w:t xml:space="preserve">    Note over E,W: 还款与出库阶段</w:t>
              <w:br/>
              <w:t xml:space="preserve">    E-&gt;&gt;B: 10.还款</w:t>
              <w:br/>
              <w:t xml:space="preserve">    B-&gt;&gt;P: 11.还款结果通知</w:t>
              <w:br/>
              <w:t xml:space="preserve">    P-&gt;&gt;P: 12.确认还款</w:t>
              <w:br/>
              <w:t xml:space="preserve">    B-&gt;&gt;P: 13.发送出库授权</w:t>
              <w:br/>
              <w:t xml:space="preserve">    P-&gt;&gt;P: 14.出库审批</w:t>
              <w:br/>
              <w:t xml:space="preserve">    P-&gt;&gt;W: 15.下发出库指令</w:t>
              <w:br/>
              <w:t xml:space="preserve">    W-&gt;&gt;E: 16.通知提货</w:t>
            </w:r>
          </w:p>
        </w:tc>
      </w:tr>
    </w:tbl>
    <w:p>
      <w:pPr>
        <w:pStyle w:val="3"/>
        <w:spacing w:before="300" w:after="120" w:line="288" w:lineRule="auto"/>
        <w:ind w:left="0"/>
        <w:jc w:val="left"/>
        <w:outlineLvl w:val="2"/>
      </w:pPr>
      <w:bookmarkStart w:name="heading_179" w:id="179"/>
      <w:r>
        <w:rPr>
          <w:rFonts w:eastAsia="等线" w:ascii="Arial" w:cs="Arial" w:hAnsi="Arial"/>
          <w:color w:val="3370ff"/>
          <w:sz w:val="30"/>
        </w:rPr>
        <w:t xml:space="preserve">4.3.3 </w:t>
      </w:r>
      <w:r>
        <w:rPr>
          <w:rFonts w:eastAsia="等线" w:ascii="Arial" w:cs="Arial" w:hAnsi="Arial"/>
          <w:b w:val="true"/>
          <w:sz w:val="30"/>
        </w:rPr>
        <w:t>集成方式</w:t>
      </w:r>
      <w:bookmarkEnd w:id="179"/>
    </w:p>
    <w:p>
      <w:pPr>
        <w:numPr>
          <w:numId w:val="870"/>
        </w:numPr>
        <w:spacing w:before="120" w:after="120" w:line="288" w:lineRule="auto"/>
        <w:ind w:left="0"/>
        <w:jc w:val="left"/>
      </w:pPr>
      <w:r>
        <w:rPr>
          <w:rFonts w:eastAsia="等线" w:ascii="Arial" w:cs="Arial" w:hAnsi="Arial"/>
          <w:b w:val="true"/>
          <w:sz w:val="22"/>
        </w:rPr>
        <w:t>银行专线API接口</w:t>
      </w:r>
      <w:r>
        <w:rPr>
          <w:rFonts w:eastAsia="等线" w:ascii="Arial" w:cs="Arial" w:hAnsi="Arial"/>
          <w:sz w:val="22"/>
        </w:rPr>
        <w:t>：放款申请、还款通知、出库授权等</w:t>
      </w:r>
    </w:p>
    <w:p>
      <w:pPr>
        <w:numPr>
          <w:numId w:val="871"/>
        </w:numPr>
        <w:spacing w:before="120" w:after="120" w:line="288" w:lineRule="auto"/>
        <w:ind w:left="0"/>
        <w:jc w:val="left"/>
      </w:pPr>
      <w:r>
        <w:rPr>
          <w:rFonts w:eastAsia="等线" w:ascii="Arial" w:cs="Arial" w:hAnsi="Arial"/>
          <w:b w:val="true"/>
          <w:sz w:val="22"/>
        </w:rPr>
        <w:t>日终对账文件</w:t>
      </w:r>
      <w:r>
        <w:rPr>
          <w:rFonts w:eastAsia="等线" w:ascii="Arial" w:cs="Arial" w:hAnsi="Arial"/>
          <w:sz w:val="22"/>
        </w:rPr>
        <w:t>：确保数据一致性</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0" w:id="180"/>
      <w:r>
        <w:rPr>
          <w:rFonts w:eastAsia="等线" w:ascii="Arial" w:cs="Arial" w:hAnsi="Arial"/>
          <w:color w:val="3370ff"/>
          <w:sz w:val="32"/>
        </w:rPr>
        <w:t xml:space="preserve">4.4 </w:t>
      </w:r>
      <w:r>
        <w:rPr>
          <w:rFonts w:eastAsia="等线" w:ascii="Arial" w:cs="Arial" w:hAnsi="Arial"/>
          <w:b w:val="true"/>
          <w:sz w:val="32"/>
        </w:rPr>
        <w:t>与征信系统的集成</w:t>
      </w:r>
      <w:bookmarkEnd w:id="180"/>
    </w:p>
    <w:p>
      <w:pPr>
        <w:spacing w:before="120" w:after="120" w:line="288" w:lineRule="auto"/>
        <w:ind w:left="0"/>
        <w:jc w:val="left"/>
      </w:pPr>
      <w:r>
        <w:rPr>
          <w:rFonts w:eastAsia="等线" w:ascii="Arial" w:cs="Arial" w:hAnsi="Arial"/>
          <w:sz w:val="22"/>
        </w:rPr>
        <w:t>查询企业和法人的信用状况，为客户准入和授信额度调整提供依据。</w:t>
      </w:r>
    </w:p>
    <w:p>
      <w:pPr>
        <w:pStyle w:val="3"/>
        <w:spacing w:before="300" w:after="120" w:line="288" w:lineRule="auto"/>
        <w:ind w:left="0"/>
        <w:jc w:val="left"/>
        <w:outlineLvl w:val="2"/>
      </w:pPr>
      <w:bookmarkStart w:name="heading_181" w:id="181"/>
      <w:r>
        <w:rPr>
          <w:rFonts w:eastAsia="等线" w:ascii="Arial" w:cs="Arial" w:hAnsi="Arial"/>
          <w:color w:val="3370ff"/>
          <w:sz w:val="30"/>
        </w:rPr>
        <w:t xml:space="preserve">4.4.1 </w:t>
      </w:r>
      <w:r>
        <w:rPr>
          <w:rFonts w:eastAsia="等线" w:ascii="Arial" w:cs="Arial" w:hAnsi="Arial"/>
          <w:b w:val="true"/>
          <w:sz w:val="30"/>
        </w:rPr>
        <w:t>集成数据</w:t>
      </w:r>
      <w:bookmarkEnd w:id="181"/>
    </w:p>
    <w:p>
      <w:pPr>
        <w:spacing w:before="120" w:after="120" w:line="288" w:lineRule="auto"/>
        <w:ind w:left="0"/>
      </w:pPr>
      <w:r>
        <w:object>
          <v:shape id="_x0000_i1114" style="width:414pt;height:112pt;mso-width-percent:0;mso-height-percent:0;mso-width-percent:0;mso-height-percent:0" type="#_x0000_t75" o:ole="">
            <v:imagedata r:id="rId204" o:title=""/>
          </v:shape>
          <o:OLEObject DrawAspect="Icon" ObjectID="_1718471308" ProgID="Excel.Sheet.12" ShapeID="_x0000_i1114" Type="Embed" r:id="rId20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2" w:id="182"/>
      <w:r>
        <w:rPr>
          <w:rFonts w:eastAsia="等线" w:ascii="Arial" w:cs="Arial" w:hAnsi="Arial"/>
          <w:color w:val="3370ff"/>
          <w:sz w:val="30"/>
        </w:rPr>
        <w:t xml:space="preserve">4.4.2 </w:t>
      </w:r>
      <w:r>
        <w:rPr>
          <w:rFonts w:eastAsia="等线" w:ascii="Arial" w:cs="Arial" w:hAnsi="Arial"/>
          <w:b w:val="true"/>
          <w:sz w:val="30"/>
        </w:rPr>
        <w:t>集成流程</w:t>
      </w:r>
      <w:bookmarkEnd w:id="1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xml:space="preserve">    participant E as 经销商</w:t>
              <w:br/>
              <w:t xml:space="preserve">    participant P as 平台</w:t>
              <w:br/>
              <w:t xml:space="preserve">    participant C as 征信系统</w:t>
              <w:br/>
              <w:t xml:space="preserve">    </w:t>
              <w:br/>
              <w:t xml:space="preserve">    E-&gt;&gt;P: 1.提交准入申请</w:t>
              <w:br/>
              <w:t xml:space="preserve">    P-&gt;&gt;P: 2.初审通过</w:t>
              <w:br/>
              <w:t xml:space="preserve">    P-&gt;&gt;C: 3.查询征信报告&lt;br/&gt;GET /api/credit/query</w:t>
              <w:br/>
              <w:t xml:space="preserve">    C-&gt;&gt;P: 4.返回征信结果&lt;br/&gt;(征信报告/诉讼/失信)</w:t>
              <w:br/>
              <w:t xml:space="preserve">    P-&gt;&gt;P: 5.自动比对黑名单</w:t>
              <w:br/>
              <w:t xml:space="preserve">    alt 重大风险</w:t>
              <w:br/>
              <w:t xml:space="preserve">        P-&gt;&gt;E: 6a.自动驳回申请</w:t>
              <w:br/>
              <w:t xml:space="preserve">    else 一般风险</w:t>
              <w:br/>
              <w:t xml:space="preserve">        P-&gt;&gt;P: 6b.提示审核人员</w:t>
              <w:br/>
              <w:t xml:space="preserve">    else 无风险</w:t>
              <w:br/>
              <w:t xml:space="preserve">        P-&gt;&gt;P: 6c.审批流程继续</w:t>
              <w:br/>
              <w:t xml:space="preserve">    end</w:t>
            </w:r>
          </w:p>
        </w:tc>
      </w:tr>
    </w:tbl>
    <w:p>
      <w:pPr>
        <w:pStyle w:val="3"/>
        <w:spacing w:before="300" w:after="120" w:line="288" w:lineRule="auto"/>
        <w:ind w:left="0"/>
        <w:jc w:val="left"/>
        <w:outlineLvl w:val="2"/>
      </w:pPr>
      <w:bookmarkStart w:name="heading_183" w:id="183"/>
      <w:r>
        <w:rPr>
          <w:rFonts w:eastAsia="等线" w:ascii="Arial" w:cs="Arial" w:hAnsi="Arial"/>
          <w:color w:val="3370ff"/>
          <w:sz w:val="30"/>
        </w:rPr>
        <w:t xml:space="preserve">4.4.3 </w:t>
      </w:r>
      <w:r>
        <w:rPr>
          <w:rFonts w:eastAsia="等线" w:ascii="Arial" w:cs="Arial" w:hAnsi="Arial"/>
          <w:b w:val="true"/>
          <w:sz w:val="30"/>
        </w:rPr>
        <w:t>集成方式</w:t>
      </w:r>
      <w:bookmarkEnd w:id="183"/>
    </w:p>
    <w:p>
      <w:pPr>
        <w:numPr>
          <w:numId w:val="872"/>
        </w:numPr>
        <w:spacing w:before="120" w:after="120" w:line="288" w:lineRule="auto"/>
        <w:ind w:left="0"/>
        <w:jc w:val="left"/>
      </w:pPr>
      <w:r>
        <w:rPr>
          <w:rFonts w:eastAsia="等线" w:ascii="Arial" w:cs="Arial" w:hAnsi="Arial"/>
          <w:b w:val="true"/>
          <w:sz w:val="22"/>
        </w:rPr>
        <w:t>第三方API接口</w:t>
      </w:r>
      <w:r>
        <w:rPr>
          <w:rFonts w:eastAsia="等线" w:ascii="Arial" w:cs="Arial" w:hAnsi="Arial"/>
          <w:sz w:val="22"/>
        </w:rPr>
        <w:t>：调用企查查、天眼查等征信平台API</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4" w:id="184"/>
      <w:r>
        <w:rPr>
          <w:rFonts w:eastAsia="等线" w:ascii="Arial" w:cs="Arial" w:hAnsi="Arial"/>
          <w:color w:val="3370ff"/>
          <w:sz w:val="32"/>
        </w:rPr>
        <w:t xml:space="preserve">4.5 </w:t>
      </w:r>
      <w:r>
        <w:rPr>
          <w:rFonts w:eastAsia="等线" w:ascii="Arial" w:cs="Arial" w:hAnsi="Arial"/>
          <w:b w:val="true"/>
          <w:sz w:val="32"/>
        </w:rPr>
        <w:t>与其他系统的集成</w:t>
      </w:r>
      <w:bookmarkEnd w:id="184"/>
    </w:p>
    <w:p>
      <w:pPr>
        <w:pStyle w:val="3"/>
        <w:spacing w:before="300" w:after="120" w:line="288" w:lineRule="auto"/>
        <w:ind w:left="0"/>
        <w:jc w:val="left"/>
        <w:outlineLvl w:val="2"/>
      </w:pPr>
      <w:bookmarkStart w:name="heading_185" w:id="185"/>
      <w:r>
        <w:rPr>
          <w:rFonts w:eastAsia="等线" w:ascii="Arial" w:cs="Arial" w:hAnsi="Arial"/>
          <w:color w:val="3370ff"/>
          <w:sz w:val="30"/>
        </w:rPr>
        <w:t xml:space="preserve">4.5.1 </w:t>
      </w:r>
      <w:r>
        <w:rPr>
          <w:rFonts w:eastAsia="等线" w:ascii="Arial" w:cs="Arial" w:hAnsi="Arial"/>
          <w:b w:val="true"/>
          <w:sz w:val="30"/>
        </w:rPr>
        <w:t>电子签章系统</w:t>
      </w:r>
      <w:bookmarkEnd w:id="185"/>
    </w:p>
    <w:p>
      <w:pPr>
        <w:spacing w:before="120" w:after="120" w:line="288" w:lineRule="auto"/>
        <w:ind w:left="0"/>
        <w:jc w:val="left"/>
      </w:pPr>
      <w:r>
        <w:rPr>
          <w:rFonts w:eastAsia="等线" w:ascii="Arial" w:cs="Arial" w:hAnsi="Arial"/>
          <w:b w:val="true"/>
          <w:sz w:val="22"/>
        </w:rPr>
        <w:t>集成目的</w:t>
      </w:r>
      <w:r>
        <w:rPr>
          <w:rFonts w:eastAsia="等线" w:ascii="Arial" w:cs="Arial" w:hAnsi="Arial"/>
          <w:sz w:val="22"/>
        </w:rPr>
        <w:t>：实现合同和仓单的电子化签署，确保法律效力。</w:t>
      </w:r>
    </w:p>
    <w:p>
      <w:pPr>
        <w:spacing w:before="120" w:after="120" w:line="288" w:lineRule="auto"/>
        <w:ind w:left="0"/>
        <w:jc w:val="left"/>
      </w:pPr>
      <w:r>
        <w:rPr>
          <w:rFonts w:eastAsia="等线" w:ascii="Arial" w:cs="Arial" w:hAnsi="Arial"/>
          <w:b w:val="true"/>
          <w:sz w:val="22"/>
        </w:rPr>
        <w:t>集成数据</w:t>
      </w:r>
      <w:r>
        <w:rPr>
          <w:rFonts w:eastAsia="等线" w:ascii="Arial" w:cs="Arial" w:hAnsi="Arial"/>
          <w:sz w:val="22"/>
        </w:rPr>
        <w:t>：</w:t>
      </w:r>
    </w:p>
    <w:p>
      <w:pPr>
        <w:spacing w:before="120" w:after="120" w:line="288" w:lineRule="auto"/>
        <w:ind w:left="0"/>
      </w:pPr>
      <w:r>
        <w:object>
          <v:shape id="_x0000_i1115" style="width:414pt;height:80pt;mso-width-percent:0;mso-height-percent:0;mso-width-percent:0;mso-height-percent:0" type="#_x0000_t75" o:ole="">
            <v:imagedata r:id="rId206" o:title=""/>
          </v:shape>
          <o:OLEObject DrawAspect="Icon" ObjectID="_1718471309" ProgID="Excel.Sheet.12" ShapeID="_x0000_i1115" Type="Embed" r:id="rId20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集成方式</w:t>
      </w:r>
      <w:r>
        <w:rPr>
          <w:rFonts w:eastAsia="等线" w:ascii="Arial" w:cs="Arial" w:hAnsi="Arial"/>
          <w:sz w:val="22"/>
        </w:rPr>
        <w:t>：调用第三方电子签章API（e签宝、法大大等）</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6" w:id="186"/>
      <w:r>
        <w:rPr>
          <w:rFonts w:eastAsia="等线" w:ascii="Arial" w:cs="Arial" w:hAnsi="Arial"/>
          <w:color w:val="3370ff"/>
          <w:sz w:val="30"/>
        </w:rPr>
        <w:t xml:space="preserve">4.5.2 </w:t>
      </w:r>
      <w:r>
        <w:rPr>
          <w:rFonts w:eastAsia="等线" w:ascii="Arial" w:cs="Arial" w:hAnsi="Arial"/>
          <w:b w:val="true"/>
          <w:sz w:val="30"/>
        </w:rPr>
        <w:t>支付系统</w:t>
      </w:r>
      <w:bookmarkEnd w:id="186"/>
    </w:p>
    <w:p>
      <w:pPr>
        <w:spacing w:before="120" w:after="120" w:line="288" w:lineRule="auto"/>
        <w:ind w:left="0"/>
        <w:jc w:val="left"/>
      </w:pPr>
      <w:r>
        <w:rPr>
          <w:rFonts w:eastAsia="等线" w:ascii="Arial" w:cs="Arial" w:hAnsi="Arial"/>
          <w:b w:val="true"/>
          <w:sz w:val="22"/>
        </w:rPr>
        <w:t>集成目的</w:t>
      </w:r>
      <w:r>
        <w:rPr>
          <w:rFonts w:eastAsia="等线" w:ascii="Arial" w:cs="Arial" w:hAnsi="Arial"/>
          <w:sz w:val="22"/>
        </w:rPr>
        <w:t>：实现服务费收款和分润支付的自动化。</w:t>
      </w:r>
    </w:p>
    <w:p>
      <w:pPr>
        <w:spacing w:before="120" w:after="120" w:line="288" w:lineRule="auto"/>
        <w:ind w:left="0"/>
        <w:jc w:val="left"/>
      </w:pPr>
      <w:r>
        <w:rPr>
          <w:rFonts w:eastAsia="等线" w:ascii="Arial" w:cs="Arial" w:hAnsi="Arial"/>
          <w:b w:val="true"/>
          <w:sz w:val="22"/>
        </w:rPr>
        <w:t>集成数据</w:t>
      </w:r>
      <w:r>
        <w:rPr>
          <w:rFonts w:eastAsia="等线" w:ascii="Arial" w:cs="Arial" w:hAnsi="Arial"/>
          <w:sz w:val="22"/>
        </w:rPr>
        <w:t>：</w:t>
      </w:r>
    </w:p>
    <w:p>
      <w:pPr>
        <w:spacing w:before="120" w:after="120" w:line="288" w:lineRule="auto"/>
        <w:ind w:left="0"/>
      </w:pPr>
      <w:r>
        <w:object>
          <v:shape id="_x0000_i1116" style="width:414pt;height:141pt;mso-width-percent:0;mso-height-percent:0;mso-width-percent:0;mso-height-percent:0" type="#_x0000_t75" o:ole="">
            <v:imagedata r:id="rId208" o:title=""/>
          </v:shape>
          <o:OLEObject DrawAspect="Icon" ObjectID="_1718471310" ProgID="Excel.Sheet.12" ShapeID="_x0000_i1116" Type="Embed" r:id="rId20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集成方式</w:t>
      </w:r>
      <w:r>
        <w:rPr>
          <w:rFonts w:eastAsia="等线" w:ascii="Arial" w:cs="Arial" w:hAnsi="Arial"/>
          <w:sz w:val="22"/>
        </w:rPr>
        <w:t>：对接第三方支付平台API（支付宝、微信支付、银联）</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7" w:id="187"/>
      <w:r>
        <w:rPr>
          <w:rFonts w:eastAsia="等线" w:ascii="Arial" w:cs="Arial" w:hAnsi="Arial"/>
          <w:color w:val="3370ff"/>
          <w:sz w:val="30"/>
        </w:rPr>
        <w:t xml:space="preserve">4.5.3 </w:t>
      </w:r>
      <w:r>
        <w:rPr>
          <w:rFonts w:eastAsia="等线" w:ascii="Arial" w:cs="Arial" w:hAnsi="Arial"/>
          <w:b w:val="true"/>
          <w:sz w:val="30"/>
        </w:rPr>
        <w:t>价格数据源</w:t>
      </w:r>
      <w:bookmarkEnd w:id="187"/>
    </w:p>
    <w:p>
      <w:pPr>
        <w:spacing w:before="120" w:after="120" w:line="288" w:lineRule="auto"/>
        <w:ind w:left="0"/>
        <w:jc w:val="left"/>
      </w:pPr>
      <w:r>
        <w:rPr>
          <w:rFonts w:eastAsia="等线" w:ascii="Arial" w:cs="Arial" w:hAnsi="Arial"/>
          <w:b w:val="true"/>
          <w:sz w:val="22"/>
        </w:rPr>
        <w:t>集成目的</w:t>
      </w:r>
      <w:r>
        <w:rPr>
          <w:rFonts w:eastAsia="等线" w:ascii="Arial" w:cs="Arial" w:hAnsi="Arial"/>
          <w:sz w:val="22"/>
        </w:rPr>
        <w:t>：获取市场价格数据，支撑货值计算和质押率监控。</w:t>
      </w:r>
    </w:p>
    <w:p>
      <w:pPr>
        <w:spacing w:before="120" w:after="120" w:line="288" w:lineRule="auto"/>
        <w:ind w:left="0"/>
        <w:jc w:val="left"/>
      </w:pPr>
      <w:r>
        <w:rPr>
          <w:rFonts w:eastAsia="等线" w:ascii="Arial" w:cs="Arial" w:hAnsi="Arial"/>
          <w:b w:val="true"/>
          <w:sz w:val="22"/>
        </w:rPr>
        <w:t>集成数据</w:t>
      </w:r>
      <w:r>
        <w:rPr>
          <w:rFonts w:eastAsia="等线" w:ascii="Arial" w:cs="Arial" w:hAnsi="Arial"/>
          <w:sz w:val="22"/>
        </w:rPr>
        <w:t>：</w:t>
      </w:r>
    </w:p>
    <w:p>
      <w:pPr>
        <w:spacing w:before="120" w:after="120" w:line="288" w:lineRule="auto"/>
        <w:ind w:left="0"/>
      </w:pPr>
      <w:r>
        <w:object>
          <v:shape id="_x0000_i1117" style="width:414pt;height:112pt;mso-width-percent:0;mso-height-percent:0;mso-width-percent:0;mso-height-percent:0" type="#_x0000_t75" o:ole="">
            <v:imagedata r:id="rId210" o:title=""/>
          </v:shape>
          <o:OLEObject DrawAspect="Icon" ObjectID="_1718471311" ProgID="Excel.Sheet.12" ShapeID="_x0000_i1117" Type="Embed" r:id="rId20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数据来源</w:t>
      </w:r>
      <w:r>
        <w:rPr>
          <w:rFonts w:eastAsia="等线" w:ascii="Arial" w:cs="Arial" w:hAnsi="Arial"/>
          <w:sz w:val="22"/>
        </w:rPr>
        <w:t>：中关村在线、1919、酒仙网等</w:t>
      </w:r>
    </w:p>
    <w:p>
      <w:pPr>
        <w:spacing w:before="120" w:after="120" w:line="288" w:lineRule="auto"/>
        <w:ind w:left="0"/>
        <w:jc w:val="left"/>
      </w:pPr>
      <w:r>
        <w:rPr>
          <w:rFonts w:eastAsia="等线" w:ascii="Arial" w:cs="Arial" w:hAnsi="Arial"/>
          <w:b w:val="true"/>
          <w:sz w:val="22"/>
        </w:rPr>
        <w:t>集成方式</w:t>
      </w:r>
      <w:r>
        <w:rPr>
          <w:rFonts w:eastAsia="等线" w:ascii="Arial" w:cs="Arial" w:hAnsi="Arial"/>
          <w:sz w:val="22"/>
        </w:rPr>
        <w:t>：API对接或爬虫抓取 + 数据清洗</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8" w:id="188"/>
      <w:r>
        <w:rPr>
          <w:rFonts w:eastAsia="等线" w:ascii="Arial" w:cs="Arial" w:hAnsi="Arial"/>
          <w:color w:val="3370ff"/>
          <w:sz w:val="30"/>
        </w:rPr>
        <w:t xml:space="preserve">4.5.4 </w:t>
      </w:r>
      <w:r>
        <w:rPr>
          <w:rFonts w:eastAsia="等线" w:ascii="Arial" w:cs="Arial" w:hAnsi="Arial"/>
          <w:b w:val="true"/>
          <w:sz w:val="30"/>
        </w:rPr>
        <w:t>物流TMS/DMS（可选）</w:t>
      </w:r>
      <w:bookmarkEnd w:id="188"/>
    </w:p>
    <w:p>
      <w:pPr>
        <w:spacing w:before="120" w:after="120" w:line="288" w:lineRule="auto"/>
        <w:ind w:left="0"/>
        <w:jc w:val="left"/>
      </w:pPr>
      <w:r>
        <w:rPr>
          <w:rFonts w:eastAsia="等线" w:ascii="Arial" w:cs="Arial" w:hAnsi="Arial"/>
          <w:b w:val="true"/>
          <w:sz w:val="22"/>
        </w:rPr>
        <w:t>集成目的</w:t>
      </w:r>
      <w:r>
        <w:rPr>
          <w:rFonts w:eastAsia="等线" w:ascii="Arial" w:cs="Arial" w:hAnsi="Arial"/>
          <w:sz w:val="22"/>
        </w:rPr>
        <w:t>：获取货物在途运输状态，辅助风险监控。</w:t>
      </w:r>
    </w:p>
    <w:p>
      <w:pPr>
        <w:spacing w:before="120" w:after="120" w:line="288" w:lineRule="auto"/>
        <w:ind w:left="0"/>
        <w:jc w:val="left"/>
      </w:pPr>
      <w:r>
        <w:rPr>
          <w:rFonts w:eastAsia="等线" w:ascii="Arial" w:cs="Arial" w:hAnsi="Arial"/>
          <w:b w:val="true"/>
          <w:sz w:val="22"/>
        </w:rPr>
        <w:t>集成数据</w:t>
      </w:r>
      <w:r>
        <w:rPr>
          <w:rFonts w:eastAsia="等线" w:ascii="Arial" w:cs="Arial" w:hAnsi="Arial"/>
          <w:sz w:val="22"/>
        </w:rPr>
        <w:t>：</w:t>
      </w:r>
    </w:p>
    <w:p>
      <w:pPr>
        <w:spacing w:before="120" w:after="120" w:line="288" w:lineRule="auto"/>
        <w:ind w:left="0"/>
      </w:pPr>
      <w:r>
        <w:object>
          <v:shape id="_x0000_i1118" style="width:414pt;height:63pt;mso-width-percent:0;mso-height-percent:0;mso-width-percent:0;mso-height-percent:0" type="#_x0000_t75" o:ole="">
            <v:imagedata r:id="rId212" o:title=""/>
          </v:shape>
          <o:OLEObject DrawAspect="Icon" ObjectID="_1718471312" ProgID="Excel.Sheet.12" ShapeID="_x0000_i1118" Type="Embed" r:id="rId2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集成方式</w:t>
      </w:r>
      <w:r>
        <w:rPr>
          <w:rFonts w:eastAsia="等线" w:ascii="Arial" w:cs="Arial" w:hAnsi="Arial"/>
          <w:sz w:val="22"/>
        </w:rPr>
        <w:t>：API接口（非核心集成，可选）</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89" w:id="189"/>
      <w:r>
        <w:rPr>
          <w:rFonts w:eastAsia="等线" w:ascii="Arial" w:cs="Arial" w:hAnsi="Arial"/>
          <w:color w:val="3370ff"/>
          <w:sz w:val="36"/>
        </w:rPr>
        <w:t xml:space="preserve">5. </w:t>
      </w:r>
      <w:r>
        <w:rPr>
          <w:rFonts w:eastAsia="等线" w:ascii="Arial" w:cs="Arial" w:hAnsi="Arial"/>
          <w:b w:val="true"/>
          <w:sz w:val="36"/>
        </w:rPr>
        <w:t>报表管理</w:t>
      </w:r>
      <w:bookmarkEnd w:id="189"/>
    </w:p>
    <w:p>
      <w:pPr>
        <w:pStyle w:val="2"/>
        <w:spacing w:before="320" w:after="120" w:line="288" w:lineRule="auto"/>
        <w:ind w:left="0"/>
        <w:jc w:val="left"/>
        <w:outlineLvl w:val="1"/>
      </w:pPr>
      <w:bookmarkStart w:name="heading_190" w:id="190"/>
      <w:r>
        <w:rPr>
          <w:rFonts w:eastAsia="等线" w:ascii="Arial" w:cs="Arial" w:hAnsi="Arial"/>
          <w:b w:val="true"/>
          <w:sz w:val="32"/>
        </w:rPr>
        <w:t>报表需求</w:t>
      </w:r>
      <w:bookmarkEnd w:id="190"/>
    </w:p>
    <w:p>
      <w:pPr>
        <w:spacing w:before="120" w:after="120" w:line="288" w:lineRule="auto"/>
        <w:ind w:left="0"/>
        <w:jc w:val="left"/>
      </w:pPr>
      <w:r>
        <w:rPr>
          <w:rFonts w:eastAsia="等线" w:ascii="Arial" w:cs="Arial" w:hAnsi="Arial"/>
          <w:sz w:val="22"/>
        </w:rPr>
        <w:t>平台需要提供以下核心报表：</w:t>
      </w:r>
    </w:p>
    <w:p>
      <w:pPr>
        <w:spacing w:before="120" w:after="120" w:line="288" w:lineRule="auto"/>
        <w:ind w:left="0"/>
      </w:pPr>
      <w:r>
        <w:object>
          <v:shape id="_x0000_i1119" style="width:414pt;height:197pt;mso-width-percent:0;mso-height-percent:0;mso-width-percent:0;mso-height-percent:0" type="#_x0000_t75" o:ole="">
            <v:imagedata r:id="rId214" o:title=""/>
          </v:shape>
          <o:OLEObject DrawAspect="Icon" ObjectID="_1718471313" ProgID="Excel.Sheet.12" ShapeID="_x0000_i1119" Type="Embed" r:id="rId2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报表通用需求</w:t>
      </w:r>
      <w:r>
        <w:rPr>
          <w:rFonts w:eastAsia="等线" w:ascii="Arial" w:cs="Arial" w:hAnsi="Arial"/>
          <w:sz w:val="22"/>
        </w:rPr>
        <w:t>：</w:t>
      </w:r>
    </w:p>
    <w:p>
      <w:pPr>
        <w:numPr>
          <w:numId w:val="873"/>
        </w:numPr>
        <w:spacing w:before="120" w:after="120" w:line="288" w:lineRule="auto"/>
        <w:ind w:left="0"/>
        <w:jc w:val="left"/>
      </w:pPr>
      <w:r>
        <w:rPr>
          <w:rFonts w:eastAsia="等线" w:ascii="Arial" w:cs="Arial" w:hAnsi="Arial"/>
          <w:sz w:val="22"/>
        </w:rPr>
        <w:t>支持按时间、客户、核心企业、品类等维度筛选</w:t>
      </w:r>
    </w:p>
    <w:p>
      <w:pPr>
        <w:numPr>
          <w:numId w:val="874"/>
        </w:numPr>
        <w:spacing w:before="120" w:after="120" w:line="288" w:lineRule="auto"/>
        <w:ind w:left="0"/>
        <w:jc w:val="left"/>
      </w:pPr>
      <w:r>
        <w:rPr>
          <w:rFonts w:eastAsia="等线" w:ascii="Arial" w:cs="Arial" w:hAnsi="Arial"/>
          <w:sz w:val="22"/>
        </w:rPr>
        <w:t>支持导出Excel、PDF格式</w:t>
      </w:r>
    </w:p>
    <w:p>
      <w:pPr>
        <w:numPr>
          <w:numId w:val="875"/>
        </w:numPr>
        <w:spacing w:before="120" w:after="120" w:line="288" w:lineRule="auto"/>
        <w:ind w:left="0"/>
        <w:jc w:val="left"/>
      </w:pPr>
      <w:r>
        <w:rPr>
          <w:rFonts w:eastAsia="等线" w:ascii="Arial" w:cs="Arial" w:hAnsi="Arial"/>
          <w:sz w:val="22"/>
        </w:rPr>
        <w:t>关键报表支持订阅推送（邮件、系统消息）</w:t>
      </w:r>
    </w:p>
    <w:p>
      <w:pPr>
        <w:spacing w:before="120" w:after="120" w:line="288" w:lineRule="auto"/>
        <w:ind w:left="0"/>
        <w:jc w:val="left"/>
      </w:pPr>
    </w:p>
    <w:sectPr>
      <w:footerReference w:type="default" r:id="rId3"/>
      <w:headerReference w:type="default" r:id="rId2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567642">
    <w:lvl>
      <w:numFmt w:val="bullet"/>
      <w:suff w:val="tab"/>
      <w:lvlText w:val="•"/>
      <w:rPr>
        <w:color w:val="3370ff"/>
      </w:rPr>
    </w:lvl>
  </w:abstractNum>
  <w:abstractNum w:abstractNumId="3567643">
    <w:lvl>
      <w:numFmt w:val="bullet"/>
      <w:suff w:val="tab"/>
      <w:lvlText w:val="•"/>
      <w:rPr>
        <w:color w:val="3370ff"/>
      </w:rPr>
    </w:lvl>
  </w:abstractNum>
  <w:abstractNum w:abstractNumId="3567644">
    <w:lvl>
      <w:numFmt w:val="bullet"/>
      <w:suff w:val="tab"/>
      <w:lvlText w:val="￮"/>
      <w:rPr>
        <w:color w:val="3370ff"/>
      </w:rPr>
    </w:lvl>
  </w:abstractNum>
  <w:abstractNum w:abstractNumId="3567645">
    <w:lvl>
      <w:numFmt w:val="bullet"/>
      <w:suff w:val="tab"/>
      <w:lvlText w:val="￮"/>
      <w:rPr>
        <w:color w:val="3370ff"/>
      </w:rPr>
    </w:lvl>
  </w:abstractNum>
  <w:abstractNum w:abstractNumId="3567646">
    <w:lvl>
      <w:numFmt w:val="bullet"/>
      <w:suff w:val="tab"/>
      <w:lvlText w:val="•"/>
      <w:rPr>
        <w:color w:val="3370ff"/>
      </w:rPr>
    </w:lvl>
  </w:abstractNum>
  <w:abstractNum w:abstractNumId="3567647">
    <w:lvl>
      <w:numFmt w:val="bullet"/>
      <w:suff w:val="tab"/>
      <w:lvlText w:val="•"/>
      <w:rPr>
        <w:color w:val="3370ff"/>
      </w:rPr>
    </w:lvl>
  </w:abstractNum>
  <w:abstractNum w:abstractNumId="3567648">
    <w:lvl>
      <w:numFmt w:val="bullet"/>
      <w:suff w:val="tab"/>
      <w:lvlText w:val="•"/>
      <w:rPr>
        <w:color w:val="3370ff"/>
      </w:rPr>
    </w:lvl>
  </w:abstractNum>
  <w:abstractNum w:abstractNumId="3567649">
    <w:lvl>
      <w:numFmt w:val="bullet"/>
      <w:suff w:val="tab"/>
      <w:lvlText w:val="•"/>
      <w:rPr>
        <w:color w:val="3370ff"/>
      </w:rPr>
    </w:lvl>
  </w:abstractNum>
  <w:abstractNum w:abstractNumId="3567650">
    <w:lvl>
      <w:numFmt w:val="bullet"/>
      <w:suff w:val="tab"/>
      <w:lvlText w:val="•"/>
      <w:rPr>
        <w:color w:val="3370ff"/>
      </w:rPr>
    </w:lvl>
  </w:abstractNum>
  <w:abstractNum w:abstractNumId="3567651">
    <w:lvl>
      <w:numFmt w:val="bullet"/>
      <w:suff w:val="tab"/>
      <w:lvlText w:val="￮"/>
      <w:rPr>
        <w:color w:val="3370ff"/>
      </w:rPr>
    </w:lvl>
  </w:abstractNum>
  <w:abstractNum w:abstractNumId="3567652">
    <w:lvl>
      <w:numFmt w:val="bullet"/>
      <w:suff w:val="tab"/>
      <w:lvlText w:val="▪"/>
      <w:rPr>
        <w:color w:val="3370ff"/>
        <w:sz w:val="11"/>
      </w:rPr>
    </w:lvl>
  </w:abstractNum>
  <w:abstractNum w:abstractNumId="3567653">
    <w:lvl>
      <w:numFmt w:val="bullet"/>
      <w:suff w:val="tab"/>
      <w:lvlText w:val="▪"/>
      <w:rPr>
        <w:color w:val="3370ff"/>
        <w:sz w:val="11"/>
      </w:rPr>
    </w:lvl>
  </w:abstractNum>
  <w:abstractNum w:abstractNumId="3567654">
    <w:lvl>
      <w:numFmt w:val="bullet"/>
      <w:suff w:val="tab"/>
      <w:lvlText w:val="▪"/>
      <w:rPr>
        <w:color w:val="3370ff"/>
        <w:sz w:val="11"/>
      </w:rPr>
    </w:lvl>
  </w:abstractNum>
  <w:abstractNum w:abstractNumId="3567655">
    <w:lvl>
      <w:numFmt w:val="bullet"/>
      <w:suff w:val="tab"/>
      <w:lvlText w:val="￮"/>
      <w:rPr>
        <w:color w:val="3370ff"/>
      </w:rPr>
    </w:lvl>
  </w:abstractNum>
  <w:abstractNum w:abstractNumId="3567656">
    <w:lvl>
      <w:numFmt w:val="bullet"/>
      <w:suff w:val="tab"/>
      <w:lvlText w:val="▪"/>
      <w:rPr>
        <w:color w:val="3370ff"/>
        <w:sz w:val="11"/>
      </w:rPr>
    </w:lvl>
  </w:abstractNum>
  <w:abstractNum w:abstractNumId="3567657">
    <w:lvl>
      <w:numFmt w:val="bullet"/>
      <w:suff w:val="tab"/>
      <w:lvlText w:val="▪"/>
      <w:rPr>
        <w:color w:val="3370ff"/>
        <w:sz w:val="11"/>
      </w:rPr>
    </w:lvl>
  </w:abstractNum>
  <w:abstractNum w:abstractNumId="3567658">
    <w:lvl>
      <w:numFmt w:val="bullet"/>
      <w:suff w:val="tab"/>
      <w:lvlText w:val="•"/>
      <w:rPr>
        <w:color w:val="3370ff"/>
      </w:rPr>
    </w:lvl>
  </w:abstractNum>
  <w:abstractNum w:abstractNumId="3567659">
    <w:lvl>
      <w:numFmt w:val="bullet"/>
      <w:suff w:val="tab"/>
      <w:lvlText w:val="￮"/>
      <w:rPr>
        <w:color w:val="3370ff"/>
      </w:rPr>
    </w:lvl>
  </w:abstractNum>
  <w:abstractNum w:abstractNumId="3567660">
    <w:lvl>
      <w:numFmt w:val="bullet"/>
      <w:suff w:val="tab"/>
      <w:lvlText w:val="▪"/>
      <w:rPr>
        <w:color w:val="3370ff"/>
        <w:sz w:val="11"/>
      </w:rPr>
    </w:lvl>
  </w:abstractNum>
  <w:abstractNum w:abstractNumId="3567661">
    <w:lvl>
      <w:numFmt w:val="bullet"/>
      <w:suff w:val="tab"/>
      <w:lvlText w:val="▪"/>
      <w:rPr>
        <w:color w:val="3370ff"/>
        <w:sz w:val="11"/>
      </w:rPr>
    </w:lvl>
  </w:abstractNum>
  <w:abstractNum w:abstractNumId="3567662">
    <w:lvl>
      <w:numFmt w:val="bullet"/>
      <w:suff w:val="tab"/>
      <w:lvlText w:val="￮"/>
      <w:rPr>
        <w:color w:val="3370ff"/>
      </w:rPr>
    </w:lvl>
  </w:abstractNum>
  <w:abstractNum w:abstractNumId="3567663">
    <w:lvl>
      <w:numFmt w:val="bullet"/>
      <w:suff w:val="tab"/>
      <w:lvlText w:val="▪"/>
      <w:rPr>
        <w:color w:val="3370ff"/>
        <w:sz w:val="11"/>
      </w:rPr>
    </w:lvl>
  </w:abstractNum>
  <w:abstractNum w:abstractNumId="3567664">
    <w:lvl>
      <w:numFmt w:val="bullet"/>
      <w:suff w:val="tab"/>
      <w:lvlText w:val="▪"/>
      <w:rPr>
        <w:color w:val="3370ff"/>
        <w:sz w:val="11"/>
      </w:rPr>
    </w:lvl>
  </w:abstractNum>
  <w:abstractNum w:abstractNumId="3567665">
    <w:lvl>
      <w:numFmt w:val="bullet"/>
      <w:suff w:val="tab"/>
      <w:lvlText w:val="•"/>
      <w:rPr>
        <w:color w:val="3370ff"/>
      </w:rPr>
    </w:lvl>
  </w:abstractNum>
  <w:abstractNum w:abstractNumId="3567666">
    <w:lvl>
      <w:numFmt w:val="bullet"/>
      <w:suff w:val="tab"/>
      <w:lvlText w:val="￮"/>
      <w:rPr>
        <w:color w:val="3370ff"/>
      </w:rPr>
    </w:lvl>
  </w:abstractNum>
  <w:abstractNum w:abstractNumId="3567667">
    <w:lvl>
      <w:numFmt w:val="bullet"/>
      <w:suff w:val="tab"/>
      <w:lvlText w:val="￮"/>
      <w:rPr>
        <w:color w:val="3370ff"/>
      </w:rPr>
    </w:lvl>
  </w:abstractNum>
  <w:abstractNum w:abstractNumId="3567668">
    <w:lvl>
      <w:numFmt w:val="bullet"/>
      <w:suff w:val="tab"/>
      <w:lvlText w:val="•"/>
      <w:rPr>
        <w:color w:val="3370ff"/>
      </w:rPr>
    </w:lvl>
  </w:abstractNum>
  <w:abstractNum w:abstractNumId="3567669">
    <w:lvl>
      <w:numFmt w:val="bullet"/>
      <w:suff w:val="tab"/>
      <w:lvlText w:val="•"/>
      <w:rPr>
        <w:color w:val="3370ff"/>
      </w:rPr>
    </w:lvl>
  </w:abstractNum>
  <w:abstractNum w:abstractNumId="3567670">
    <w:lvl>
      <w:numFmt w:val="bullet"/>
      <w:suff w:val="tab"/>
      <w:lvlText w:val="•"/>
      <w:rPr>
        <w:color w:val="3370ff"/>
      </w:rPr>
    </w:lvl>
  </w:abstractNum>
  <w:abstractNum w:abstractNumId="3567671">
    <w:lvl>
      <w:numFmt w:val="bullet"/>
      <w:suff w:val="tab"/>
      <w:lvlText w:val="￮"/>
      <w:rPr>
        <w:color w:val="3370ff"/>
      </w:rPr>
    </w:lvl>
  </w:abstractNum>
  <w:abstractNum w:abstractNumId="3567672">
    <w:lvl>
      <w:numFmt w:val="bullet"/>
      <w:suff w:val="tab"/>
      <w:lvlText w:val="￮"/>
      <w:rPr>
        <w:color w:val="3370ff"/>
      </w:rPr>
    </w:lvl>
  </w:abstractNum>
  <w:abstractNum w:abstractNumId="3567673">
    <w:lvl>
      <w:numFmt w:val="bullet"/>
      <w:suff w:val="tab"/>
      <w:lvlText w:val="•"/>
      <w:rPr>
        <w:color w:val="3370ff"/>
      </w:rPr>
    </w:lvl>
  </w:abstractNum>
  <w:abstractNum w:abstractNumId="3567674">
    <w:lvl>
      <w:numFmt w:val="bullet"/>
      <w:suff w:val="tab"/>
      <w:lvlText w:val="•"/>
      <w:rPr>
        <w:color w:val="3370ff"/>
      </w:rPr>
    </w:lvl>
  </w:abstractNum>
  <w:abstractNum w:abstractNumId="3567675">
    <w:lvl>
      <w:numFmt w:val="bullet"/>
      <w:suff w:val="tab"/>
      <w:lvlText w:val="•"/>
      <w:rPr>
        <w:color w:val="3370ff"/>
      </w:rPr>
    </w:lvl>
  </w:abstractNum>
  <w:abstractNum w:abstractNumId="3567676">
    <w:lvl>
      <w:numFmt w:val="bullet"/>
      <w:suff w:val="tab"/>
      <w:lvlText w:val="•"/>
      <w:rPr>
        <w:color w:val="3370ff"/>
      </w:rPr>
    </w:lvl>
  </w:abstractNum>
  <w:abstractNum w:abstractNumId="3567677">
    <w:lvl>
      <w:numFmt w:val="bullet"/>
      <w:suff w:val="tab"/>
      <w:lvlText w:val="•"/>
      <w:rPr>
        <w:color w:val="3370ff"/>
      </w:rPr>
    </w:lvl>
  </w:abstractNum>
  <w:abstractNum w:abstractNumId="3567678">
    <w:lvl>
      <w:numFmt w:val="bullet"/>
      <w:suff w:val="tab"/>
      <w:lvlText w:val="￮"/>
      <w:rPr>
        <w:color w:val="3370ff"/>
      </w:rPr>
    </w:lvl>
  </w:abstractNum>
  <w:abstractNum w:abstractNumId="3567679">
    <w:lvl>
      <w:numFmt w:val="bullet"/>
      <w:suff w:val="tab"/>
      <w:lvlText w:val="▪"/>
      <w:rPr>
        <w:color w:val="3370ff"/>
        <w:sz w:val="11"/>
      </w:rPr>
    </w:lvl>
  </w:abstractNum>
  <w:abstractNum w:abstractNumId="3567680">
    <w:lvl>
      <w:numFmt w:val="bullet"/>
      <w:suff w:val="tab"/>
      <w:lvlText w:val="▪"/>
      <w:rPr>
        <w:color w:val="3370ff"/>
        <w:sz w:val="11"/>
      </w:rPr>
    </w:lvl>
  </w:abstractNum>
  <w:abstractNum w:abstractNumId="3567681">
    <w:lvl>
      <w:numFmt w:val="bullet"/>
      <w:suff w:val="tab"/>
      <w:lvlText w:val="▪"/>
      <w:rPr>
        <w:color w:val="3370ff"/>
        <w:sz w:val="11"/>
      </w:rPr>
    </w:lvl>
  </w:abstractNum>
  <w:abstractNum w:abstractNumId="3567682">
    <w:lvl>
      <w:numFmt w:val="bullet"/>
      <w:suff w:val="tab"/>
      <w:lvlText w:val="￮"/>
      <w:rPr>
        <w:color w:val="3370ff"/>
      </w:rPr>
    </w:lvl>
  </w:abstractNum>
  <w:abstractNum w:abstractNumId="3567683">
    <w:lvl>
      <w:numFmt w:val="bullet"/>
      <w:suff w:val="tab"/>
      <w:lvlText w:val="▪"/>
      <w:rPr>
        <w:color w:val="3370ff"/>
        <w:sz w:val="11"/>
      </w:rPr>
    </w:lvl>
  </w:abstractNum>
  <w:abstractNum w:abstractNumId="3567684">
    <w:lvl>
      <w:numFmt w:val="bullet"/>
      <w:suff w:val="tab"/>
      <w:lvlText w:val="▪"/>
      <w:rPr>
        <w:color w:val="3370ff"/>
        <w:sz w:val="11"/>
      </w:rPr>
    </w:lvl>
  </w:abstractNum>
  <w:abstractNum w:abstractNumId="3567685">
    <w:lvl>
      <w:numFmt w:val="bullet"/>
      <w:suff w:val="tab"/>
      <w:lvlText w:val="•"/>
      <w:rPr>
        <w:color w:val="3370ff"/>
      </w:rPr>
    </w:lvl>
  </w:abstractNum>
  <w:abstractNum w:abstractNumId="3567686">
    <w:lvl>
      <w:numFmt w:val="bullet"/>
      <w:suff w:val="tab"/>
      <w:lvlText w:val="￮"/>
      <w:rPr>
        <w:color w:val="3370ff"/>
      </w:rPr>
    </w:lvl>
  </w:abstractNum>
  <w:abstractNum w:abstractNumId="3567687">
    <w:lvl>
      <w:numFmt w:val="bullet"/>
      <w:suff w:val="tab"/>
      <w:lvlText w:val="▪"/>
      <w:rPr>
        <w:color w:val="3370ff"/>
        <w:sz w:val="11"/>
      </w:rPr>
    </w:lvl>
  </w:abstractNum>
  <w:abstractNum w:abstractNumId="3567688">
    <w:lvl>
      <w:numFmt w:val="bullet"/>
      <w:suff w:val="tab"/>
      <w:lvlText w:val="▪"/>
      <w:rPr>
        <w:color w:val="3370ff"/>
        <w:sz w:val="11"/>
      </w:rPr>
    </w:lvl>
  </w:abstractNum>
  <w:abstractNum w:abstractNumId="3567689">
    <w:lvl>
      <w:numFmt w:val="bullet"/>
      <w:suff w:val="tab"/>
      <w:lvlText w:val="￮"/>
      <w:rPr>
        <w:color w:val="3370ff"/>
      </w:rPr>
    </w:lvl>
  </w:abstractNum>
  <w:abstractNum w:abstractNumId="3567690">
    <w:lvl>
      <w:numFmt w:val="bullet"/>
      <w:suff w:val="tab"/>
      <w:lvlText w:val="▪"/>
      <w:rPr>
        <w:color w:val="3370ff"/>
        <w:sz w:val="11"/>
      </w:rPr>
    </w:lvl>
  </w:abstractNum>
  <w:abstractNum w:abstractNumId="3567691">
    <w:lvl>
      <w:numFmt w:val="bullet"/>
      <w:suff w:val="tab"/>
      <w:lvlText w:val="▪"/>
      <w:rPr>
        <w:color w:val="3370ff"/>
        <w:sz w:val="11"/>
      </w:rPr>
    </w:lvl>
  </w:abstractNum>
  <w:abstractNum w:abstractNumId="3567692">
    <w:lvl>
      <w:numFmt w:val="bullet"/>
      <w:suff w:val="tab"/>
      <w:lvlText w:val="•"/>
      <w:rPr>
        <w:color w:val="3370ff"/>
      </w:rPr>
    </w:lvl>
  </w:abstractNum>
  <w:abstractNum w:abstractNumId="3567693">
    <w:lvl>
      <w:numFmt w:val="bullet"/>
      <w:suff w:val="tab"/>
      <w:lvlText w:val="￮"/>
      <w:rPr>
        <w:color w:val="3370ff"/>
      </w:rPr>
    </w:lvl>
  </w:abstractNum>
  <w:abstractNum w:abstractNumId="3567694">
    <w:lvl>
      <w:numFmt w:val="bullet"/>
      <w:suff w:val="tab"/>
      <w:lvlText w:val="▪"/>
      <w:rPr>
        <w:color w:val="3370ff"/>
        <w:sz w:val="11"/>
      </w:rPr>
    </w:lvl>
  </w:abstractNum>
  <w:abstractNum w:abstractNumId="3567695">
    <w:lvl>
      <w:numFmt w:val="bullet"/>
      <w:suff w:val="tab"/>
      <w:lvlText w:val="▪"/>
      <w:rPr>
        <w:color w:val="3370ff"/>
        <w:sz w:val="11"/>
      </w:rPr>
    </w:lvl>
  </w:abstractNum>
  <w:abstractNum w:abstractNumId="3567696">
    <w:lvl>
      <w:numFmt w:val="bullet"/>
      <w:suff w:val="tab"/>
      <w:lvlText w:val="￮"/>
      <w:rPr>
        <w:color w:val="3370ff"/>
      </w:rPr>
    </w:lvl>
  </w:abstractNum>
  <w:abstractNum w:abstractNumId="3567697">
    <w:lvl>
      <w:numFmt w:val="bullet"/>
      <w:suff w:val="tab"/>
      <w:lvlText w:val="▪"/>
      <w:rPr>
        <w:color w:val="3370ff"/>
        <w:sz w:val="11"/>
      </w:rPr>
    </w:lvl>
  </w:abstractNum>
  <w:abstractNum w:abstractNumId="3567698">
    <w:lvl>
      <w:numFmt w:val="bullet"/>
      <w:suff w:val="tab"/>
      <w:lvlText w:val="▪"/>
      <w:rPr>
        <w:color w:val="3370ff"/>
        <w:sz w:val="11"/>
      </w:rPr>
    </w:lvl>
  </w:abstractNum>
  <w:abstractNum w:abstractNumId="3567699">
    <w:lvl>
      <w:numFmt w:val="bullet"/>
      <w:suff w:val="tab"/>
      <w:lvlText w:val="•"/>
      <w:rPr>
        <w:color w:val="3370ff"/>
      </w:rPr>
    </w:lvl>
  </w:abstractNum>
  <w:abstractNum w:abstractNumId="3567700">
    <w:lvl>
      <w:numFmt w:val="bullet"/>
      <w:suff w:val="tab"/>
      <w:lvlText w:val="•"/>
      <w:rPr>
        <w:color w:val="3370ff"/>
      </w:rPr>
    </w:lvl>
  </w:abstractNum>
  <w:abstractNum w:abstractNumId="3567701">
    <w:lvl>
      <w:numFmt w:val="bullet"/>
      <w:suff w:val="tab"/>
      <w:lvlText w:val="•"/>
      <w:rPr>
        <w:color w:val="3370ff"/>
      </w:rPr>
    </w:lvl>
  </w:abstractNum>
  <w:abstractNum w:abstractNumId="3567702">
    <w:lvl>
      <w:numFmt w:val="bullet"/>
      <w:suff w:val="tab"/>
      <w:lvlText w:val="￮"/>
      <w:rPr>
        <w:color w:val="3370ff"/>
      </w:rPr>
    </w:lvl>
  </w:abstractNum>
  <w:abstractNum w:abstractNumId="3567703">
    <w:lvl>
      <w:numFmt w:val="bullet"/>
      <w:suff w:val="tab"/>
      <w:lvlText w:val="￮"/>
      <w:rPr>
        <w:color w:val="3370ff"/>
      </w:rPr>
    </w:lvl>
  </w:abstractNum>
  <w:abstractNum w:abstractNumId="3567704">
    <w:lvl>
      <w:numFmt w:val="bullet"/>
      <w:suff w:val="tab"/>
      <w:lvlText w:val="•"/>
      <w:rPr>
        <w:color w:val="3370ff"/>
      </w:rPr>
    </w:lvl>
  </w:abstractNum>
  <w:abstractNum w:abstractNumId="3567705">
    <w:lvl>
      <w:numFmt w:val="bullet"/>
      <w:suff w:val="tab"/>
      <w:lvlText w:val="•"/>
      <w:rPr>
        <w:color w:val="3370ff"/>
      </w:rPr>
    </w:lvl>
  </w:abstractNum>
  <w:abstractNum w:abstractNumId="3567706">
    <w:lvl>
      <w:numFmt w:val="bullet"/>
      <w:suff w:val="tab"/>
      <w:lvlText w:val="•"/>
      <w:rPr>
        <w:color w:val="3370ff"/>
      </w:rPr>
    </w:lvl>
  </w:abstractNum>
  <w:abstractNum w:abstractNumId="3567707">
    <w:lvl>
      <w:numFmt w:val="bullet"/>
      <w:suff w:val="tab"/>
      <w:lvlText w:val="•"/>
      <w:rPr>
        <w:color w:val="3370ff"/>
      </w:rPr>
    </w:lvl>
  </w:abstractNum>
  <w:abstractNum w:abstractNumId="3567708">
    <w:lvl>
      <w:numFmt w:val="bullet"/>
      <w:suff w:val="tab"/>
      <w:lvlText w:val="•"/>
      <w:rPr>
        <w:color w:val="3370ff"/>
      </w:rPr>
    </w:lvl>
  </w:abstractNum>
  <w:abstractNum w:abstractNumId="3567709">
    <w:lvl>
      <w:numFmt w:val="bullet"/>
      <w:suff w:val="tab"/>
      <w:lvlText w:val="￮"/>
      <w:rPr>
        <w:color w:val="3370ff"/>
      </w:rPr>
    </w:lvl>
  </w:abstractNum>
  <w:abstractNum w:abstractNumId="3567710">
    <w:lvl>
      <w:numFmt w:val="bullet"/>
      <w:suff w:val="tab"/>
      <w:lvlText w:val="▪"/>
      <w:rPr>
        <w:color w:val="3370ff"/>
        <w:sz w:val="11"/>
      </w:rPr>
    </w:lvl>
  </w:abstractNum>
  <w:abstractNum w:abstractNumId="3567711">
    <w:lvl>
      <w:numFmt w:val="bullet"/>
      <w:suff w:val="tab"/>
      <w:lvlText w:val="▪"/>
      <w:rPr>
        <w:color w:val="3370ff"/>
        <w:sz w:val="11"/>
      </w:rPr>
    </w:lvl>
  </w:abstractNum>
  <w:abstractNum w:abstractNumId="3567712">
    <w:lvl>
      <w:numFmt w:val="bullet"/>
      <w:suff w:val="tab"/>
      <w:lvlText w:val="▪"/>
      <w:rPr>
        <w:color w:val="3370ff"/>
        <w:sz w:val="11"/>
      </w:rPr>
    </w:lvl>
  </w:abstractNum>
  <w:abstractNum w:abstractNumId="3567713">
    <w:lvl>
      <w:numFmt w:val="bullet"/>
      <w:suff w:val="tab"/>
      <w:lvlText w:val="￮"/>
      <w:rPr>
        <w:color w:val="3370ff"/>
      </w:rPr>
    </w:lvl>
  </w:abstractNum>
  <w:abstractNum w:abstractNumId="3567714">
    <w:lvl>
      <w:numFmt w:val="bullet"/>
      <w:suff w:val="tab"/>
      <w:lvlText w:val="▪"/>
      <w:rPr>
        <w:color w:val="3370ff"/>
        <w:sz w:val="11"/>
      </w:rPr>
    </w:lvl>
  </w:abstractNum>
  <w:abstractNum w:abstractNumId="3567715">
    <w:lvl>
      <w:numFmt w:val="bullet"/>
      <w:suff w:val="tab"/>
      <w:lvlText w:val="▪"/>
      <w:rPr>
        <w:color w:val="3370ff"/>
        <w:sz w:val="11"/>
      </w:rPr>
    </w:lvl>
  </w:abstractNum>
  <w:abstractNum w:abstractNumId="3567716">
    <w:lvl>
      <w:numFmt w:val="bullet"/>
      <w:suff w:val="tab"/>
      <w:lvlText w:val="•"/>
      <w:rPr>
        <w:color w:val="3370ff"/>
      </w:rPr>
    </w:lvl>
  </w:abstractNum>
  <w:abstractNum w:abstractNumId="3567717">
    <w:lvl>
      <w:numFmt w:val="bullet"/>
      <w:suff w:val="tab"/>
      <w:lvlText w:val="￮"/>
      <w:rPr>
        <w:color w:val="3370ff"/>
      </w:rPr>
    </w:lvl>
  </w:abstractNum>
  <w:abstractNum w:abstractNumId="3567718">
    <w:lvl>
      <w:numFmt w:val="bullet"/>
      <w:suff w:val="tab"/>
      <w:lvlText w:val="▪"/>
      <w:rPr>
        <w:color w:val="3370ff"/>
        <w:sz w:val="11"/>
      </w:rPr>
    </w:lvl>
  </w:abstractNum>
  <w:abstractNum w:abstractNumId="3567719">
    <w:lvl>
      <w:numFmt w:val="bullet"/>
      <w:suff w:val="tab"/>
      <w:lvlText w:val="▪"/>
      <w:rPr>
        <w:color w:val="3370ff"/>
        <w:sz w:val="11"/>
      </w:rPr>
    </w:lvl>
  </w:abstractNum>
  <w:abstractNum w:abstractNumId="3567720">
    <w:lvl>
      <w:numFmt w:val="bullet"/>
      <w:suff w:val="tab"/>
      <w:lvlText w:val="▪"/>
      <w:rPr>
        <w:color w:val="3370ff"/>
        <w:sz w:val="11"/>
      </w:rPr>
    </w:lvl>
  </w:abstractNum>
  <w:abstractNum w:abstractNumId="3567721">
    <w:lvl>
      <w:numFmt w:val="bullet"/>
      <w:suff w:val="tab"/>
      <w:lvlText w:val="￮"/>
      <w:rPr>
        <w:color w:val="3370ff"/>
      </w:rPr>
    </w:lvl>
  </w:abstractNum>
  <w:abstractNum w:abstractNumId="3567722">
    <w:lvl>
      <w:numFmt w:val="bullet"/>
      <w:suff w:val="tab"/>
      <w:lvlText w:val="▪"/>
      <w:rPr>
        <w:color w:val="3370ff"/>
        <w:sz w:val="11"/>
      </w:rPr>
    </w:lvl>
  </w:abstractNum>
  <w:abstractNum w:abstractNumId="3567723">
    <w:lvl>
      <w:numFmt w:val="bullet"/>
      <w:suff w:val="tab"/>
      <w:lvlText w:val="▪"/>
      <w:rPr>
        <w:color w:val="3370ff"/>
        <w:sz w:val="11"/>
      </w:rPr>
    </w:lvl>
  </w:abstractNum>
  <w:abstractNum w:abstractNumId="3567724">
    <w:lvl>
      <w:numFmt w:val="bullet"/>
      <w:suff w:val="tab"/>
      <w:lvlText w:val="•"/>
      <w:rPr>
        <w:color w:val="3370ff"/>
      </w:rPr>
    </w:lvl>
  </w:abstractNum>
  <w:abstractNum w:abstractNumId="3567725">
    <w:lvl>
      <w:numFmt w:val="bullet"/>
      <w:suff w:val="tab"/>
      <w:lvlText w:val="￮"/>
      <w:rPr>
        <w:color w:val="3370ff"/>
      </w:rPr>
    </w:lvl>
  </w:abstractNum>
  <w:abstractNum w:abstractNumId="3567726">
    <w:lvl>
      <w:numFmt w:val="bullet"/>
      <w:suff w:val="tab"/>
      <w:lvlText w:val="▪"/>
      <w:rPr>
        <w:color w:val="3370ff"/>
        <w:sz w:val="11"/>
      </w:rPr>
    </w:lvl>
  </w:abstractNum>
  <w:abstractNum w:abstractNumId="3567727">
    <w:lvl>
      <w:numFmt w:val="bullet"/>
      <w:suff w:val="tab"/>
      <w:lvlText w:val="▪"/>
      <w:rPr>
        <w:color w:val="3370ff"/>
        <w:sz w:val="11"/>
      </w:rPr>
    </w:lvl>
  </w:abstractNum>
  <w:abstractNum w:abstractNumId="3567728">
    <w:lvl>
      <w:numFmt w:val="bullet"/>
      <w:suff w:val="tab"/>
      <w:lvlText w:val="▪"/>
      <w:rPr>
        <w:color w:val="3370ff"/>
        <w:sz w:val="11"/>
      </w:rPr>
    </w:lvl>
  </w:abstractNum>
  <w:abstractNum w:abstractNumId="3567729">
    <w:lvl>
      <w:numFmt w:val="bullet"/>
      <w:suff w:val="tab"/>
      <w:lvlText w:val="￮"/>
      <w:rPr>
        <w:color w:val="3370ff"/>
      </w:rPr>
    </w:lvl>
  </w:abstractNum>
  <w:abstractNum w:abstractNumId="3567730">
    <w:lvl>
      <w:numFmt w:val="bullet"/>
      <w:suff w:val="tab"/>
      <w:lvlText w:val="▪"/>
      <w:rPr>
        <w:color w:val="3370ff"/>
        <w:sz w:val="11"/>
      </w:rPr>
    </w:lvl>
  </w:abstractNum>
  <w:abstractNum w:abstractNumId="3567731">
    <w:lvl>
      <w:numFmt w:val="bullet"/>
      <w:suff w:val="tab"/>
      <w:lvlText w:val="▪"/>
      <w:rPr>
        <w:color w:val="3370ff"/>
        <w:sz w:val="11"/>
      </w:rPr>
    </w:lvl>
  </w:abstractNum>
  <w:abstractNum w:abstractNumId="3567732">
    <w:lvl>
      <w:numFmt w:val="bullet"/>
      <w:suff w:val="tab"/>
      <w:lvlText w:val="•"/>
      <w:rPr>
        <w:color w:val="3370ff"/>
      </w:rPr>
    </w:lvl>
  </w:abstractNum>
  <w:abstractNum w:abstractNumId="3567733">
    <w:lvl>
      <w:numFmt w:val="bullet"/>
      <w:suff w:val="tab"/>
      <w:lvlText w:val="•"/>
      <w:rPr>
        <w:color w:val="3370ff"/>
      </w:rPr>
    </w:lvl>
  </w:abstractNum>
  <w:abstractNum w:abstractNumId="3567734">
    <w:lvl>
      <w:numFmt w:val="bullet"/>
      <w:suff w:val="tab"/>
      <w:lvlText w:val="•"/>
      <w:rPr>
        <w:color w:val="3370ff"/>
      </w:rPr>
    </w:lvl>
  </w:abstractNum>
  <w:abstractNum w:abstractNumId="3567735">
    <w:lvl>
      <w:numFmt w:val="bullet"/>
      <w:suff w:val="tab"/>
      <w:lvlText w:val="￮"/>
      <w:rPr>
        <w:color w:val="3370ff"/>
      </w:rPr>
    </w:lvl>
  </w:abstractNum>
  <w:abstractNum w:abstractNumId="3567736">
    <w:lvl>
      <w:numFmt w:val="bullet"/>
      <w:suff w:val="tab"/>
      <w:lvlText w:val="￮"/>
      <w:rPr>
        <w:color w:val="3370ff"/>
      </w:rPr>
    </w:lvl>
  </w:abstractNum>
  <w:abstractNum w:abstractNumId="3567737">
    <w:lvl>
      <w:numFmt w:val="bullet"/>
      <w:suff w:val="tab"/>
      <w:lvlText w:val="•"/>
      <w:rPr>
        <w:color w:val="3370ff"/>
      </w:rPr>
    </w:lvl>
  </w:abstractNum>
  <w:abstractNum w:abstractNumId="3567738">
    <w:lvl>
      <w:numFmt w:val="bullet"/>
      <w:suff w:val="tab"/>
      <w:lvlText w:val="•"/>
      <w:rPr>
        <w:color w:val="3370ff"/>
      </w:rPr>
    </w:lvl>
  </w:abstractNum>
  <w:abstractNum w:abstractNumId="3567739">
    <w:lvl>
      <w:numFmt w:val="bullet"/>
      <w:suff w:val="tab"/>
      <w:lvlText w:val="•"/>
      <w:rPr>
        <w:color w:val="3370ff"/>
      </w:rPr>
    </w:lvl>
  </w:abstractNum>
  <w:abstractNum w:abstractNumId="3567740">
    <w:lvl>
      <w:numFmt w:val="bullet"/>
      <w:suff w:val="tab"/>
      <w:lvlText w:val="•"/>
      <w:rPr>
        <w:color w:val="3370ff"/>
      </w:rPr>
    </w:lvl>
  </w:abstractNum>
  <w:abstractNum w:abstractNumId="3567741">
    <w:lvl>
      <w:numFmt w:val="bullet"/>
      <w:suff w:val="tab"/>
      <w:lvlText w:val="•"/>
      <w:rPr>
        <w:color w:val="3370ff"/>
      </w:rPr>
    </w:lvl>
  </w:abstractNum>
  <w:abstractNum w:abstractNumId="3567742">
    <w:lvl>
      <w:numFmt w:val="bullet"/>
      <w:suff w:val="tab"/>
      <w:lvlText w:val="￮"/>
      <w:rPr>
        <w:color w:val="3370ff"/>
      </w:rPr>
    </w:lvl>
  </w:abstractNum>
  <w:abstractNum w:abstractNumId="3567743">
    <w:lvl>
      <w:numFmt w:val="bullet"/>
      <w:suff w:val="tab"/>
      <w:lvlText w:val="▪"/>
      <w:rPr>
        <w:color w:val="3370ff"/>
        <w:sz w:val="11"/>
      </w:rPr>
    </w:lvl>
  </w:abstractNum>
  <w:abstractNum w:abstractNumId="3567744">
    <w:lvl>
      <w:numFmt w:val="bullet"/>
      <w:suff w:val="tab"/>
      <w:lvlText w:val="▪"/>
      <w:rPr>
        <w:color w:val="3370ff"/>
        <w:sz w:val="11"/>
      </w:rPr>
    </w:lvl>
  </w:abstractNum>
  <w:abstractNum w:abstractNumId="3567745">
    <w:lvl>
      <w:numFmt w:val="bullet"/>
      <w:suff w:val="tab"/>
      <w:lvlText w:val="￮"/>
      <w:rPr>
        <w:color w:val="3370ff"/>
      </w:rPr>
    </w:lvl>
  </w:abstractNum>
  <w:abstractNum w:abstractNumId="3567746">
    <w:lvl>
      <w:numFmt w:val="bullet"/>
      <w:suff w:val="tab"/>
      <w:lvlText w:val="▪"/>
      <w:rPr>
        <w:color w:val="3370ff"/>
        <w:sz w:val="11"/>
      </w:rPr>
    </w:lvl>
  </w:abstractNum>
  <w:abstractNum w:abstractNumId="3567747">
    <w:lvl>
      <w:numFmt w:val="bullet"/>
      <w:suff w:val="tab"/>
      <w:lvlText w:val="▪"/>
      <w:rPr>
        <w:color w:val="3370ff"/>
        <w:sz w:val="11"/>
      </w:rPr>
    </w:lvl>
  </w:abstractNum>
  <w:abstractNum w:abstractNumId="3567748">
    <w:lvl>
      <w:numFmt w:val="bullet"/>
      <w:suff w:val="tab"/>
      <w:lvlText w:val="•"/>
      <w:rPr>
        <w:color w:val="3370ff"/>
      </w:rPr>
    </w:lvl>
  </w:abstractNum>
  <w:abstractNum w:abstractNumId="3567749">
    <w:lvl>
      <w:numFmt w:val="bullet"/>
      <w:suff w:val="tab"/>
      <w:lvlText w:val="￮"/>
      <w:rPr>
        <w:color w:val="3370ff"/>
      </w:rPr>
    </w:lvl>
  </w:abstractNum>
  <w:abstractNum w:abstractNumId="3567750">
    <w:lvl>
      <w:numFmt w:val="bullet"/>
      <w:suff w:val="tab"/>
      <w:lvlText w:val="▪"/>
      <w:rPr>
        <w:color w:val="3370ff"/>
        <w:sz w:val="11"/>
      </w:rPr>
    </w:lvl>
  </w:abstractNum>
  <w:abstractNum w:abstractNumId="3567751">
    <w:lvl>
      <w:numFmt w:val="bullet"/>
      <w:suff w:val="tab"/>
      <w:lvlText w:val="▪"/>
      <w:rPr>
        <w:color w:val="3370ff"/>
        <w:sz w:val="11"/>
      </w:rPr>
    </w:lvl>
  </w:abstractNum>
  <w:abstractNum w:abstractNumId="3567752">
    <w:lvl>
      <w:numFmt w:val="bullet"/>
      <w:suff w:val="tab"/>
      <w:lvlText w:val="￮"/>
      <w:rPr>
        <w:color w:val="3370ff"/>
      </w:rPr>
    </w:lvl>
  </w:abstractNum>
  <w:abstractNum w:abstractNumId="3567753">
    <w:lvl>
      <w:numFmt w:val="bullet"/>
      <w:suff w:val="tab"/>
      <w:lvlText w:val="▪"/>
      <w:rPr>
        <w:color w:val="3370ff"/>
        <w:sz w:val="11"/>
      </w:rPr>
    </w:lvl>
  </w:abstractNum>
  <w:abstractNum w:abstractNumId="3567754">
    <w:lvl>
      <w:numFmt w:val="bullet"/>
      <w:suff w:val="tab"/>
      <w:lvlText w:val="▪"/>
      <w:rPr>
        <w:color w:val="3370ff"/>
        <w:sz w:val="11"/>
      </w:rPr>
    </w:lvl>
  </w:abstractNum>
  <w:abstractNum w:abstractNumId="3567755">
    <w:lvl>
      <w:numFmt w:val="bullet"/>
      <w:suff w:val="tab"/>
      <w:lvlText w:val="•"/>
      <w:rPr>
        <w:color w:val="3370ff"/>
      </w:rPr>
    </w:lvl>
  </w:abstractNum>
  <w:abstractNum w:abstractNumId="3567756">
    <w:lvl>
      <w:numFmt w:val="bullet"/>
      <w:suff w:val="tab"/>
      <w:lvlText w:val="￮"/>
      <w:rPr>
        <w:color w:val="3370ff"/>
      </w:rPr>
    </w:lvl>
  </w:abstractNum>
  <w:abstractNum w:abstractNumId="3567757">
    <w:lvl>
      <w:numFmt w:val="bullet"/>
      <w:suff w:val="tab"/>
      <w:lvlText w:val="▪"/>
      <w:rPr>
        <w:color w:val="3370ff"/>
        <w:sz w:val="11"/>
      </w:rPr>
    </w:lvl>
  </w:abstractNum>
  <w:abstractNum w:abstractNumId="3567758">
    <w:lvl>
      <w:numFmt w:val="bullet"/>
      <w:suff w:val="tab"/>
      <w:lvlText w:val="▪"/>
      <w:rPr>
        <w:color w:val="3370ff"/>
        <w:sz w:val="11"/>
      </w:rPr>
    </w:lvl>
  </w:abstractNum>
  <w:abstractNum w:abstractNumId="3567759">
    <w:lvl>
      <w:numFmt w:val="bullet"/>
      <w:suff w:val="tab"/>
      <w:lvlText w:val="▪"/>
      <w:rPr>
        <w:color w:val="3370ff"/>
        <w:sz w:val="11"/>
      </w:rPr>
    </w:lvl>
  </w:abstractNum>
  <w:abstractNum w:abstractNumId="3567760">
    <w:lvl>
      <w:numFmt w:val="bullet"/>
      <w:suff w:val="tab"/>
      <w:lvlText w:val="￮"/>
      <w:rPr>
        <w:color w:val="3370ff"/>
      </w:rPr>
    </w:lvl>
  </w:abstractNum>
  <w:abstractNum w:abstractNumId="3567761">
    <w:lvl>
      <w:numFmt w:val="bullet"/>
      <w:suff w:val="tab"/>
      <w:lvlText w:val="▪"/>
      <w:rPr>
        <w:color w:val="3370ff"/>
        <w:sz w:val="11"/>
      </w:rPr>
    </w:lvl>
  </w:abstractNum>
  <w:abstractNum w:abstractNumId="3567762">
    <w:lvl>
      <w:numFmt w:val="bullet"/>
      <w:suff w:val="tab"/>
      <w:lvlText w:val="▪"/>
      <w:rPr>
        <w:color w:val="3370ff"/>
        <w:sz w:val="11"/>
      </w:rPr>
    </w:lvl>
  </w:abstractNum>
  <w:abstractNum w:abstractNumId="3567763">
    <w:lvl>
      <w:numFmt w:val="bullet"/>
      <w:suff w:val="tab"/>
      <w:lvlText w:val="•"/>
      <w:rPr>
        <w:color w:val="3370ff"/>
      </w:rPr>
    </w:lvl>
  </w:abstractNum>
  <w:abstractNum w:abstractNumId="3567764">
    <w:lvl>
      <w:numFmt w:val="bullet"/>
      <w:suff w:val="tab"/>
      <w:lvlText w:val="•"/>
      <w:rPr>
        <w:color w:val="3370ff"/>
      </w:rPr>
    </w:lvl>
  </w:abstractNum>
  <w:abstractNum w:abstractNumId="3567765">
    <w:lvl>
      <w:numFmt w:val="bullet"/>
      <w:suff w:val="tab"/>
      <w:lvlText w:val="•"/>
      <w:rPr>
        <w:color w:val="3370ff"/>
      </w:rPr>
    </w:lvl>
  </w:abstractNum>
  <w:abstractNum w:abstractNumId="3567766">
    <w:lvl>
      <w:numFmt w:val="bullet"/>
      <w:suff w:val="tab"/>
      <w:lvlText w:val="￮"/>
      <w:rPr>
        <w:color w:val="3370ff"/>
      </w:rPr>
    </w:lvl>
  </w:abstractNum>
  <w:abstractNum w:abstractNumId="3567767">
    <w:lvl>
      <w:numFmt w:val="bullet"/>
      <w:suff w:val="tab"/>
      <w:lvlText w:val="￮"/>
      <w:rPr>
        <w:color w:val="3370ff"/>
      </w:rPr>
    </w:lvl>
  </w:abstractNum>
  <w:abstractNum w:abstractNumId="3567768">
    <w:lvl>
      <w:numFmt w:val="bullet"/>
      <w:suff w:val="tab"/>
      <w:lvlText w:val="•"/>
      <w:rPr>
        <w:color w:val="3370ff"/>
      </w:rPr>
    </w:lvl>
  </w:abstractNum>
  <w:abstractNum w:abstractNumId="3567769">
    <w:lvl>
      <w:numFmt w:val="bullet"/>
      <w:suff w:val="tab"/>
      <w:lvlText w:val="•"/>
      <w:rPr>
        <w:color w:val="3370ff"/>
      </w:rPr>
    </w:lvl>
  </w:abstractNum>
  <w:abstractNum w:abstractNumId="3567770">
    <w:lvl>
      <w:numFmt w:val="bullet"/>
      <w:suff w:val="tab"/>
      <w:lvlText w:val="•"/>
      <w:rPr>
        <w:color w:val="3370ff"/>
      </w:rPr>
    </w:lvl>
  </w:abstractNum>
  <w:abstractNum w:abstractNumId="3567771">
    <w:lvl>
      <w:numFmt w:val="bullet"/>
      <w:suff w:val="tab"/>
      <w:lvlText w:val="•"/>
      <w:rPr>
        <w:color w:val="3370ff"/>
      </w:rPr>
    </w:lvl>
  </w:abstractNum>
  <w:abstractNum w:abstractNumId="3567772">
    <w:lvl>
      <w:numFmt w:val="bullet"/>
      <w:suff w:val="tab"/>
      <w:lvlText w:val="•"/>
      <w:rPr>
        <w:color w:val="3370ff"/>
      </w:rPr>
    </w:lvl>
  </w:abstractNum>
  <w:abstractNum w:abstractNumId="3567773">
    <w:lvl>
      <w:numFmt w:val="bullet"/>
      <w:suff w:val="tab"/>
      <w:lvlText w:val="￮"/>
      <w:rPr>
        <w:color w:val="3370ff"/>
      </w:rPr>
    </w:lvl>
  </w:abstractNum>
  <w:abstractNum w:abstractNumId="3567774">
    <w:lvl>
      <w:numFmt w:val="bullet"/>
      <w:suff w:val="tab"/>
      <w:lvlText w:val="▪"/>
      <w:rPr>
        <w:color w:val="3370ff"/>
        <w:sz w:val="11"/>
      </w:rPr>
    </w:lvl>
  </w:abstractNum>
  <w:abstractNum w:abstractNumId="3567775">
    <w:lvl>
      <w:numFmt w:val="bullet"/>
      <w:suff w:val="tab"/>
      <w:lvlText w:val="▪"/>
      <w:rPr>
        <w:color w:val="3370ff"/>
        <w:sz w:val="11"/>
      </w:rPr>
    </w:lvl>
  </w:abstractNum>
  <w:abstractNum w:abstractNumId="3567776">
    <w:lvl>
      <w:numFmt w:val="bullet"/>
      <w:suff w:val="tab"/>
      <w:lvlText w:val="￮"/>
      <w:rPr>
        <w:color w:val="3370ff"/>
      </w:rPr>
    </w:lvl>
  </w:abstractNum>
  <w:abstractNum w:abstractNumId="3567777">
    <w:lvl>
      <w:numFmt w:val="bullet"/>
      <w:suff w:val="tab"/>
      <w:lvlText w:val="▪"/>
      <w:rPr>
        <w:color w:val="3370ff"/>
        <w:sz w:val="11"/>
      </w:rPr>
    </w:lvl>
  </w:abstractNum>
  <w:abstractNum w:abstractNumId="3567778">
    <w:lvl>
      <w:numFmt w:val="bullet"/>
      <w:suff w:val="tab"/>
      <w:lvlText w:val="▪"/>
      <w:rPr>
        <w:color w:val="3370ff"/>
        <w:sz w:val="11"/>
      </w:rPr>
    </w:lvl>
  </w:abstractNum>
  <w:abstractNum w:abstractNumId="3567779">
    <w:lvl>
      <w:numFmt w:val="bullet"/>
      <w:suff w:val="tab"/>
      <w:lvlText w:val="•"/>
      <w:rPr>
        <w:color w:val="3370ff"/>
      </w:rPr>
    </w:lvl>
  </w:abstractNum>
  <w:abstractNum w:abstractNumId="3567780">
    <w:lvl>
      <w:numFmt w:val="bullet"/>
      <w:suff w:val="tab"/>
      <w:lvlText w:val="￮"/>
      <w:rPr>
        <w:color w:val="3370ff"/>
      </w:rPr>
    </w:lvl>
  </w:abstractNum>
  <w:abstractNum w:abstractNumId="3567781">
    <w:lvl>
      <w:numFmt w:val="bullet"/>
      <w:suff w:val="tab"/>
      <w:lvlText w:val="▪"/>
      <w:rPr>
        <w:color w:val="3370ff"/>
        <w:sz w:val="11"/>
      </w:rPr>
    </w:lvl>
  </w:abstractNum>
  <w:abstractNum w:abstractNumId="3567782">
    <w:lvl>
      <w:numFmt w:val="bullet"/>
      <w:suff w:val="tab"/>
      <w:lvlText w:val="▪"/>
      <w:rPr>
        <w:color w:val="3370ff"/>
        <w:sz w:val="11"/>
      </w:rPr>
    </w:lvl>
  </w:abstractNum>
  <w:abstractNum w:abstractNumId="3567783">
    <w:lvl>
      <w:numFmt w:val="bullet"/>
      <w:suff w:val="tab"/>
      <w:lvlText w:val="▪"/>
      <w:rPr>
        <w:color w:val="3370ff"/>
        <w:sz w:val="11"/>
      </w:rPr>
    </w:lvl>
  </w:abstractNum>
  <w:abstractNum w:abstractNumId="3567784">
    <w:lvl>
      <w:numFmt w:val="bullet"/>
      <w:suff w:val="tab"/>
      <w:lvlText w:val="￮"/>
      <w:rPr>
        <w:color w:val="3370ff"/>
      </w:rPr>
    </w:lvl>
  </w:abstractNum>
  <w:abstractNum w:abstractNumId="3567785">
    <w:lvl>
      <w:numFmt w:val="bullet"/>
      <w:suff w:val="tab"/>
      <w:lvlText w:val="▪"/>
      <w:rPr>
        <w:color w:val="3370ff"/>
        <w:sz w:val="11"/>
      </w:rPr>
    </w:lvl>
  </w:abstractNum>
  <w:abstractNum w:abstractNumId="3567786">
    <w:lvl>
      <w:numFmt w:val="bullet"/>
      <w:suff w:val="tab"/>
      <w:lvlText w:val="▪"/>
      <w:rPr>
        <w:color w:val="3370ff"/>
        <w:sz w:val="11"/>
      </w:rPr>
    </w:lvl>
  </w:abstractNum>
  <w:abstractNum w:abstractNumId="3567787">
    <w:lvl>
      <w:numFmt w:val="bullet"/>
      <w:suff w:val="tab"/>
      <w:lvlText w:val="•"/>
      <w:rPr>
        <w:color w:val="3370ff"/>
      </w:rPr>
    </w:lvl>
  </w:abstractNum>
  <w:abstractNum w:abstractNumId="3567788">
    <w:lvl>
      <w:numFmt w:val="bullet"/>
      <w:suff w:val="tab"/>
      <w:lvlText w:val="￮"/>
      <w:rPr>
        <w:color w:val="3370ff"/>
      </w:rPr>
    </w:lvl>
  </w:abstractNum>
  <w:abstractNum w:abstractNumId="3567789">
    <w:lvl>
      <w:numFmt w:val="bullet"/>
      <w:suff w:val="tab"/>
      <w:lvlText w:val="▪"/>
      <w:rPr>
        <w:color w:val="3370ff"/>
        <w:sz w:val="11"/>
      </w:rPr>
    </w:lvl>
  </w:abstractNum>
  <w:abstractNum w:abstractNumId="3567790">
    <w:lvl>
      <w:numFmt w:val="bullet"/>
      <w:suff w:val="tab"/>
      <w:lvlText w:val="▪"/>
      <w:rPr>
        <w:color w:val="3370ff"/>
        <w:sz w:val="11"/>
      </w:rPr>
    </w:lvl>
  </w:abstractNum>
  <w:abstractNum w:abstractNumId="3567791">
    <w:lvl>
      <w:numFmt w:val="bullet"/>
      <w:suff w:val="tab"/>
      <w:lvlText w:val="▪"/>
      <w:rPr>
        <w:color w:val="3370ff"/>
        <w:sz w:val="11"/>
      </w:rPr>
    </w:lvl>
  </w:abstractNum>
  <w:abstractNum w:abstractNumId="3567792">
    <w:lvl>
      <w:numFmt w:val="bullet"/>
      <w:suff w:val="tab"/>
      <w:lvlText w:val="￮"/>
      <w:rPr>
        <w:color w:val="3370ff"/>
      </w:rPr>
    </w:lvl>
  </w:abstractNum>
  <w:abstractNum w:abstractNumId="3567793">
    <w:lvl>
      <w:numFmt w:val="bullet"/>
      <w:suff w:val="tab"/>
      <w:lvlText w:val="▪"/>
      <w:rPr>
        <w:color w:val="3370ff"/>
        <w:sz w:val="11"/>
      </w:rPr>
    </w:lvl>
  </w:abstractNum>
  <w:abstractNum w:abstractNumId="3567794">
    <w:lvl>
      <w:numFmt w:val="bullet"/>
      <w:suff w:val="tab"/>
      <w:lvlText w:val="▪"/>
      <w:rPr>
        <w:color w:val="3370ff"/>
        <w:sz w:val="11"/>
      </w:rPr>
    </w:lvl>
  </w:abstractNum>
  <w:abstractNum w:abstractNumId="3567795">
    <w:lvl>
      <w:numFmt w:val="bullet"/>
      <w:suff w:val="tab"/>
      <w:lvlText w:val="•"/>
      <w:rPr>
        <w:color w:val="3370ff"/>
      </w:rPr>
    </w:lvl>
  </w:abstractNum>
  <w:abstractNum w:abstractNumId="3567796">
    <w:lvl>
      <w:numFmt w:val="bullet"/>
      <w:suff w:val="tab"/>
      <w:lvlText w:val="•"/>
      <w:rPr>
        <w:color w:val="3370ff"/>
      </w:rPr>
    </w:lvl>
  </w:abstractNum>
  <w:abstractNum w:abstractNumId="3567797">
    <w:lvl>
      <w:numFmt w:val="bullet"/>
      <w:suff w:val="tab"/>
      <w:lvlText w:val="•"/>
      <w:rPr>
        <w:color w:val="3370ff"/>
      </w:rPr>
    </w:lvl>
  </w:abstractNum>
  <w:abstractNum w:abstractNumId="3567798">
    <w:lvl>
      <w:numFmt w:val="bullet"/>
      <w:suff w:val="tab"/>
      <w:lvlText w:val="￮"/>
      <w:rPr>
        <w:color w:val="3370ff"/>
      </w:rPr>
    </w:lvl>
  </w:abstractNum>
  <w:abstractNum w:abstractNumId="3567799">
    <w:lvl>
      <w:numFmt w:val="bullet"/>
      <w:suff w:val="tab"/>
      <w:lvlText w:val="￮"/>
      <w:rPr>
        <w:color w:val="3370ff"/>
      </w:rPr>
    </w:lvl>
  </w:abstractNum>
  <w:abstractNum w:abstractNumId="3567800">
    <w:lvl>
      <w:numFmt w:val="bullet"/>
      <w:suff w:val="tab"/>
      <w:lvlText w:val="•"/>
      <w:rPr>
        <w:color w:val="3370ff"/>
      </w:rPr>
    </w:lvl>
  </w:abstractNum>
  <w:abstractNum w:abstractNumId="3567801">
    <w:lvl>
      <w:numFmt w:val="bullet"/>
      <w:suff w:val="tab"/>
      <w:lvlText w:val="•"/>
      <w:rPr>
        <w:color w:val="3370ff"/>
      </w:rPr>
    </w:lvl>
  </w:abstractNum>
  <w:abstractNum w:abstractNumId="3567802">
    <w:lvl>
      <w:numFmt w:val="bullet"/>
      <w:suff w:val="tab"/>
      <w:lvlText w:val="￮"/>
      <w:rPr>
        <w:color w:val="3370ff"/>
      </w:rPr>
    </w:lvl>
  </w:abstractNum>
  <w:abstractNum w:abstractNumId="3567803">
    <w:lvl>
      <w:numFmt w:val="bullet"/>
      <w:suff w:val="tab"/>
      <w:lvlText w:val="▪"/>
      <w:rPr>
        <w:color w:val="3370ff"/>
        <w:sz w:val="11"/>
      </w:rPr>
    </w:lvl>
  </w:abstractNum>
  <w:abstractNum w:abstractNumId="3567804">
    <w:lvl>
      <w:numFmt w:val="bullet"/>
      <w:suff w:val="tab"/>
      <w:lvlText w:val="▪"/>
      <w:rPr>
        <w:color w:val="3370ff"/>
        <w:sz w:val="11"/>
      </w:rPr>
    </w:lvl>
  </w:abstractNum>
  <w:abstractNum w:abstractNumId="3567805">
    <w:lvl>
      <w:numFmt w:val="bullet"/>
      <w:suff w:val="tab"/>
      <w:lvlText w:val="￮"/>
      <w:rPr>
        <w:color w:val="3370ff"/>
      </w:rPr>
    </w:lvl>
  </w:abstractNum>
  <w:abstractNum w:abstractNumId="3567806">
    <w:lvl>
      <w:numFmt w:val="bullet"/>
      <w:suff w:val="tab"/>
      <w:lvlText w:val="▪"/>
      <w:rPr>
        <w:color w:val="3370ff"/>
        <w:sz w:val="11"/>
      </w:rPr>
    </w:lvl>
  </w:abstractNum>
  <w:abstractNum w:abstractNumId="3567807">
    <w:lvl>
      <w:numFmt w:val="bullet"/>
      <w:suff w:val="tab"/>
      <w:lvlText w:val="▪"/>
      <w:rPr>
        <w:color w:val="3370ff"/>
        <w:sz w:val="11"/>
      </w:rPr>
    </w:lvl>
  </w:abstractNum>
  <w:abstractNum w:abstractNumId="3567808">
    <w:lvl>
      <w:numFmt w:val="bullet"/>
      <w:suff w:val="tab"/>
      <w:lvlText w:val="•"/>
      <w:rPr>
        <w:color w:val="3370ff"/>
      </w:rPr>
    </w:lvl>
  </w:abstractNum>
  <w:abstractNum w:abstractNumId="3567809">
    <w:lvl>
      <w:numFmt w:val="bullet"/>
      <w:suff w:val="tab"/>
      <w:lvlText w:val="￮"/>
      <w:rPr>
        <w:color w:val="3370ff"/>
      </w:rPr>
    </w:lvl>
  </w:abstractNum>
  <w:abstractNum w:abstractNumId="3567810">
    <w:lvl>
      <w:numFmt w:val="bullet"/>
      <w:suff w:val="tab"/>
      <w:lvlText w:val="▪"/>
      <w:rPr>
        <w:color w:val="3370ff"/>
        <w:sz w:val="11"/>
      </w:rPr>
    </w:lvl>
  </w:abstractNum>
  <w:abstractNum w:abstractNumId="3567811">
    <w:lvl>
      <w:numFmt w:val="bullet"/>
      <w:suff w:val="tab"/>
      <w:lvlText w:val="▪"/>
      <w:rPr>
        <w:color w:val="3370ff"/>
        <w:sz w:val="11"/>
      </w:rPr>
    </w:lvl>
  </w:abstractNum>
  <w:abstractNum w:abstractNumId="3567812">
    <w:lvl>
      <w:numFmt w:val="bullet"/>
      <w:suff w:val="tab"/>
      <w:lvlText w:val="▪"/>
      <w:rPr>
        <w:color w:val="3370ff"/>
        <w:sz w:val="11"/>
      </w:rPr>
    </w:lvl>
  </w:abstractNum>
  <w:abstractNum w:abstractNumId="3567813">
    <w:lvl>
      <w:numFmt w:val="bullet"/>
      <w:suff w:val="tab"/>
      <w:lvlText w:val="￮"/>
      <w:rPr>
        <w:color w:val="3370ff"/>
      </w:rPr>
    </w:lvl>
  </w:abstractNum>
  <w:abstractNum w:abstractNumId="3567814">
    <w:lvl>
      <w:numFmt w:val="bullet"/>
      <w:suff w:val="tab"/>
      <w:lvlText w:val="▪"/>
      <w:rPr>
        <w:color w:val="3370ff"/>
        <w:sz w:val="11"/>
      </w:rPr>
    </w:lvl>
  </w:abstractNum>
  <w:abstractNum w:abstractNumId="3567815">
    <w:lvl>
      <w:numFmt w:val="bullet"/>
      <w:suff w:val="tab"/>
      <w:lvlText w:val="▪"/>
      <w:rPr>
        <w:color w:val="3370ff"/>
        <w:sz w:val="11"/>
      </w:rPr>
    </w:lvl>
  </w:abstractNum>
  <w:abstractNum w:abstractNumId="3567816">
    <w:lvl>
      <w:numFmt w:val="bullet"/>
      <w:suff w:val="tab"/>
      <w:lvlText w:val="•"/>
      <w:rPr>
        <w:color w:val="3370ff"/>
      </w:rPr>
    </w:lvl>
  </w:abstractNum>
  <w:abstractNum w:abstractNumId="3567817">
    <w:lvl>
      <w:numFmt w:val="bullet"/>
      <w:suff w:val="tab"/>
      <w:lvlText w:val="￮"/>
      <w:rPr>
        <w:color w:val="3370ff"/>
      </w:rPr>
    </w:lvl>
  </w:abstractNum>
  <w:abstractNum w:abstractNumId="3567818">
    <w:lvl>
      <w:numFmt w:val="bullet"/>
      <w:suff w:val="tab"/>
      <w:lvlText w:val="▪"/>
      <w:rPr>
        <w:color w:val="3370ff"/>
        <w:sz w:val="11"/>
      </w:rPr>
    </w:lvl>
  </w:abstractNum>
  <w:abstractNum w:abstractNumId="3567819">
    <w:lvl>
      <w:numFmt w:val="bullet"/>
      <w:suff w:val="tab"/>
      <w:lvlText w:val="▪"/>
      <w:rPr>
        <w:color w:val="3370ff"/>
        <w:sz w:val="11"/>
      </w:rPr>
    </w:lvl>
  </w:abstractNum>
  <w:abstractNum w:abstractNumId="3567820">
    <w:lvl>
      <w:numFmt w:val="bullet"/>
      <w:suff w:val="tab"/>
      <w:lvlText w:val="￮"/>
      <w:rPr>
        <w:color w:val="3370ff"/>
      </w:rPr>
    </w:lvl>
  </w:abstractNum>
  <w:abstractNum w:abstractNumId="3567821">
    <w:lvl>
      <w:numFmt w:val="bullet"/>
      <w:suff w:val="tab"/>
      <w:lvlText w:val="▪"/>
      <w:rPr>
        <w:color w:val="3370ff"/>
        <w:sz w:val="11"/>
      </w:rPr>
    </w:lvl>
  </w:abstractNum>
  <w:abstractNum w:abstractNumId="3567822">
    <w:lvl>
      <w:numFmt w:val="bullet"/>
      <w:suff w:val="tab"/>
      <w:lvlText w:val="▪"/>
      <w:rPr>
        <w:color w:val="3370ff"/>
        <w:sz w:val="11"/>
      </w:rPr>
    </w:lvl>
  </w:abstractNum>
  <w:abstractNum w:abstractNumId="3567823">
    <w:lvl>
      <w:numFmt w:val="bullet"/>
      <w:suff w:val="tab"/>
      <w:lvlText w:val="•"/>
      <w:rPr>
        <w:color w:val="3370ff"/>
      </w:rPr>
    </w:lvl>
  </w:abstractNum>
  <w:abstractNum w:abstractNumId="3567824">
    <w:lvl>
      <w:numFmt w:val="bullet"/>
      <w:suff w:val="tab"/>
      <w:lvlText w:val="•"/>
      <w:rPr>
        <w:color w:val="3370ff"/>
      </w:rPr>
    </w:lvl>
  </w:abstractNum>
  <w:abstractNum w:abstractNumId="3567825">
    <w:lvl>
      <w:numFmt w:val="bullet"/>
      <w:suff w:val="tab"/>
      <w:lvlText w:val="•"/>
      <w:rPr>
        <w:color w:val="3370ff"/>
      </w:rPr>
    </w:lvl>
  </w:abstractNum>
  <w:abstractNum w:abstractNumId="3567826">
    <w:lvl>
      <w:numFmt w:val="bullet"/>
      <w:suff w:val="tab"/>
      <w:lvlText w:val="￮"/>
      <w:rPr>
        <w:color w:val="3370ff"/>
      </w:rPr>
    </w:lvl>
  </w:abstractNum>
  <w:abstractNum w:abstractNumId="3567827">
    <w:lvl>
      <w:numFmt w:val="bullet"/>
      <w:suff w:val="tab"/>
      <w:lvlText w:val="￮"/>
      <w:rPr>
        <w:color w:val="3370ff"/>
      </w:rPr>
    </w:lvl>
  </w:abstractNum>
  <w:abstractNum w:abstractNumId="3567828">
    <w:lvl>
      <w:numFmt w:val="bullet"/>
      <w:suff w:val="tab"/>
      <w:lvlText w:val="•"/>
      <w:rPr>
        <w:color w:val="3370ff"/>
      </w:rPr>
    </w:lvl>
  </w:abstractNum>
  <w:abstractNum w:abstractNumId="3567829">
    <w:lvl>
      <w:numFmt w:val="bullet"/>
      <w:suff w:val="tab"/>
      <w:lvlText w:val="•"/>
      <w:rPr>
        <w:color w:val="3370ff"/>
      </w:rPr>
    </w:lvl>
  </w:abstractNum>
  <w:abstractNum w:abstractNumId="3567830">
    <w:lvl>
      <w:numFmt w:val="bullet"/>
      <w:suff w:val="tab"/>
      <w:lvlText w:val="•"/>
      <w:rPr>
        <w:color w:val="3370ff"/>
      </w:rPr>
    </w:lvl>
  </w:abstractNum>
  <w:abstractNum w:abstractNumId="3567831">
    <w:lvl>
      <w:numFmt w:val="bullet"/>
      <w:suff w:val="tab"/>
      <w:lvlText w:val="•"/>
      <w:rPr>
        <w:color w:val="3370ff"/>
      </w:rPr>
    </w:lvl>
  </w:abstractNum>
  <w:abstractNum w:abstractNumId="3567832">
    <w:lvl>
      <w:numFmt w:val="bullet"/>
      <w:suff w:val="tab"/>
      <w:lvlText w:val="•"/>
      <w:rPr>
        <w:color w:val="3370ff"/>
      </w:rPr>
    </w:lvl>
  </w:abstractNum>
  <w:abstractNum w:abstractNumId="3567833">
    <w:lvl>
      <w:numFmt w:val="bullet"/>
      <w:suff w:val="tab"/>
      <w:lvlText w:val="￮"/>
      <w:rPr>
        <w:color w:val="3370ff"/>
      </w:rPr>
    </w:lvl>
  </w:abstractNum>
  <w:abstractNum w:abstractNumId="3567834">
    <w:lvl>
      <w:numFmt w:val="bullet"/>
      <w:suff w:val="tab"/>
      <w:lvlText w:val="▪"/>
      <w:rPr>
        <w:color w:val="3370ff"/>
        <w:sz w:val="11"/>
      </w:rPr>
    </w:lvl>
  </w:abstractNum>
  <w:abstractNum w:abstractNumId="3567835">
    <w:lvl>
      <w:numFmt w:val="bullet"/>
      <w:suff w:val="tab"/>
      <w:lvlText w:val="▪"/>
      <w:rPr>
        <w:color w:val="3370ff"/>
        <w:sz w:val="11"/>
      </w:rPr>
    </w:lvl>
  </w:abstractNum>
  <w:abstractNum w:abstractNumId="3567836">
    <w:lvl>
      <w:numFmt w:val="bullet"/>
      <w:suff w:val="tab"/>
      <w:lvlText w:val="▪"/>
      <w:rPr>
        <w:color w:val="3370ff"/>
        <w:sz w:val="11"/>
      </w:rPr>
    </w:lvl>
  </w:abstractNum>
  <w:abstractNum w:abstractNumId="3567837">
    <w:lvl>
      <w:numFmt w:val="bullet"/>
      <w:suff w:val="tab"/>
      <w:lvlText w:val="￮"/>
      <w:rPr>
        <w:color w:val="3370ff"/>
      </w:rPr>
    </w:lvl>
  </w:abstractNum>
  <w:abstractNum w:abstractNumId="3567838">
    <w:lvl>
      <w:numFmt w:val="bullet"/>
      <w:suff w:val="tab"/>
      <w:lvlText w:val="▪"/>
      <w:rPr>
        <w:color w:val="3370ff"/>
        <w:sz w:val="11"/>
      </w:rPr>
    </w:lvl>
  </w:abstractNum>
  <w:abstractNum w:abstractNumId="3567839">
    <w:lvl>
      <w:numFmt w:val="bullet"/>
      <w:suff w:val="tab"/>
      <w:lvlText w:val="▪"/>
      <w:rPr>
        <w:color w:val="3370ff"/>
        <w:sz w:val="11"/>
      </w:rPr>
    </w:lvl>
  </w:abstractNum>
  <w:abstractNum w:abstractNumId="3567840">
    <w:lvl>
      <w:numFmt w:val="bullet"/>
      <w:suff w:val="tab"/>
      <w:lvlText w:val="•"/>
      <w:rPr>
        <w:color w:val="3370ff"/>
      </w:rPr>
    </w:lvl>
  </w:abstractNum>
  <w:abstractNum w:abstractNumId="3567841">
    <w:lvl>
      <w:numFmt w:val="bullet"/>
      <w:suff w:val="tab"/>
      <w:lvlText w:val="￮"/>
      <w:rPr>
        <w:color w:val="3370ff"/>
      </w:rPr>
    </w:lvl>
  </w:abstractNum>
  <w:abstractNum w:abstractNumId="3567842">
    <w:lvl>
      <w:numFmt w:val="bullet"/>
      <w:suff w:val="tab"/>
      <w:lvlText w:val="▪"/>
      <w:rPr>
        <w:color w:val="3370ff"/>
        <w:sz w:val="11"/>
      </w:rPr>
    </w:lvl>
  </w:abstractNum>
  <w:abstractNum w:abstractNumId="3567843">
    <w:lvl>
      <w:numFmt w:val="bullet"/>
      <w:suff w:val="tab"/>
      <w:lvlText w:val="▪"/>
      <w:rPr>
        <w:color w:val="3370ff"/>
        <w:sz w:val="11"/>
      </w:rPr>
    </w:lvl>
  </w:abstractNum>
  <w:abstractNum w:abstractNumId="3567844">
    <w:lvl>
      <w:numFmt w:val="bullet"/>
      <w:suff w:val="tab"/>
      <w:lvlText w:val="￮"/>
      <w:rPr>
        <w:color w:val="3370ff"/>
      </w:rPr>
    </w:lvl>
  </w:abstractNum>
  <w:abstractNum w:abstractNumId="3567845">
    <w:lvl>
      <w:numFmt w:val="bullet"/>
      <w:suff w:val="tab"/>
      <w:lvlText w:val="▪"/>
      <w:rPr>
        <w:color w:val="3370ff"/>
        <w:sz w:val="11"/>
      </w:rPr>
    </w:lvl>
  </w:abstractNum>
  <w:abstractNum w:abstractNumId="3567846">
    <w:lvl>
      <w:numFmt w:val="bullet"/>
      <w:suff w:val="tab"/>
      <w:lvlText w:val="▪"/>
      <w:rPr>
        <w:color w:val="3370ff"/>
        <w:sz w:val="11"/>
      </w:rPr>
    </w:lvl>
  </w:abstractNum>
  <w:abstractNum w:abstractNumId="3567847">
    <w:lvl>
      <w:numFmt w:val="bullet"/>
      <w:suff w:val="tab"/>
      <w:lvlText w:val="•"/>
      <w:rPr>
        <w:color w:val="3370ff"/>
      </w:rPr>
    </w:lvl>
  </w:abstractNum>
  <w:abstractNum w:abstractNumId="3567848">
    <w:lvl>
      <w:numFmt w:val="bullet"/>
      <w:suff w:val="tab"/>
      <w:lvlText w:val="￮"/>
      <w:rPr>
        <w:color w:val="3370ff"/>
      </w:rPr>
    </w:lvl>
  </w:abstractNum>
  <w:abstractNum w:abstractNumId="3567849">
    <w:lvl>
      <w:numFmt w:val="bullet"/>
      <w:suff w:val="tab"/>
      <w:lvlText w:val="￮"/>
      <w:rPr>
        <w:color w:val="3370ff"/>
      </w:rPr>
    </w:lvl>
  </w:abstractNum>
  <w:abstractNum w:abstractNumId="3567850">
    <w:lvl>
      <w:numFmt w:val="bullet"/>
      <w:suff w:val="tab"/>
      <w:lvlText w:val="•"/>
      <w:rPr>
        <w:color w:val="3370ff"/>
      </w:rPr>
    </w:lvl>
  </w:abstractNum>
  <w:abstractNum w:abstractNumId="3567851">
    <w:lvl>
      <w:numFmt w:val="bullet"/>
      <w:suff w:val="tab"/>
      <w:lvlText w:val="•"/>
      <w:rPr>
        <w:color w:val="3370ff"/>
      </w:rPr>
    </w:lvl>
  </w:abstractNum>
  <w:abstractNum w:abstractNumId="3567852">
    <w:lvl>
      <w:numFmt w:val="bullet"/>
      <w:suff w:val="tab"/>
      <w:lvlText w:val="•"/>
      <w:rPr>
        <w:color w:val="3370ff"/>
      </w:rPr>
    </w:lvl>
  </w:abstractNum>
  <w:abstractNum w:abstractNumId="3567853">
    <w:lvl>
      <w:numFmt w:val="bullet"/>
      <w:suff w:val="tab"/>
      <w:lvlText w:val="￮"/>
      <w:rPr>
        <w:color w:val="3370ff"/>
      </w:rPr>
    </w:lvl>
  </w:abstractNum>
  <w:abstractNum w:abstractNumId="3567854">
    <w:lvl>
      <w:numFmt w:val="bullet"/>
      <w:suff w:val="tab"/>
      <w:lvlText w:val="￮"/>
      <w:rPr>
        <w:color w:val="3370ff"/>
      </w:rPr>
    </w:lvl>
  </w:abstractNum>
  <w:abstractNum w:abstractNumId="3567855">
    <w:lvl>
      <w:numFmt w:val="bullet"/>
      <w:suff w:val="tab"/>
      <w:lvlText w:val="•"/>
      <w:rPr>
        <w:color w:val="3370ff"/>
      </w:rPr>
    </w:lvl>
  </w:abstractNum>
  <w:abstractNum w:abstractNumId="3567856">
    <w:lvl>
      <w:start w:val="1"/>
      <w:numFmt w:val="decimal"/>
      <w:suff w:val="tab"/>
      <w:lvlText w:val="%1."/>
      <w:rPr>
        <w:color w:val="3370ff"/>
      </w:rPr>
    </w:lvl>
  </w:abstractNum>
  <w:abstractNum w:abstractNumId="3567857">
    <w:lvl>
      <w:start w:val="2"/>
      <w:numFmt w:val="decimal"/>
      <w:suff w:val="tab"/>
      <w:lvlText w:val="%1."/>
      <w:rPr>
        <w:color w:val="3370ff"/>
      </w:rPr>
    </w:lvl>
  </w:abstractNum>
  <w:abstractNum w:abstractNumId="3567858">
    <w:lvl>
      <w:start w:val="3"/>
      <w:numFmt w:val="decimal"/>
      <w:suff w:val="tab"/>
      <w:lvlText w:val="%1."/>
      <w:rPr>
        <w:color w:val="3370ff"/>
      </w:rPr>
    </w:lvl>
  </w:abstractNum>
  <w:abstractNum w:abstractNumId="3567859">
    <w:lvl>
      <w:start w:val="4"/>
      <w:numFmt w:val="decimal"/>
      <w:suff w:val="tab"/>
      <w:lvlText w:val="%1."/>
      <w:rPr>
        <w:color w:val="3370ff"/>
      </w:rPr>
    </w:lvl>
  </w:abstractNum>
  <w:abstractNum w:abstractNumId="3567860">
    <w:lvl>
      <w:numFmt w:val="bullet"/>
      <w:suff w:val="tab"/>
      <w:lvlText w:val="•"/>
      <w:rPr>
        <w:color w:val="3370ff"/>
      </w:rPr>
    </w:lvl>
  </w:abstractNum>
  <w:abstractNum w:abstractNumId="3567861">
    <w:lvl>
      <w:numFmt w:val="bullet"/>
      <w:suff w:val="tab"/>
      <w:lvlText w:val="•"/>
      <w:rPr>
        <w:color w:val="3370ff"/>
      </w:rPr>
    </w:lvl>
  </w:abstractNum>
  <w:abstractNum w:abstractNumId="3567862">
    <w:lvl>
      <w:numFmt w:val="bullet"/>
      <w:suff w:val="tab"/>
      <w:lvlText w:val="•"/>
      <w:rPr>
        <w:color w:val="3370ff"/>
      </w:rPr>
    </w:lvl>
  </w:abstractNum>
  <w:abstractNum w:abstractNumId="3567863">
    <w:lvl>
      <w:numFmt w:val="bullet"/>
      <w:suff w:val="tab"/>
      <w:lvlText w:val="•"/>
      <w:rPr>
        <w:color w:val="3370ff"/>
      </w:rPr>
    </w:lvl>
  </w:abstractNum>
  <w:abstractNum w:abstractNumId="3567864">
    <w:lvl>
      <w:numFmt w:val="bullet"/>
      <w:suff w:val="tab"/>
      <w:lvlText w:val="•"/>
      <w:rPr>
        <w:color w:val="3370ff"/>
      </w:rPr>
    </w:lvl>
  </w:abstractNum>
  <w:abstractNum w:abstractNumId="3567865">
    <w:lvl>
      <w:numFmt w:val="bullet"/>
      <w:suff w:val="tab"/>
      <w:lvlText w:val="•"/>
      <w:rPr>
        <w:color w:val="3370ff"/>
      </w:rPr>
    </w:lvl>
  </w:abstractNum>
  <w:abstractNum w:abstractNumId="3567866">
    <w:lvl>
      <w:numFmt w:val="bullet"/>
      <w:suff w:val="tab"/>
      <w:lvlText w:val="•"/>
      <w:rPr>
        <w:color w:val="3370ff"/>
      </w:rPr>
    </w:lvl>
  </w:abstractNum>
  <w:abstractNum w:abstractNumId="3567867">
    <w:lvl>
      <w:numFmt w:val="bullet"/>
      <w:suff w:val="tab"/>
      <w:lvlText w:val="•"/>
      <w:rPr>
        <w:color w:val="3370ff"/>
      </w:rPr>
    </w:lvl>
  </w:abstractNum>
  <w:abstractNum w:abstractNumId="3567868">
    <w:lvl>
      <w:numFmt w:val="bullet"/>
      <w:suff w:val="tab"/>
      <w:lvlText w:val="•"/>
      <w:rPr>
        <w:color w:val="3370ff"/>
      </w:rPr>
    </w:lvl>
  </w:abstractNum>
  <w:abstractNum w:abstractNumId="3567869">
    <w:lvl>
      <w:numFmt w:val="bullet"/>
      <w:suff w:val="tab"/>
      <w:lvlText w:val="•"/>
      <w:rPr>
        <w:color w:val="3370ff"/>
      </w:rPr>
    </w:lvl>
  </w:abstractNum>
  <w:abstractNum w:abstractNumId="3567870">
    <w:lvl>
      <w:numFmt w:val="bullet"/>
      <w:suff w:val="tab"/>
      <w:lvlText w:val="•"/>
      <w:rPr>
        <w:color w:val="3370ff"/>
      </w:rPr>
    </w:lvl>
  </w:abstractNum>
  <w:abstractNum w:abstractNumId="3567871">
    <w:lvl>
      <w:numFmt w:val="bullet"/>
      <w:suff w:val="tab"/>
      <w:lvlText w:val="•"/>
      <w:rPr>
        <w:color w:val="3370ff"/>
      </w:rPr>
    </w:lvl>
  </w:abstractNum>
  <w:abstractNum w:abstractNumId="3567872">
    <w:lvl>
      <w:numFmt w:val="bullet"/>
      <w:suff w:val="tab"/>
      <w:lvlText w:val="•"/>
      <w:rPr>
        <w:color w:val="3370ff"/>
      </w:rPr>
    </w:lvl>
  </w:abstractNum>
  <w:abstractNum w:abstractNumId="3567873">
    <w:lvl>
      <w:numFmt w:val="bullet"/>
      <w:suff w:val="tab"/>
      <w:lvlText w:val="•"/>
      <w:rPr>
        <w:color w:val="3370ff"/>
      </w:rPr>
    </w:lvl>
  </w:abstractNum>
  <w:abstractNum w:abstractNumId="3567874">
    <w:lvl>
      <w:numFmt w:val="bullet"/>
      <w:suff w:val="tab"/>
      <w:lvlText w:val="•"/>
      <w:rPr>
        <w:color w:val="3370ff"/>
      </w:rPr>
    </w:lvl>
  </w:abstractNum>
  <w:abstractNum w:abstractNumId="3567875">
    <w:lvl>
      <w:numFmt w:val="bullet"/>
      <w:suff w:val="tab"/>
      <w:lvlText w:val="•"/>
      <w:rPr>
        <w:color w:val="3370ff"/>
      </w:rPr>
    </w:lvl>
  </w:abstractNum>
  <w:abstractNum w:abstractNumId="3567876">
    <w:lvl>
      <w:numFmt w:val="bullet"/>
      <w:suff w:val="tab"/>
      <w:lvlText w:val="•"/>
      <w:rPr>
        <w:color w:val="3370ff"/>
      </w:rPr>
    </w:lvl>
  </w:abstractNum>
  <w:abstractNum w:abstractNumId="3567877">
    <w:lvl>
      <w:numFmt w:val="bullet"/>
      <w:suff w:val="tab"/>
      <w:lvlText w:val="•"/>
      <w:rPr>
        <w:color w:val="3370ff"/>
      </w:rPr>
    </w:lvl>
  </w:abstractNum>
  <w:abstractNum w:abstractNumId="3567878">
    <w:lvl>
      <w:numFmt w:val="bullet"/>
      <w:suff w:val="tab"/>
      <w:lvlText w:val="•"/>
      <w:rPr>
        <w:color w:val="3370ff"/>
      </w:rPr>
    </w:lvl>
  </w:abstractNum>
  <w:abstractNum w:abstractNumId="3567879">
    <w:lvl>
      <w:numFmt w:val="bullet"/>
      <w:suff w:val="tab"/>
      <w:lvlText w:val="•"/>
      <w:rPr>
        <w:color w:val="3370ff"/>
      </w:rPr>
    </w:lvl>
  </w:abstractNum>
  <w:abstractNum w:abstractNumId="3567880">
    <w:lvl>
      <w:numFmt w:val="bullet"/>
      <w:suff w:val="tab"/>
      <w:lvlText w:val="•"/>
      <w:rPr>
        <w:color w:val="3370ff"/>
      </w:rPr>
    </w:lvl>
  </w:abstractNum>
  <w:abstractNum w:abstractNumId="3567881">
    <w:lvl>
      <w:numFmt w:val="bullet"/>
      <w:suff w:val="tab"/>
      <w:lvlText w:val="•"/>
      <w:rPr>
        <w:color w:val="3370ff"/>
      </w:rPr>
    </w:lvl>
  </w:abstractNum>
  <w:abstractNum w:abstractNumId="3567882">
    <w:lvl>
      <w:numFmt w:val="bullet"/>
      <w:suff w:val="tab"/>
      <w:lvlText w:val="•"/>
      <w:rPr>
        <w:color w:val="3370ff"/>
      </w:rPr>
    </w:lvl>
  </w:abstractNum>
  <w:abstractNum w:abstractNumId="3567883">
    <w:lvl>
      <w:numFmt w:val="bullet"/>
      <w:suff w:val="tab"/>
      <w:lvlText w:val="•"/>
      <w:rPr>
        <w:color w:val="3370ff"/>
      </w:rPr>
    </w:lvl>
  </w:abstractNum>
  <w:abstractNum w:abstractNumId="3567884">
    <w:lvl>
      <w:numFmt w:val="bullet"/>
      <w:suff w:val="tab"/>
      <w:lvlText w:val="•"/>
      <w:rPr>
        <w:color w:val="3370ff"/>
      </w:rPr>
    </w:lvl>
  </w:abstractNum>
  <w:abstractNum w:abstractNumId="3567885">
    <w:lvl>
      <w:numFmt w:val="bullet"/>
      <w:suff w:val="tab"/>
      <w:lvlText w:val="•"/>
      <w:rPr>
        <w:color w:val="3370ff"/>
      </w:rPr>
    </w:lvl>
  </w:abstractNum>
  <w:abstractNum w:abstractNumId="3567886">
    <w:lvl>
      <w:numFmt w:val="bullet"/>
      <w:suff w:val="tab"/>
      <w:lvlText w:val="•"/>
      <w:rPr>
        <w:color w:val="3370ff"/>
      </w:rPr>
    </w:lvl>
  </w:abstractNum>
  <w:abstractNum w:abstractNumId="3567887">
    <w:lvl>
      <w:numFmt w:val="bullet"/>
      <w:suff w:val="tab"/>
      <w:lvlText w:val="•"/>
      <w:rPr>
        <w:color w:val="3370ff"/>
      </w:rPr>
    </w:lvl>
  </w:abstractNum>
  <w:abstractNum w:abstractNumId="3567888">
    <w:lvl>
      <w:numFmt w:val="bullet"/>
      <w:suff w:val="tab"/>
      <w:lvlText w:val="•"/>
      <w:rPr>
        <w:color w:val="3370ff"/>
      </w:rPr>
    </w:lvl>
  </w:abstractNum>
  <w:abstractNum w:abstractNumId="3567889">
    <w:lvl>
      <w:numFmt w:val="bullet"/>
      <w:suff w:val="tab"/>
      <w:lvlText w:val="•"/>
      <w:rPr>
        <w:color w:val="3370ff"/>
      </w:rPr>
    </w:lvl>
  </w:abstractNum>
  <w:abstractNum w:abstractNumId="3567890">
    <w:lvl>
      <w:numFmt w:val="bullet"/>
      <w:suff w:val="tab"/>
      <w:lvlText w:val="•"/>
      <w:rPr>
        <w:color w:val="3370ff"/>
      </w:rPr>
    </w:lvl>
  </w:abstractNum>
  <w:abstractNum w:abstractNumId="3567891">
    <w:lvl>
      <w:numFmt w:val="bullet"/>
      <w:suff w:val="tab"/>
      <w:lvlText w:val="•"/>
      <w:rPr>
        <w:color w:val="3370ff"/>
      </w:rPr>
    </w:lvl>
  </w:abstractNum>
  <w:abstractNum w:abstractNumId="3567892">
    <w:lvl>
      <w:numFmt w:val="bullet"/>
      <w:suff w:val="tab"/>
      <w:lvlText w:val="•"/>
      <w:rPr>
        <w:color w:val="3370ff"/>
      </w:rPr>
    </w:lvl>
  </w:abstractNum>
  <w:abstractNum w:abstractNumId="3567893">
    <w:lvl>
      <w:numFmt w:val="bullet"/>
      <w:suff w:val="tab"/>
      <w:lvlText w:val="￮"/>
      <w:rPr>
        <w:color w:val="3370ff"/>
      </w:rPr>
    </w:lvl>
  </w:abstractNum>
  <w:abstractNum w:abstractNumId="3567894">
    <w:lvl>
      <w:numFmt w:val="bullet"/>
      <w:suff w:val="tab"/>
      <w:lvlText w:val="▪"/>
      <w:rPr>
        <w:color w:val="3370ff"/>
        <w:sz w:val="11"/>
      </w:rPr>
    </w:lvl>
  </w:abstractNum>
  <w:abstractNum w:abstractNumId="3567895">
    <w:lvl>
      <w:numFmt w:val="bullet"/>
      <w:suff w:val="tab"/>
      <w:lvlText w:val="▪"/>
      <w:rPr>
        <w:color w:val="3370ff"/>
        <w:sz w:val="11"/>
      </w:rPr>
    </w:lvl>
  </w:abstractNum>
  <w:abstractNum w:abstractNumId="3567896">
    <w:lvl>
      <w:numFmt w:val="bullet"/>
      <w:suff w:val="tab"/>
      <w:lvlText w:val="▪"/>
      <w:rPr>
        <w:color w:val="3370ff"/>
        <w:sz w:val="11"/>
      </w:rPr>
    </w:lvl>
  </w:abstractNum>
  <w:abstractNum w:abstractNumId="3567897">
    <w:lvl>
      <w:numFmt w:val="bullet"/>
      <w:suff w:val="tab"/>
      <w:lvlText w:val="￮"/>
      <w:rPr>
        <w:color w:val="3370ff"/>
      </w:rPr>
    </w:lvl>
  </w:abstractNum>
  <w:abstractNum w:abstractNumId="3567898">
    <w:lvl>
      <w:numFmt w:val="bullet"/>
      <w:suff w:val="tab"/>
      <w:lvlText w:val="▪"/>
      <w:rPr>
        <w:color w:val="3370ff"/>
        <w:sz w:val="11"/>
      </w:rPr>
    </w:lvl>
  </w:abstractNum>
  <w:abstractNum w:abstractNumId="3567899">
    <w:lvl>
      <w:numFmt w:val="bullet"/>
      <w:suff w:val="tab"/>
      <w:lvlText w:val="▪"/>
      <w:rPr>
        <w:color w:val="3370ff"/>
        <w:sz w:val="11"/>
      </w:rPr>
    </w:lvl>
  </w:abstractNum>
  <w:abstractNum w:abstractNumId="3567900">
    <w:lvl>
      <w:numFmt w:val="bullet"/>
      <w:suff w:val="tab"/>
      <w:lvlText w:val="•"/>
      <w:rPr>
        <w:color w:val="3370ff"/>
      </w:rPr>
    </w:lvl>
  </w:abstractNum>
  <w:abstractNum w:abstractNumId="3567901">
    <w:lvl>
      <w:numFmt w:val="bullet"/>
      <w:suff w:val="tab"/>
      <w:lvlText w:val="￮"/>
      <w:rPr>
        <w:color w:val="3370ff"/>
      </w:rPr>
    </w:lvl>
  </w:abstractNum>
  <w:abstractNum w:abstractNumId="3567902">
    <w:lvl>
      <w:numFmt w:val="bullet"/>
      <w:suff w:val="tab"/>
      <w:lvlText w:val="▪"/>
      <w:rPr>
        <w:color w:val="3370ff"/>
        <w:sz w:val="11"/>
      </w:rPr>
    </w:lvl>
  </w:abstractNum>
  <w:abstractNum w:abstractNumId="3567903">
    <w:lvl>
      <w:numFmt w:val="bullet"/>
      <w:suff w:val="tab"/>
      <w:lvlText w:val="▪"/>
      <w:rPr>
        <w:color w:val="3370ff"/>
        <w:sz w:val="11"/>
      </w:rPr>
    </w:lvl>
  </w:abstractNum>
  <w:abstractNum w:abstractNumId="3567904">
    <w:lvl>
      <w:numFmt w:val="bullet"/>
      <w:suff w:val="tab"/>
      <w:lvlText w:val="￮"/>
      <w:rPr>
        <w:color w:val="3370ff"/>
      </w:rPr>
    </w:lvl>
  </w:abstractNum>
  <w:abstractNum w:abstractNumId="3567905">
    <w:lvl>
      <w:numFmt w:val="bullet"/>
      <w:suff w:val="tab"/>
      <w:lvlText w:val="▪"/>
      <w:rPr>
        <w:color w:val="3370ff"/>
        <w:sz w:val="11"/>
      </w:rPr>
    </w:lvl>
  </w:abstractNum>
  <w:abstractNum w:abstractNumId="3567906">
    <w:lvl>
      <w:numFmt w:val="bullet"/>
      <w:suff w:val="tab"/>
      <w:lvlText w:val="▪"/>
      <w:rPr>
        <w:color w:val="3370ff"/>
        <w:sz w:val="11"/>
      </w:rPr>
    </w:lvl>
  </w:abstractNum>
  <w:abstractNum w:abstractNumId="3567907">
    <w:lvl>
      <w:numFmt w:val="bullet"/>
      <w:suff w:val="tab"/>
      <w:lvlText w:val="•"/>
      <w:rPr>
        <w:color w:val="3370ff"/>
      </w:rPr>
    </w:lvl>
  </w:abstractNum>
  <w:abstractNum w:abstractNumId="3567908">
    <w:lvl>
      <w:numFmt w:val="bullet"/>
      <w:suff w:val="tab"/>
      <w:lvlText w:val="￮"/>
      <w:rPr>
        <w:color w:val="3370ff"/>
      </w:rPr>
    </w:lvl>
  </w:abstractNum>
  <w:abstractNum w:abstractNumId="3567909">
    <w:lvl>
      <w:numFmt w:val="bullet"/>
      <w:suff w:val="tab"/>
      <w:lvlText w:val="▪"/>
      <w:rPr>
        <w:color w:val="3370ff"/>
        <w:sz w:val="11"/>
      </w:rPr>
    </w:lvl>
  </w:abstractNum>
  <w:abstractNum w:abstractNumId="3567910">
    <w:lvl>
      <w:numFmt w:val="bullet"/>
      <w:suff w:val="tab"/>
      <w:lvlText w:val="▪"/>
      <w:rPr>
        <w:color w:val="3370ff"/>
        <w:sz w:val="11"/>
      </w:rPr>
    </w:lvl>
  </w:abstractNum>
  <w:abstractNum w:abstractNumId="3567911">
    <w:lvl>
      <w:numFmt w:val="bullet"/>
      <w:suff w:val="tab"/>
      <w:lvlText w:val="￮"/>
      <w:rPr>
        <w:color w:val="3370ff"/>
      </w:rPr>
    </w:lvl>
  </w:abstractNum>
  <w:abstractNum w:abstractNumId="3567912">
    <w:lvl>
      <w:numFmt w:val="bullet"/>
      <w:suff w:val="tab"/>
      <w:lvlText w:val="▪"/>
      <w:rPr>
        <w:color w:val="3370ff"/>
        <w:sz w:val="11"/>
      </w:rPr>
    </w:lvl>
  </w:abstractNum>
  <w:abstractNum w:abstractNumId="3567913">
    <w:lvl>
      <w:numFmt w:val="bullet"/>
      <w:suff w:val="tab"/>
      <w:lvlText w:val="▪"/>
      <w:rPr>
        <w:color w:val="3370ff"/>
        <w:sz w:val="11"/>
      </w:rPr>
    </w:lvl>
  </w:abstractNum>
  <w:abstractNum w:abstractNumId="3567914">
    <w:lvl>
      <w:numFmt w:val="bullet"/>
      <w:suff w:val="tab"/>
      <w:lvlText w:val="•"/>
      <w:rPr>
        <w:color w:val="3370ff"/>
      </w:rPr>
    </w:lvl>
  </w:abstractNum>
  <w:abstractNum w:abstractNumId="3567915">
    <w:lvl>
      <w:numFmt w:val="bullet"/>
      <w:suff w:val="tab"/>
      <w:lvlText w:val="•"/>
      <w:rPr>
        <w:color w:val="3370ff"/>
      </w:rPr>
    </w:lvl>
  </w:abstractNum>
  <w:abstractNum w:abstractNumId="3567916">
    <w:lvl>
      <w:numFmt w:val="bullet"/>
      <w:suff w:val="tab"/>
      <w:lvlText w:val="•"/>
      <w:rPr>
        <w:color w:val="3370ff"/>
      </w:rPr>
    </w:lvl>
  </w:abstractNum>
  <w:abstractNum w:abstractNumId="3567917">
    <w:lvl>
      <w:numFmt w:val="bullet"/>
      <w:suff w:val="tab"/>
      <w:lvlText w:val="￮"/>
      <w:rPr>
        <w:color w:val="3370ff"/>
      </w:rPr>
    </w:lvl>
  </w:abstractNum>
  <w:abstractNum w:abstractNumId="3567918">
    <w:lvl>
      <w:numFmt w:val="bullet"/>
      <w:suff w:val="tab"/>
      <w:lvlText w:val="￮"/>
      <w:rPr>
        <w:color w:val="3370ff"/>
      </w:rPr>
    </w:lvl>
  </w:abstractNum>
  <w:abstractNum w:abstractNumId="3567919">
    <w:lvl>
      <w:numFmt w:val="bullet"/>
      <w:suff w:val="tab"/>
      <w:lvlText w:val="•"/>
      <w:rPr>
        <w:color w:val="3370ff"/>
      </w:rPr>
    </w:lvl>
  </w:abstractNum>
  <w:abstractNum w:abstractNumId="3567920">
    <w:lvl>
      <w:numFmt w:val="bullet"/>
      <w:suff w:val="tab"/>
      <w:lvlText w:val="•"/>
      <w:rPr>
        <w:color w:val="3370ff"/>
      </w:rPr>
    </w:lvl>
  </w:abstractNum>
  <w:abstractNum w:abstractNumId="3567921">
    <w:lvl>
      <w:numFmt w:val="bullet"/>
      <w:suff w:val="tab"/>
      <w:lvlText w:val="•"/>
      <w:rPr>
        <w:color w:val="3370ff"/>
      </w:rPr>
    </w:lvl>
  </w:abstractNum>
  <w:abstractNum w:abstractNumId="3567922">
    <w:lvl>
      <w:numFmt w:val="bullet"/>
      <w:suff w:val="tab"/>
      <w:lvlText w:val="•"/>
      <w:rPr>
        <w:color w:val="3370ff"/>
      </w:rPr>
    </w:lvl>
  </w:abstractNum>
  <w:abstractNum w:abstractNumId="3567923">
    <w:lvl>
      <w:start w:val="1"/>
      <w:numFmt w:val="decimal"/>
      <w:suff w:val="tab"/>
      <w:lvlText w:val="%1."/>
      <w:rPr>
        <w:color w:val="3370ff"/>
      </w:rPr>
    </w:lvl>
  </w:abstractNum>
  <w:abstractNum w:abstractNumId="3567924">
    <w:lvl>
      <w:numFmt w:val="bullet"/>
      <w:suff w:val="tab"/>
      <w:lvlText w:val="•"/>
      <w:rPr>
        <w:color w:val="3370ff"/>
      </w:rPr>
    </w:lvl>
  </w:abstractNum>
  <w:abstractNum w:abstractNumId="3567925">
    <w:lvl>
      <w:numFmt w:val="bullet"/>
      <w:suff w:val="tab"/>
      <w:lvlText w:val="•"/>
      <w:rPr>
        <w:color w:val="3370ff"/>
      </w:rPr>
    </w:lvl>
  </w:abstractNum>
  <w:abstractNum w:abstractNumId="3567926">
    <w:lvl>
      <w:numFmt w:val="bullet"/>
      <w:suff w:val="tab"/>
      <w:lvlText w:val="•"/>
      <w:rPr>
        <w:color w:val="3370ff"/>
      </w:rPr>
    </w:lvl>
  </w:abstractNum>
  <w:abstractNum w:abstractNumId="3567927">
    <w:lvl>
      <w:numFmt w:val="bullet"/>
      <w:suff w:val="tab"/>
      <w:lvlText w:val="•"/>
      <w:rPr>
        <w:color w:val="3370ff"/>
      </w:rPr>
    </w:lvl>
  </w:abstractNum>
  <w:abstractNum w:abstractNumId="3567928">
    <w:lvl>
      <w:numFmt w:val="bullet"/>
      <w:suff w:val="tab"/>
      <w:lvlText w:val="•"/>
      <w:rPr>
        <w:color w:val="3370ff"/>
      </w:rPr>
    </w:lvl>
  </w:abstractNum>
  <w:abstractNum w:abstractNumId="3567929">
    <w:lvl>
      <w:numFmt w:val="bullet"/>
      <w:suff w:val="tab"/>
      <w:lvlText w:val="•"/>
      <w:rPr>
        <w:color w:val="3370ff"/>
      </w:rPr>
    </w:lvl>
  </w:abstractNum>
  <w:abstractNum w:abstractNumId="3567930">
    <w:lvl>
      <w:start w:val="2"/>
      <w:numFmt w:val="decimal"/>
      <w:suff w:val="tab"/>
      <w:lvlText w:val="%1."/>
      <w:rPr>
        <w:color w:val="3370ff"/>
      </w:rPr>
    </w:lvl>
  </w:abstractNum>
  <w:abstractNum w:abstractNumId="3567931">
    <w:lvl>
      <w:numFmt w:val="bullet"/>
      <w:suff w:val="tab"/>
      <w:lvlText w:val="•"/>
      <w:rPr>
        <w:color w:val="3370ff"/>
      </w:rPr>
    </w:lvl>
  </w:abstractNum>
  <w:abstractNum w:abstractNumId="3567932">
    <w:lvl>
      <w:numFmt w:val="bullet"/>
      <w:suff w:val="tab"/>
      <w:lvlText w:val="•"/>
      <w:rPr>
        <w:color w:val="3370ff"/>
      </w:rPr>
    </w:lvl>
  </w:abstractNum>
  <w:abstractNum w:abstractNumId="3567933">
    <w:lvl>
      <w:numFmt w:val="bullet"/>
      <w:suff w:val="tab"/>
      <w:lvlText w:val="•"/>
      <w:rPr>
        <w:color w:val="3370ff"/>
      </w:rPr>
    </w:lvl>
  </w:abstractNum>
  <w:abstractNum w:abstractNumId="3567934">
    <w:lvl>
      <w:numFmt w:val="bullet"/>
      <w:suff w:val="tab"/>
      <w:lvlText w:val="•"/>
      <w:rPr>
        <w:color w:val="3370ff"/>
      </w:rPr>
    </w:lvl>
  </w:abstractNum>
  <w:abstractNum w:abstractNumId="3567935">
    <w:lvl>
      <w:numFmt w:val="bullet"/>
      <w:suff w:val="tab"/>
      <w:lvlText w:val="•"/>
      <w:rPr>
        <w:color w:val="3370ff"/>
      </w:rPr>
    </w:lvl>
  </w:abstractNum>
  <w:abstractNum w:abstractNumId="3567936">
    <w:lvl>
      <w:numFmt w:val="bullet"/>
      <w:suff w:val="tab"/>
      <w:lvlText w:val="•"/>
      <w:rPr>
        <w:color w:val="3370ff"/>
      </w:rPr>
    </w:lvl>
  </w:abstractNum>
  <w:abstractNum w:abstractNumId="3567937">
    <w:lvl>
      <w:start w:val="3"/>
      <w:numFmt w:val="decimal"/>
      <w:suff w:val="tab"/>
      <w:lvlText w:val="%1."/>
      <w:rPr>
        <w:color w:val="3370ff"/>
      </w:rPr>
    </w:lvl>
  </w:abstractNum>
  <w:abstractNum w:abstractNumId="3567938">
    <w:lvl>
      <w:numFmt w:val="bullet"/>
      <w:suff w:val="tab"/>
      <w:lvlText w:val="•"/>
      <w:rPr>
        <w:color w:val="3370ff"/>
      </w:rPr>
    </w:lvl>
  </w:abstractNum>
  <w:abstractNum w:abstractNumId="3567939">
    <w:lvl>
      <w:numFmt w:val="bullet"/>
      <w:suff w:val="tab"/>
      <w:lvlText w:val="•"/>
      <w:rPr>
        <w:color w:val="3370ff"/>
      </w:rPr>
    </w:lvl>
  </w:abstractNum>
  <w:abstractNum w:abstractNumId="3567940">
    <w:lvl>
      <w:numFmt w:val="bullet"/>
      <w:suff w:val="tab"/>
      <w:lvlText w:val="•"/>
      <w:rPr>
        <w:color w:val="3370ff"/>
      </w:rPr>
    </w:lvl>
  </w:abstractNum>
  <w:abstractNum w:abstractNumId="3567941">
    <w:lvl>
      <w:numFmt w:val="bullet"/>
      <w:suff w:val="tab"/>
      <w:lvlText w:val="•"/>
      <w:rPr>
        <w:color w:val="3370ff"/>
      </w:rPr>
    </w:lvl>
  </w:abstractNum>
  <w:abstractNum w:abstractNumId="3567942">
    <w:lvl>
      <w:numFmt w:val="bullet"/>
      <w:suff w:val="tab"/>
      <w:lvlText w:val="•"/>
      <w:rPr>
        <w:color w:val="3370ff"/>
      </w:rPr>
    </w:lvl>
  </w:abstractNum>
  <w:abstractNum w:abstractNumId="3567943">
    <w:lvl>
      <w:numFmt w:val="bullet"/>
      <w:suff w:val="tab"/>
      <w:lvlText w:val="•"/>
      <w:rPr>
        <w:color w:val="3370ff"/>
      </w:rPr>
    </w:lvl>
  </w:abstractNum>
  <w:abstractNum w:abstractNumId="3567944">
    <w:lvl>
      <w:numFmt w:val="bullet"/>
      <w:suff w:val="tab"/>
      <w:lvlText w:val="•"/>
      <w:rPr>
        <w:color w:val="3370ff"/>
      </w:rPr>
    </w:lvl>
  </w:abstractNum>
  <w:abstractNum w:abstractNumId="3567945">
    <w:lvl>
      <w:numFmt w:val="bullet"/>
      <w:suff w:val="tab"/>
      <w:lvlText w:val="•"/>
      <w:rPr>
        <w:color w:val="3370ff"/>
      </w:rPr>
    </w:lvl>
  </w:abstractNum>
  <w:abstractNum w:abstractNumId="3567946">
    <w:lvl>
      <w:numFmt w:val="bullet"/>
      <w:suff w:val="tab"/>
      <w:lvlText w:val="•"/>
      <w:rPr>
        <w:color w:val="3370ff"/>
      </w:rPr>
    </w:lvl>
  </w:abstractNum>
  <w:abstractNum w:abstractNumId="3567947">
    <w:lvl>
      <w:numFmt w:val="bullet"/>
      <w:suff w:val="tab"/>
      <w:lvlText w:val="•"/>
      <w:rPr>
        <w:color w:val="3370ff"/>
      </w:rPr>
    </w:lvl>
  </w:abstractNum>
  <w:abstractNum w:abstractNumId="3567948">
    <w:lvl>
      <w:numFmt w:val="bullet"/>
      <w:suff w:val="tab"/>
      <w:lvlText w:val="•"/>
      <w:rPr>
        <w:color w:val="3370ff"/>
      </w:rPr>
    </w:lvl>
  </w:abstractNum>
  <w:abstractNum w:abstractNumId="3567949">
    <w:lvl>
      <w:numFmt w:val="bullet"/>
      <w:suff w:val="tab"/>
      <w:lvlText w:val="•"/>
      <w:rPr>
        <w:color w:val="3370ff"/>
      </w:rPr>
    </w:lvl>
  </w:abstractNum>
  <w:abstractNum w:abstractNumId="3567950">
    <w:lvl>
      <w:numFmt w:val="bullet"/>
      <w:suff w:val="tab"/>
      <w:lvlText w:val="￮"/>
      <w:rPr>
        <w:color w:val="3370ff"/>
      </w:rPr>
    </w:lvl>
  </w:abstractNum>
  <w:abstractNum w:abstractNumId="3567951">
    <w:lvl>
      <w:numFmt w:val="bullet"/>
      <w:suff w:val="tab"/>
      <w:lvlText w:val="￮"/>
      <w:rPr>
        <w:color w:val="3370ff"/>
      </w:rPr>
    </w:lvl>
  </w:abstractNum>
  <w:abstractNum w:abstractNumId="3567952">
    <w:lvl>
      <w:numFmt w:val="bullet"/>
      <w:suff w:val="tab"/>
      <w:lvlText w:val="￮"/>
      <w:rPr>
        <w:color w:val="3370ff"/>
      </w:rPr>
    </w:lvl>
  </w:abstractNum>
  <w:abstractNum w:abstractNumId="3567953">
    <w:lvl>
      <w:numFmt w:val="bullet"/>
      <w:suff w:val="tab"/>
      <w:lvlText w:val="￮"/>
      <w:rPr>
        <w:color w:val="3370ff"/>
      </w:rPr>
    </w:lvl>
  </w:abstractNum>
  <w:abstractNum w:abstractNumId="3567954">
    <w:lvl>
      <w:numFmt w:val="bullet"/>
      <w:suff w:val="tab"/>
      <w:lvlText w:val="•"/>
      <w:rPr>
        <w:color w:val="3370ff"/>
      </w:rPr>
    </w:lvl>
  </w:abstractNum>
  <w:abstractNum w:abstractNumId="3567955">
    <w:lvl>
      <w:numFmt w:val="bullet"/>
      <w:suff w:val="tab"/>
      <w:lvlText w:val="•"/>
      <w:rPr>
        <w:color w:val="3370ff"/>
      </w:rPr>
    </w:lvl>
  </w:abstractNum>
  <w:abstractNum w:abstractNumId="3567956">
    <w:lvl>
      <w:numFmt w:val="bullet"/>
      <w:suff w:val="tab"/>
      <w:lvlText w:val="•"/>
      <w:rPr>
        <w:color w:val="3370ff"/>
      </w:rPr>
    </w:lvl>
  </w:abstractNum>
  <w:abstractNum w:abstractNumId="3567957">
    <w:lvl>
      <w:numFmt w:val="bullet"/>
      <w:suff w:val="tab"/>
      <w:lvlText w:val="•"/>
      <w:rPr>
        <w:color w:val="3370ff"/>
      </w:rPr>
    </w:lvl>
  </w:abstractNum>
  <w:abstractNum w:abstractNumId="3567958">
    <w:lvl>
      <w:numFmt w:val="bullet"/>
      <w:suff w:val="tab"/>
      <w:lvlText w:val="•"/>
      <w:rPr>
        <w:color w:val="3370ff"/>
      </w:rPr>
    </w:lvl>
  </w:abstractNum>
  <w:abstractNum w:abstractNumId="3567959">
    <w:lvl>
      <w:numFmt w:val="bullet"/>
      <w:suff w:val="tab"/>
      <w:lvlText w:val="•"/>
      <w:rPr>
        <w:color w:val="3370ff"/>
      </w:rPr>
    </w:lvl>
  </w:abstractNum>
  <w:abstractNum w:abstractNumId="3567960">
    <w:lvl>
      <w:numFmt w:val="bullet"/>
      <w:suff w:val="tab"/>
      <w:lvlText w:val="•"/>
      <w:rPr>
        <w:color w:val="3370ff"/>
      </w:rPr>
    </w:lvl>
  </w:abstractNum>
  <w:abstractNum w:abstractNumId="3567961">
    <w:lvl>
      <w:numFmt w:val="bullet"/>
      <w:suff w:val="tab"/>
      <w:lvlText w:val="•"/>
      <w:rPr>
        <w:color w:val="3370ff"/>
      </w:rPr>
    </w:lvl>
  </w:abstractNum>
  <w:abstractNum w:abstractNumId="3567962">
    <w:lvl>
      <w:numFmt w:val="bullet"/>
      <w:suff w:val="tab"/>
      <w:lvlText w:val="•"/>
      <w:rPr>
        <w:color w:val="3370ff"/>
      </w:rPr>
    </w:lvl>
  </w:abstractNum>
  <w:abstractNum w:abstractNumId="3567963">
    <w:lvl>
      <w:numFmt w:val="bullet"/>
      <w:suff w:val="tab"/>
      <w:lvlText w:val="•"/>
      <w:rPr>
        <w:color w:val="3370ff"/>
      </w:rPr>
    </w:lvl>
  </w:abstractNum>
  <w:abstractNum w:abstractNumId="3567964">
    <w:lvl>
      <w:numFmt w:val="bullet"/>
      <w:suff w:val="tab"/>
      <w:lvlText w:val="•"/>
      <w:rPr>
        <w:color w:val="3370ff"/>
      </w:rPr>
    </w:lvl>
  </w:abstractNum>
  <w:abstractNum w:abstractNumId="3567965">
    <w:lvl>
      <w:numFmt w:val="bullet"/>
      <w:suff w:val="tab"/>
      <w:lvlText w:val="•"/>
      <w:rPr>
        <w:color w:val="3370ff"/>
      </w:rPr>
    </w:lvl>
  </w:abstractNum>
  <w:abstractNum w:abstractNumId="3567966">
    <w:lvl>
      <w:numFmt w:val="bullet"/>
      <w:suff w:val="tab"/>
      <w:lvlText w:val="•"/>
      <w:rPr>
        <w:color w:val="3370ff"/>
      </w:rPr>
    </w:lvl>
  </w:abstractNum>
  <w:abstractNum w:abstractNumId="3567967">
    <w:lvl>
      <w:numFmt w:val="bullet"/>
      <w:suff w:val="tab"/>
      <w:lvlText w:val="•"/>
      <w:rPr>
        <w:color w:val="3370ff"/>
      </w:rPr>
    </w:lvl>
  </w:abstractNum>
  <w:abstractNum w:abstractNumId="3567968">
    <w:lvl>
      <w:numFmt w:val="bullet"/>
      <w:suff w:val="tab"/>
      <w:lvlText w:val="•"/>
      <w:rPr>
        <w:color w:val="3370ff"/>
      </w:rPr>
    </w:lvl>
  </w:abstractNum>
  <w:abstractNum w:abstractNumId="3567969">
    <w:lvl>
      <w:numFmt w:val="bullet"/>
      <w:suff w:val="tab"/>
      <w:lvlText w:val="•"/>
      <w:rPr>
        <w:color w:val="3370ff"/>
      </w:rPr>
    </w:lvl>
  </w:abstractNum>
  <w:abstractNum w:abstractNumId="3567970">
    <w:lvl>
      <w:numFmt w:val="bullet"/>
      <w:suff w:val="tab"/>
      <w:lvlText w:val="•"/>
      <w:rPr>
        <w:color w:val="3370ff"/>
      </w:rPr>
    </w:lvl>
  </w:abstractNum>
  <w:abstractNum w:abstractNumId="3567971">
    <w:lvl>
      <w:numFmt w:val="bullet"/>
      <w:suff w:val="tab"/>
      <w:lvlText w:val="•"/>
      <w:rPr>
        <w:color w:val="3370ff"/>
      </w:rPr>
    </w:lvl>
  </w:abstractNum>
  <w:abstractNum w:abstractNumId="3567972">
    <w:lvl>
      <w:numFmt w:val="bullet"/>
      <w:suff w:val="tab"/>
      <w:lvlText w:val="•"/>
      <w:rPr>
        <w:color w:val="3370ff"/>
      </w:rPr>
    </w:lvl>
  </w:abstractNum>
  <w:abstractNum w:abstractNumId="3567973">
    <w:lvl>
      <w:numFmt w:val="bullet"/>
      <w:suff w:val="tab"/>
      <w:lvlText w:val="•"/>
      <w:rPr>
        <w:color w:val="3370ff"/>
      </w:rPr>
    </w:lvl>
  </w:abstractNum>
  <w:abstractNum w:abstractNumId="3567974">
    <w:lvl>
      <w:numFmt w:val="bullet"/>
      <w:suff w:val="tab"/>
      <w:lvlText w:val="•"/>
      <w:rPr>
        <w:color w:val="3370ff"/>
      </w:rPr>
    </w:lvl>
  </w:abstractNum>
  <w:abstractNum w:abstractNumId="3567975">
    <w:lvl>
      <w:numFmt w:val="bullet"/>
      <w:suff w:val="tab"/>
      <w:lvlText w:val="•"/>
      <w:rPr>
        <w:color w:val="3370ff"/>
      </w:rPr>
    </w:lvl>
  </w:abstractNum>
  <w:abstractNum w:abstractNumId="3567976">
    <w:lvl>
      <w:numFmt w:val="bullet"/>
      <w:suff w:val="tab"/>
      <w:lvlText w:val="•"/>
      <w:rPr>
        <w:color w:val="3370ff"/>
      </w:rPr>
    </w:lvl>
  </w:abstractNum>
  <w:abstractNum w:abstractNumId="3567977">
    <w:lvl>
      <w:numFmt w:val="bullet"/>
      <w:suff w:val="tab"/>
      <w:lvlText w:val="•"/>
      <w:rPr>
        <w:color w:val="3370ff"/>
      </w:rPr>
    </w:lvl>
  </w:abstractNum>
  <w:abstractNum w:abstractNumId="3567978">
    <w:lvl>
      <w:numFmt w:val="bullet"/>
      <w:suff w:val="tab"/>
      <w:lvlText w:val="•"/>
      <w:rPr>
        <w:color w:val="3370ff"/>
      </w:rPr>
    </w:lvl>
  </w:abstractNum>
  <w:abstractNum w:abstractNumId="3567979">
    <w:lvl>
      <w:numFmt w:val="bullet"/>
      <w:suff w:val="tab"/>
      <w:lvlText w:val="•"/>
      <w:rPr>
        <w:color w:val="3370ff"/>
      </w:rPr>
    </w:lvl>
  </w:abstractNum>
  <w:abstractNum w:abstractNumId="3567980">
    <w:lvl>
      <w:numFmt w:val="bullet"/>
      <w:suff w:val="tab"/>
      <w:lvlText w:val="•"/>
      <w:rPr>
        <w:color w:val="3370ff"/>
      </w:rPr>
    </w:lvl>
  </w:abstractNum>
  <w:abstractNum w:abstractNumId="3567981">
    <w:lvl>
      <w:numFmt w:val="bullet"/>
      <w:suff w:val="tab"/>
      <w:lvlText w:val="•"/>
      <w:rPr>
        <w:color w:val="3370ff"/>
      </w:rPr>
    </w:lvl>
  </w:abstractNum>
  <w:abstractNum w:abstractNumId="3567982">
    <w:lvl>
      <w:numFmt w:val="bullet"/>
      <w:suff w:val="tab"/>
      <w:lvlText w:val="•"/>
      <w:rPr>
        <w:color w:val="3370ff"/>
      </w:rPr>
    </w:lvl>
  </w:abstractNum>
  <w:abstractNum w:abstractNumId="3567983">
    <w:lvl>
      <w:numFmt w:val="bullet"/>
      <w:suff w:val="tab"/>
      <w:lvlText w:val="•"/>
      <w:rPr>
        <w:color w:val="3370ff"/>
      </w:rPr>
    </w:lvl>
  </w:abstractNum>
  <w:abstractNum w:abstractNumId="3567984">
    <w:lvl>
      <w:numFmt w:val="bullet"/>
      <w:suff w:val="tab"/>
      <w:lvlText w:val="•"/>
      <w:rPr>
        <w:color w:val="3370ff"/>
      </w:rPr>
    </w:lvl>
  </w:abstractNum>
  <w:abstractNum w:abstractNumId="3567985">
    <w:lvl>
      <w:numFmt w:val="bullet"/>
      <w:suff w:val="tab"/>
      <w:lvlText w:val="•"/>
      <w:rPr>
        <w:color w:val="3370ff"/>
      </w:rPr>
    </w:lvl>
  </w:abstractNum>
  <w:abstractNum w:abstractNumId="3567986">
    <w:lvl>
      <w:numFmt w:val="bullet"/>
      <w:suff w:val="tab"/>
      <w:lvlText w:val="•"/>
      <w:rPr>
        <w:color w:val="3370ff"/>
      </w:rPr>
    </w:lvl>
  </w:abstractNum>
  <w:abstractNum w:abstractNumId="3567987">
    <w:lvl>
      <w:numFmt w:val="bullet"/>
      <w:suff w:val="tab"/>
      <w:lvlText w:val="•"/>
      <w:rPr>
        <w:color w:val="3370ff"/>
      </w:rPr>
    </w:lvl>
  </w:abstractNum>
  <w:abstractNum w:abstractNumId="3567988">
    <w:lvl>
      <w:numFmt w:val="bullet"/>
      <w:suff w:val="tab"/>
      <w:lvlText w:val="•"/>
      <w:rPr>
        <w:color w:val="3370ff"/>
      </w:rPr>
    </w:lvl>
  </w:abstractNum>
  <w:abstractNum w:abstractNumId="3567989">
    <w:lvl>
      <w:numFmt w:val="bullet"/>
      <w:suff w:val="tab"/>
      <w:lvlText w:val="•"/>
      <w:rPr>
        <w:color w:val="3370ff"/>
      </w:rPr>
    </w:lvl>
  </w:abstractNum>
  <w:abstractNum w:abstractNumId="3567990">
    <w:lvl>
      <w:numFmt w:val="bullet"/>
      <w:suff w:val="tab"/>
      <w:lvlText w:val="•"/>
      <w:rPr>
        <w:color w:val="3370ff"/>
      </w:rPr>
    </w:lvl>
  </w:abstractNum>
  <w:abstractNum w:abstractNumId="3567991">
    <w:lvl>
      <w:numFmt w:val="bullet"/>
      <w:suff w:val="tab"/>
      <w:lvlText w:val="•"/>
      <w:rPr>
        <w:color w:val="3370ff"/>
      </w:rPr>
    </w:lvl>
  </w:abstractNum>
  <w:abstractNum w:abstractNumId="3567992">
    <w:lvl>
      <w:numFmt w:val="bullet"/>
      <w:suff w:val="tab"/>
      <w:lvlText w:val="•"/>
      <w:rPr>
        <w:color w:val="3370ff"/>
      </w:rPr>
    </w:lvl>
  </w:abstractNum>
  <w:abstractNum w:abstractNumId="3567993">
    <w:lvl>
      <w:numFmt w:val="bullet"/>
      <w:suff w:val="tab"/>
      <w:lvlText w:val="•"/>
      <w:rPr>
        <w:color w:val="3370ff"/>
      </w:rPr>
    </w:lvl>
  </w:abstractNum>
  <w:abstractNum w:abstractNumId="3567994">
    <w:lvl>
      <w:numFmt w:val="bullet"/>
      <w:suff w:val="tab"/>
      <w:lvlText w:val="•"/>
      <w:rPr>
        <w:color w:val="3370ff"/>
      </w:rPr>
    </w:lvl>
  </w:abstractNum>
  <w:abstractNum w:abstractNumId="3567995">
    <w:lvl>
      <w:numFmt w:val="bullet"/>
      <w:suff w:val="tab"/>
      <w:lvlText w:val="•"/>
      <w:rPr>
        <w:color w:val="3370ff"/>
      </w:rPr>
    </w:lvl>
  </w:abstractNum>
  <w:abstractNum w:abstractNumId="3567996">
    <w:lvl>
      <w:numFmt w:val="bullet"/>
      <w:suff w:val="tab"/>
      <w:lvlText w:val="•"/>
      <w:rPr>
        <w:color w:val="3370ff"/>
      </w:rPr>
    </w:lvl>
  </w:abstractNum>
  <w:abstractNum w:abstractNumId="3567997">
    <w:lvl>
      <w:numFmt w:val="bullet"/>
      <w:suff w:val="tab"/>
      <w:lvlText w:val="•"/>
      <w:rPr>
        <w:color w:val="3370ff"/>
      </w:rPr>
    </w:lvl>
  </w:abstractNum>
  <w:abstractNum w:abstractNumId="3567998">
    <w:lvl>
      <w:numFmt w:val="bullet"/>
      <w:suff w:val="tab"/>
      <w:lvlText w:val="•"/>
      <w:rPr>
        <w:color w:val="3370ff"/>
      </w:rPr>
    </w:lvl>
  </w:abstractNum>
  <w:abstractNum w:abstractNumId="3567999">
    <w:lvl>
      <w:numFmt w:val="bullet"/>
      <w:suff w:val="tab"/>
      <w:lvlText w:val="•"/>
      <w:rPr>
        <w:color w:val="3370ff"/>
      </w:rPr>
    </w:lvl>
  </w:abstractNum>
  <w:abstractNum w:abstractNumId="3568000">
    <w:lvl>
      <w:numFmt w:val="bullet"/>
      <w:suff w:val="tab"/>
      <w:lvlText w:val="•"/>
      <w:rPr>
        <w:color w:val="3370ff"/>
      </w:rPr>
    </w:lvl>
  </w:abstractNum>
  <w:abstractNum w:abstractNumId="3568001">
    <w:lvl>
      <w:numFmt w:val="bullet"/>
      <w:suff w:val="tab"/>
      <w:lvlText w:val="•"/>
      <w:rPr>
        <w:color w:val="3370ff"/>
      </w:rPr>
    </w:lvl>
  </w:abstractNum>
  <w:abstractNum w:abstractNumId="3568002">
    <w:lvl>
      <w:numFmt w:val="bullet"/>
      <w:suff w:val="tab"/>
      <w:lvlText w:val="•"/>
      <w:rPr>
        <w:color w:val="3370ff"/>
      </w:rPr>
    </w:lvl>
  </w:abstractNum>
  <w:abstractNum w:abstractNumId="3568003">
    <w:lvl>
      <w:numFmt w:val="bullet"/>
      <w:suff w:val="tab"/>
      <w:lvlText w:val="•"/>
      <w:rPr>
        <w:color w:val="3370ff"/>
      </w:rPr>
    </w:lvl>
  </w:abstractNum>
  <w:abstractNum w:abstractNumId="3568004">
    <w:lvl>
      <w:numFmt w:val="bullet"/>
      <w:suff w:val="tab"/>
      <w:lvlText w:val="•"/>
      <w:rPr>
        <w:color w:val="3370ff"/>
      </w:rPr>
    </w:lvl>
  </w:abstractNum>
  <w:abstractNum w:abstractNumId="3568005">
    <w:lvl>
      <w:numFmt w:val="bullet"/>
      <w:suff w:val="tab"/>
      <w:lvlText w:val="•"/>
      <w:rPr>
        <w:color w:val="3370ff"/>
      </w:rPr>
    </w:lvl>
  </w:abstractNum>
  <w:abstractNum w:abstractNumId="3568006">
    <w:lvl>
      <w:numFmt w:val="bullet"/>
      <w:suff w:val="tab"/>
      <w:lvlText w:val="•"/>
      <w:rPr>
        <w:color w:val="3370ff"/>
      </w:rPr>
    </w:lvl>
  </w:abstractNum>
  <w:abstractNum w:abstractNumId="3568007">
    <w:lvl>
      <w:numFmt w:val="bullet"/>
      <w:suff w:val="tab"/>
      <w:lvlText w:val="•"/>
      <w:rPr>
        <w:color w:val="3370ff"/>
      </w:rPr>
    </w:lvl>
  </w:abstractNum>
  <w:abstractNum w:abstractNumId="3568008">
    <w:lvl>
      <w:numFmt w:val="bullet"/>
      <w:suff w:val="tab"/>
      <w:lvlText w:val="•"/>
      <w:rPr>
        <w:color w:val="3370ff"/>
      </w:rPr>
    </w:lvl>
  </w:abstractNum>
  <w:abstractNum w:abstractNumId="3568009">
    <w:lvl>
      <w:numFmt w:val="bullet"/>
      <w:suff w:val="tab"/>
      <w:lvlText w:val="•"/>
      <w:rPr>
        <w:color w:val="3370ff"/>
      </w:rPr>
    </w:lvl>
  </w:abstractNum>
  <w:abstractNum w:abstractNumId="3568010">
    <w:lvl>
      <w:numFmt w:val="bullet"/>
      <w:suff w:val="tab"/>
      <w:lvlText w:val="•"/>
      <w:rPr>
        <w:color w:val="3370ff"/>
      </w:rPr>
    </w:lvl>
  </w:abstractNum>
  <w:abstractNum w:abstractNumId="3568011">
    <w:lvl>
      <w:numFmt w:val="bullet"/>
      <w:suff w:val="tab"/>
      <w:lvlText w:val="•"/>
      <w:rPr>
        <w:color w:val="3370ff"/>
      </w:rPr>
    </w:lvl>
  </w:abstractNum>
  <w:abstractNum w:abstractNumId="3568012">
    <w:lvl>
      <w:numFmt w:val="bullet"/>
      <w:suff w:val="tab"/>
      <w:lvlText w:val="•"/>
      <w:rPr>
        <w:color w:val="3370ff"/>
      </w:rPr>
    </w:lvl>
  </w:abstractNum>
  <w:abstractNum w:abstractNumId="3568013">
    <w:lvl>
      <w:numFmt w:val="bullet"/>
      <w:suff w:val="tab"/>
      <w:lvlText w:val="•"/>
      <w:rPr>
        <w:color w:val="3370ff"/>
      </w:rPr>
    </w:lvl>
  </w:abstractNum>
  <w:abstractNum w:abstractNumId="3568014">
    <w:lvl>
      <w:numFmt w:val="bullet"/>
      <w:suff w:val="tab"/>
      <w:lvlText w:val="•"/>
      <w:rPr>
        <w:color w:val="3370ff"/>
      </w:rPr>
    </w:lvl>
  </w:abstractNum>
  <w:abstractNum w:abstractNumId="3568015">
    <w:lvl>
      <w:numFmt w:val="bullet"/>
      <w:suff w:val="tab"/>
      <w:lvlText w:val="•"/>
      <w:rPr>
        <w:color w:val="3370ff"/>
      </w:rPr>
    </w:lvl>
  </w:abstractNum>
  <w:abstractNum w:abstractNumId="3568016">
    <w:lvl>
      <w:numFmt w:val="bullet"/>
      <w:suff w:val="tab"/>
      <w:lvlText w:val="•"/>
      <w:rPr>
        <w:color w:val="3370ff"/>
      </w:rPr>
    </w:lvl>
  </w:abstractNum>
  <w:abstractNum w:abstractNumId="3568017">
    <w:lvl>
      <w:numFmt w:val="bullet"/>
      <w:suff w:val="tab"/>
      <w:lvlText w:val="•"/>
      <w:rPr>
        <w:color w:val="3370ff"/>
      </w:rPr>
    </w:lvl>
  </w:abstractNum>
  <w:abstractNum w:abstractNumId="3568018">
    <w:lvl>
      <w:numFmt w:val="bullet"/>
      <w:suff w:val="tab"/>
      <w:lvlText w:val="•"/>
      <w:rPr>
        <w:color w:val="3370ff"/>
      </w:rPr>
    </w:lvl>
  </w:abstractNum>
  <w:abstractNum w:abstractNumId="3568019">
    <w:lvl>
      <w:numFmt w:val="bullet"/>
      <w:suff w:val="tab"/>
      <w:lvlText w:val="￮"/>
      <w:rPr>
        <w:color w:val="3370ff"/>
      </w:rPr>
    </w:lvl>
  </w:abstractNum>
  <w:abstractNum w:abstractNumId="3568020">
    <w:lvl>
      <w:numFmt w:val="bullet"/>
      <w:suff w:val="tab"/>
      <w:lvlText w:val="▪"/>
      <w:rPr>
        <w:color w:val="3370ff"/>
        <w:sz w:val="11"/>
      </w:rPr>
    </w:lvl>
  </w:abstractNum>
  <w:abstractNum w:abstractNumId="3568021">
    <w:lvl>
      <w:numFmt w:val="bullet"/>
      <w:suff w:val="tab"/>
      <w:lvlText w:val="▪"/>
      <w:rPr>
        <w:color w:val="3370ff"/>
        <w:sz w:val="11"/>
      </w:rPr>
    </w:lvl>
  </w:abstractNum>
  <w:abstractNum w:abstractNumId="3568022">
    <w:lvl>
      <w:numFmt w:val="bullet"/>
      <w:suff w:val="tab"/>
      <w:lvlText w:val="▪"/>
      <w:rPr>
        <w:color w:val="3370ff"/>
        <w:sz w:val="11"/>
      </w:rPr>
    </w:lvl>
  </w:abstractNum>
  <w:abstractNum w:abstractNumId="3568023">
    <w:lvl>
      <w:numFmt w:val="bullet"/>
      <w:suff w:val="tab"/>
      <w:lvlText w:val="￮"/>
      <w:rPr>
        <w:color w:val="3370ff"/>
      </w:rPr>
    </w:lvl>
  </w:abstractNum>
  <w:abstractNum w:abstractNumId="3568024">
    <w:lvl>
      <w:numFmt w:val="bullet"/>
      <w:suff w:val="tab"/>
      <w:lvlText w:val="▪"/>
      <w:rPr>
        <w:color w:val="3370ff"/>
        <w:sz w:val="11"/>
      </w:rPr>
    </w:lvl>
  </w:abstractNum>
  <w:abstractNum w:abstractNumId="3568025">
    <w:lvl>
      <w:numFmt w:val="bullet"/>
      <w:suff w:val="tab"/>
      <w:lvlText w:val="▪"/>
      <w:rPr>
        <w:color w:val="3370ff"/>
        <w:sz w:val="11"/>
      </w:rPr>
    </w:lvl>
  </w:abstractNum>
  <w:abstractNum w:abstractNumId="3568026">
    <w:lvl>
      <w:numFmt w:val="bullet"/>
      <w:suff w:val="tab"/>
      <w:lvlText w:val="•"/>
      <w:rPr>
        <w:color w:val="3370ff"/>
      </w:rPr>
    </w:lvl>
  </w:abstractNum>
  <w:abstractNum w:abstractNumId="3568027">
    <w:lvl>
      <w:numFmt w:val="bullet"/>
      <w:suff w:val="tab"/>
      <w:lvlText w:val="￮"/>
      <w:rPr>
        <w:color w:val="3370ff"/>
      </w:rPr>
    </w:lvl>
  </w:abstractNum>
  <w:abstractNum w:abstractNumId="3568028">
    <w:lvl>
      <w:numFmt w:val="bullet"/>
      <w:suff w:val="tab"/>
      <w:lvlText w:val="▪"/>
      <w:rPr>
        <w:color w:val="3370ff"/>
        <w:sz w:val="11"/>
      </w:rPr>
    </w:lvl>
  </w:abstractNum>
  <w:abstractNum w:abstractNumId="3568029">
    <w:lvl>
      <w:numFmt w:val="bullet"/>
      <w:suff w:val="tab"/>
      <w:lvlText w:val="▪"/>
      <w:rPr>
        <w:color w:val="3370ff"/>
        <w:sz w:val="11"/>
      </w:rPr>
    </w:lvl>
  </w:abstractNum>
  <w:abstractNum w:abstractNumId="3568030">
    <w:lvl>
      <w:numFmt w:val="bullet"/>
      <w:suff w:val="tab"/>
      <w:lvlText w:val="▪"/>
      <w:rPr>
        <w:color w:val="3370ff"/>
        <w:sz w:val="11"/>
      </w:rPr>
    </w:lvl>
  </w:abstractNum>
  <w:abstractNum w:abstractNumId="3568031">
    <w:lvl>
      <w:numFmt w:val="bullet"/>
      <w:suff w:val="tab"/>
      <w:lvlText w:val="￮"/>
      <w:rPr>
        <w:color w:val="3370ff"/>
      </w:rPr>
    </w:lvl>
  </w:abstractNum>
  <w:abstractNum w:abstractNumId="3568032">
    <w:lvl>
      <w:numFmt w:val="bullet"/>
      <w:suff w:val="tab"/>
      <w:lvlText w:val="▪"/>
      <w:rPr>
        <w:color w:val="3370ff"/>
        <w:sz w:val="11"/>
      </w:rPr>
    </w:lvl>
  </w:abstractNum>
  <w:abstractNum w:abstractNumId="3568033">
    <w:lvl>
      <w:numFmt w:val="bullet"/>
      <w:suff w:val="tab"/>
      <w:lvlText w:val="▪"/>
      <w:rPr>
        <w:color w:val="3370ff"/>
        <w:sz w:val="11"/>
      </w:rPr>
    </w:lvl>
  </w:abstractNum>
  <w:abstractNum w:abstractNumId="3568034">
    <w:lvl>
      <w:numFmt w:val="bullet"/>
      <w:suff w:val="tab"/>
      <w:lvlText w:val="•"/>
      <w:rPr>
        <w:color w:val="3370ff"/>
      </w:rPr>
    </w:lvl>
  </w:abstractNum>
  <w:abstractNum w:abstractNumId="3568035">
    <w:lvl>
      <w:numFmt w:val="bullet"/>
      <w:suff w:val="tab"/>
      <w:lvlText w:val="￮"/>
      <w:rPr>
        <w:color w:val="3370ff"/>
      </w:rPr>
    </w:lvl>
  </w:abstractNum>
  <w:abstractNum w:abstractNumId="3568036">
    <w:lvl>
      <w:numFmt w:val="bullet"/>
      <w:suff w:val="tab"/>
      <w:lvlText w:val="▪"/>
      <w:rPr>
        <w:color w:val="3370ff"/>
        <w:sz w:val="11"/>
      </w:rPr>
    </w:lvl>
  </w:abstractNum>
  <w:abstractNum w:abstractNumId="3568037">
    <w:lvl>
      <w:numFmt w:val="bullet"/>
      <w:suff w:val="tab"/>
      <w:lvlText w:val="▪"/>
      <w:rPr>
        <w:color w:val="3370ff"/>
        <w:sz w:val="11"/>
      </w:rPr>
    </w:lvl>
  </w:abstractNum>
  <w:abstractNum w:abstractNumId="3568038">
    <w:lvl>
      <w:numFmt w:val="bullet"/>
      <w:suff w:val="tab"/>
      <w:lvlText w:val="▪"/>
      <w:rPr>
        <w:color w:val="3370ff"/>
        <w:sz w:val="11"/>
      </w:rPr>
    </w:lvl>
  </w:abstractNum>
  <w:abstractNum w:abstractNumId="3568039">
    <w:lvl>
      <w:numFmt w:val="bullet"/>
      <w:suff w:val="tab"/>
      <w:lvlText w:val="￮"/>
      <w:rPr>
        <w:color w:val="3370ff"/>
      </w:rPr>
    </w:lvl>
  </w:abstractNum>
  <w:abstractNum w:abstractNumId="3568040">
    <w:lvl>
      <w:numFmt w:val="bullet"/>
      <w:suff w:val="tab"/>
      <w:lvlText w:val="▪"/>
      <w:rPr>
        <w:color w:val="3370ff"/>
        <w:sz w:val="11"/>
      </w:rPr>
    </w:lvl>
  </w:abstractNum>
  <w:abstractNum w:abstractNumId="3568041">
    <w:lvl>
      <w:numFmt w:val="bullet"/>
      <w:suff w:val="tab"/>
      <w:lvlText w:val="▪"/>
      <w:rPr>
        <w:color w:val="3370ff"/>
        <w:sz w:val="11"/>
      </w:rPr>
    </w:lvl>
  </w:abstractNum>
  <w:abstractNum w:abstractNumId="3568042">
    <w:lvl>
      <w:numFmt w:val="bullet"/>
      <w:suff w:val="tab"/>
      <w:lvlText w:val="•"/>
      <w:rPr>
        <w:color w:val="3370ff"/>
      </w:rPr>
    </w:lvl>
  </w:abstractNum>
  <w:abstractNum w:abstractNumId="3568043">
    <w:lvl>
      <w:numFmt w:val="bullet"/>
      <w:suff w:val="tab"/>
      <w:lvlText w:val="•"/>
      <w:rPr>
        <w:color w:val="3370ff"/>
      </w:rPr>
    </w:lvl>
  </w:abstractNum>
  <w:abstractNum w:abstractNumId="3568044">
    <w:lvl>
      <w:numFmt w:val="bullet"/>
      <w:suff w:val="tab"/>
      <w:lvlText w:val="•"/>
      <w:rPr>
        <w:color w:val="3370ff"/>
      </w:rPr>
    </w:lvl>
  </w:abstractNum>
  <w:abstractNum w:abstractNumId="3568045">
    <w:lvl>
      <w:numFmt w:val="bullet"/>
      <w:suff w:val="tab"/>
      <w:lvlText w:val="￮"/>
      <w:rPr>
        <w:color w:val="3370ff"/>
      </w:rPr>
    </w:lvl>
  </w:abstractNum>
  <w:abstractNum w:abstractNumId="3568046">
    <w:lvl>
      <w:numFmt w:val="bullet"/>
      <w:suff w:val="tab"/>
      <w:lvlText w:val="￮"/>
      <w:rPr>
        <w:color w:val="3370ff"/>
      </w:rPr>
    </w:lvl>
  </w:abstractNum>
  <w:abstractNum w:abstractNumId="3568047">
    <w:lvl>
      <w:numFmt w:val="bullet"/>
      <w:suff w:val="tab"/>
      <w:lvlText w:val="•"/>
      <w:rPr>
        <w:color w:val="3370ff"/>
      </w:rPr>
    </w:lvl>
  </w:abstractNum>
  <w:abstractNum w:abstractNumId="3568048">
    <w:lvl>
      <w:numFmt w:val="bullet"/>
      <w:suff w:val="tab"/>
      <w:lvlText w:val="•"/>
      <w:rPr>
        <w:color w:val="3370ff"/>
      </w:rPr>
    </w:lvl>
  </w:abstractNum>
  <w:abstractNum w:abstractNumId="3568049">
    <w:lvl>
      <w:numFmt w:val="bullet"/>
      <w:suff w:val="tab"/>
      <w:lvlText w:val="•"/>
      <w:rPr>
        <w:color w:val="3370ff"/>
      </w:rPr>
    </w:lvl>
  </w:abstractNum>
  <w:abstractNum w:abstractNumId="3568050">
    <w:lvl>
      <w:numFmt w:val="bullet"/>
      <w:suff w:val="tab"/>
      <w:lvlText w:val="•"/>
      <w:rPr>
        <w:color w:val="3370ff"/>
      </w:rPr>
    </w:lvl>
  </w:abstractNum>
  <w:abstractNum w:abstractNumId="3568051">
    <w:lvl>
      <w:numFmt w:val="bullet"/>
      <w:suff w:val="tab"/>
      <w:lvlText w:val="•"/>
      <w:rPr>
        <w:color w:val="3370ff"/>
      </w:rPr>
    </w:lvl>
  </w:abstractNum>
  <w:abstractNum w:abstractNumId="3568052">
    <w:lvl>
      <w:numFmt w:val="bullet"/>
      <w:suff w:val="tab"/>
      <w:lvlText w:val="•"/>
      <w:rPr>
        <w:color w:val="3370ff"/>
      </w:rPr>
    </w:lvl>
  </w:abstractNum>
  <w:abstractNum w:abstractNumId="3568053">
    <w:lvl>
      <w:numFmt w:val="bullet"/>
      <w:suff w:val="tab"/>
      <w:lvlText w:val="•"/>
      <w:rPr>
        <w:color w:val="3370ff"/>
      </w:rPr>
    </w:lvl>
  </w:abstractNum>
  <w:abstractNum w:abstractNumId="3568054">
    <w:lvl>
      <w:numFmt w:val="bullet"/>
      <w:suff w:val="tab"/>
      <w:lvlText w:val="•"/>
      <w:rPr>
        <w:color w:val="3370ff"/>
      </w:rPr>
    </w:lvl>
  </w:abstractNum>
  <w:abstractNum w:abstractNumId="3568055">
    <w:lvl>
      <w:numFmt w:val="bullet"/>
      <w:suff w:val="tab"/>
      <w:lvlText w:val="•"/>
      <w:rPr>
        <w:color w:val="3370ff"/>
      </w:rPr>
    </w:lvl>
  </w:abstractNum>
  <w:abstractNum w:abstractNumId="3568056">
    <w:lvl>
      <w:numFmt w:val="bullet"/>
      <w:suff w:val="tab"/>
      <w:lvlText w:val="•"/>
      <w:rPr>
        <w:color w:val="3370ff"/>
      </w:rPr>
    </w:lvl>
  </w:abstractNum>
  <w:abstractNum w:abstractNumId="3568057">
    <w:lvl>
      <w:numFmt w:val="bullet"/>
      <w:suff w:val="tab"/>
      <w:lvlText w:val="•"/>
      <w:rPr>
        <w:color w:val="3370ff"/>
      </w:rPr>
    </w:lvl>
  </w:abstractNum>
  <w:abstractNum w:abstractNumId="3568058">
    <w:lvl>
      <w:numFmt w:val="bullet"/>
      <w:suff w:val="tab"/>
      <w:lvlText w:val="•"/>
      <w:rPr>
        <w:color w:val="3370ff"/>
      </w:rPr>
    </w:lvl>
  </w:abstractNum>
  <w:abstractNum w:abstractNumId="3568059">
    <w:lvl>
      <w:numFmt w:val="bullet"/>
      <w:suff w:val="tab"/>
      <w:lvlText w:val="￮"/>
      <w:rPr>
        <w:color w:val="3370ff"/>
      </w:rPr>
    </w:lvl>
  </w:abstractNum>
  <w:abstractNum w:abstractNumId="3568060">
    <w:lvl>
      <w:numFmt w:val="bullet"/>
      <w:suff w:val="tab"/>
      <w:lvlText w:val="￮"/>
      <w:rPr>
        <w:color w:val="3370ff"/>
      </w:rPr>
    </w:lvl>
  </w:abstractNum>
  <w:abstractNum w:abstractNumId="3568061">
    <w:lvl>
      <w:numFmt w:val="bullet"/>
      <w:suff w:val="tab"/>
      <w:lvlText w:val="￮"/>
      <w:rPr>
        <w:color w:val="3370ff"/>
      </w:rPr>
    </w:lvl>
  </w:abstractNum>
  <w:abstractNum w:abstractNumId="3568062">
    <w:lvl>
      <w:numFmt w:val="bullet"/>
      <w:suff w:val="tab"/>
      <w:lvlText w:val="￮"/>
      <w:rPr>
        <w:color w:val="3370ff"/>
      </w:rPr>
    </w:lvl>
  </w:abstractNum>
  <w:abstractNum w:abstractNumId="3568063">
    <w:lvl>
      <w:numFmt w:val="bullet"/>
      <w:suff w:val="tab"/>
      <w:lvlText w:val="￮"/>
      <w:rPr>
        <w:color w:val="3370ff"/>
      </w:rPr>
    </w:lvl>
  </w:abstractNum>
  <w:abstractNum w:abstractNumId="3568064">
    <w:lvl>
      <w:numFmt w:val="bullet"/>
      <w:suff w:val="tab"/>
      <w:lvlText w:val="￮"/>
      <w:rPr>
        <w:color w:val="3370ff"/>
      </w:rPr>
    </w:lvl>
  </w:abstractNum>
  <w:abstractNum w:abstractNumId="3568065">
    <w:lvl>
      <w:numFmt w:val="bullet"/>
      <w:suff w:val="tab"/>
      <w:lvlText w:val="￮"/>
      <w:rPr>
        <w:color w:val="3370ff"/>
      </w:rPr>
    </w:lvl>
  </w:abstractNum>
  <w:abstractNum w:abstractNumId="3568066">
    <w:lvl>
      <w:numFmt w:val="bullet"/>
      <w:suff w:val="tab"/>
      <w:lvlText w:val="￮"/>
      <w:rPr>
        <w:color w:val="3370ff"/>
      </w:rPr>
    </w:lvl>
  </w:abstractNum>
  <w:abstractNum w:abstractNumId="3568067">
    <w:lvl>
      <w:numFmt w:val="bullet"/>
      <w:suff w:val="tab"/>
      <w:lvlText w:val="￮"/>
      <w:rPr>
        <w:color w:val="3370ff"/>
      </w:rPr>
    </w:lvl>
  </w:abstractNum>
  <w:abstractNum w:abstractNumId="3568068">
    <w:lvl>
      <w:numFmt w:val="bullet"/>
      <w:suff w:val="tab"/>
      <w:lvlText w:val="￮"/>
      <w:rPr>
        <w:color w:val="3370ff"/>
      </w:rPr>
    </w:lvl>
  </w:abstractNum>
  <w:abstractNum w:abstractNumId="3568069">
    <w:lvl>
      <w:numFmt w:val="bullet"/>
      <w:suff w:val="tab"/>
      <w:lvlText w:val="￮"/>
      <w:rPr>
        <w:color w:val="3370ff"/>
      </w:rPr>
    </w:lvl>
  </w:abstractNum>
  <w:abstractNum w:abstractNumId="3568070">
    <w:lvl>
      <w:numFmt w:val="bullet"/>
      <w:suff w:val="tab"/>
      <w:lvlText w:val="￮"/>
      <w:rPr>
        <w:color w:val="3370ff"/>
      </w:rPr>
    </w:lvl>
  </w:abstractNum>
  <w:abstractNum w:abstractNumId="3568071">
    <w:lvl>
      <w:numFmt w:val="bullet"/>
      <w:suff w:val="tab"/>
      <w:lvlText w:val="￮"/>
      <w:rPr>
        <w:color w:val="3370ff"/>
      </w:rPr>
    </w:lvl>
  </w:abstractNum>
  <w:abstractNum w:abstractNumId="3568072">
    <w:lvl>
      <w:numFmt w:val="bullet"/>
      <w:suff w:val="tab"/>
      <w:lvlText w:val="￮"/>
      <w:rPr>
        <w:color w:val="3370ff"/>
      </w:rPr>
    </w:lvl>
  </w:abstractNum>
  <w:abstractNum w:abstractNumId="3568073">
    <w:lvl>
      <w:numFmt w:val="bullet"/>
      <w:suff w:val="tab"/>
      <w:lvlText w:val="￮"/>
      <w:rPr>
        <w:color w:val="3370ff"/>
      </w:rPr>
    </w:lvl>
  </w:abstractNum>
  <w:abstractNum w:abstractNumId="3568074">
    <w:lvl>
      <w:numFmt w:val="bullet"/>
      <w:suff w:val="tab"/>
      <w:lvlText w:val="￮"/>
      <w:rPr>
        <w:color w:val="3370ff"/>
      </w:rPr>
    </w:lvl>
  </w:abstractNum>
  <w:abstractNum w:abstractNumId="3568075">
    <w:lvl>
      <w:numFmt w:val="bullet"/>
      <w:suff w:val="tab"/>
      <w:lvlText w:val="￮"/>
      <w:rPr>
        <w:color w:val="3370ff"/>
      </w:rPr>
    </w:lvl>
  </w:abstractNum>
  <w:abstractNum w:abstractNumId="3568076">
    <w:lvl>
      <w:numFmt w:val="bullet"/>
      <w:suff w:val="tab"/>
      <w:lvlText w:val="￮"/>
      <w:rPr>
        <w:color w:val="3370ff"/>
      </w:rPr>
    </w:lvl>
  </w:abstractNum>
  <w:abstractNum w:abstractNumId="3568077">
    <w:lvl>
      <w:numFmt w:val="bullet"/>
      <w:suff w:val="tab"/>
      <w:lvlText w:val="￮"/>
      <w:rPr>
        <w:color w:val="3370ff"/>
      </w:rPr>
    </w:lvl>
  </w:abstractNum>
  <w:abstractNum w:abstractNumId="3568078">
    <w:lvl>
      <w:numFmt w:val="bullet"/>
      <w:suff w:val="tab"/>
      <w:lvlText w:val="￮"/>
      <w:rPr>
        <w:color w:val="3370ff"/>
      </w:rPr>
    </w:lvl>
  </w:abstractNum>
  <w:abstractNum w:abstractNumId="3568079">
    <w:lvl>
      <w:numFmt w:val="bullet"/>
      <w:suff w:val="tab"/>
      <w:lvlText w:val="￮"/>
      <w:rPr>
        <w:color w:val="3370ff"/>
      </w:rPr>
    </w:lvl>
  </w:abstractNum>
  <w:abstractNum w:abstractNumId="3568080">
    <w:lvl>
      <w:numFmt w:val="bullet"/>
      <w:suff w:val="tab"/>
      <w:lvlText w:val="•"/>
      <w:rPr>
        <w:color w:val="3370ff"/>
      </w:rPr>
    </w:lvl>
  </w:abstractNum>
  <w:abstractNum w:abstractNumId="3568081">
    <w:lvl>
      <w:numFmt w:val="bullet"/>
      <w:suff w:val="tab"/>
      <w:lvlText w:val="•"/>
      <w:rPr>
        <w:color w:val="3370ff"/>
      </w:rPr>
    </w:lvl>
  </w:abstractNum>
  <w:abstractNum w:abstractNumId="3568082">
    <w:lvl>
      <w:numFmt w:val="bullet"/>
      <w:suff w:val="tab"/>
      <w:lvlText w:val="•"/>
      <w:rPr>
        <w:color w:val="3370ff"/>
      </w:rPr>
    </w:lvl>
  </w:abstractNum>
  <w:abstractNum w:abstractNumId="3568083">
    <w:lvl>
      <w:numFmt w:val="bullet"/>
      <w:suff w:val="tab"/>
      <w:lvlText w:val="￮"/>
      <w:rPr>
        <w:color w:val="3370ff"/>
      </w:rPr>
    </w:lvl>
  </w:abstractNum>
  <w:abstractNum w:abstractNumId="3568084">
    <w:lvl>
      <w:numFmt w:val="bullet"/>
      <w:suff w:val="tab"/>
      <w:lvlText w:val="￮"/>
      <w:rPr>
        <w:color w:val="3370ff"/>
      </w:rPr>
    </w:lvl>
  </w:abstractNum>
  <w:abstractNum w:abstractNumId="3568085">
    <w:lvl>
      <w:numFmt w:val="bullet"/>
      <w:suff w:val="tab"/>
      <w:lvlText w:val="￮"/>
      <w:rPr>
        <w:color w:val="3370ff"/>
      </w:rPr>
    </w:lvl>
  </w:abstractNum>
  <w:abstractNum w:abstractNumId="3568086">
    <w:lvl>
      <w:numFmt w:val="bullet"/>
      <w:suff w:val="tab"/>
      <w:lvlText w:val="￮"/>
      <w:rPr>
        <w:color w:val="3370ff"/>
      </w:rPr>
    </w:lvl>
  </w:abstractNum>
  <w:abstractNum w:abstractNumId="3568087">
    <w:lvl>
      <w:numFmt w:val="bullet"/>
      <w:suff w:val="tab"/>
      <w:lvlText w:val="￮"/>
      <w:rPr>
        <w:color w:val="3370ff"/>
      </w:rPr>
    </w:lvl>
  </w:abstractNum>
  <w:abstractNum w:abstractNumId="3568088">
    <w:lvl>
      <w:numFmt w:val="bullet"/>
      <w:suff w:val="tab"/>
      <w:lvlText w:val="￮"/>
      <w:rPr>
        <w:color w:val="3370ff"/>
      </w:rPr>
    </w:lvl>
  </w:abstractNum>
  <w:abstractNum w:abstractNumId="3568089">
    <w:lvl>
      <w:numFmt w:val="bullet"/>
      <w:suff w:val="tab"/>
      <w:lvlText w:val="￮"/>
      <w:rPr>
        <w:color w:val="3370ff"/>
      </w:rPr>
    </w:lvl>
  </w:abstractNum>
  <w:abstractNum w:abstractNumId="3568090">
    <w:lvl>
      <w:numFmt w:val="bullet"/>
      <w:suff w:val="tab"/>
      <w:lvlText w:val="￮"/>
      <w:rPr>
        <w:color w:val="3370ff"/>
      </w:rPr>
    </w:lvl>
  </w:abstractNum>
  <w:abstractNum w:abstractNumId="3568091">
    <w:lvl>
      <w:numFmt w:val="bullet"/>
      <w:suff w:val="tab"/>
      <w:lvlText w:val="￮"/>
      <w:rPr>
        <w:color w:val="3370ff"/>
      </w:rPr>
    </w:lvl>
  </w:abstractNum>
  <w:abstractNum w:abstractNumId="3568092">
    <w:lvl>
      <w:numFmt w:val="bullet"/>
      <w:suff w:val="tab"/>
      <w:lvlText w:val="•"/>
      <w:rPr>
        <w:color w:val="3370ff"/>
      </w:rPr>
    </w:lvl>
  </w:abstractNum>
  <w:abstractNum w:abstractNumId="3568093">
    <w:lvl>
      <w:numFmt w:val="bullet"/>
      <w:suff w:val="tab"/>
      <w:lvlText w:val="•"/>
      <w:rPr>
        <w:color w:val="3370ff"/>
      </w:rPr>
    </w:lvl>
  </w:abstractNum>
  <w:abstractNum w:abstractNumId="3568094">
    <w:lvl>
      <w:numFmt w:val="bullet"/>
      <w:suff w:val="tab"/>
      <w:lvlText w:val="•"/>
      <w:rPr>
        <w:color w:val="3370ff"/>
      </w:rPr>
    </w:lvl>
  </w:abstractNum>
  <w:abstractNum w:abstractNumId="3568095">
    <w:lvl>
      <w:numFmt w:val="bullet"/>
      <w:suff w:val="tab"/>
      <w:lvlText w:val="•"/>
      <w:rPr>
        <w:color w:val="3370ff"/>
      </w:rPr>
    </w:lvl>
  </w:abstractNum>
  <w:abstractNum w:abstractNumId="3568096">
    <w:lvl>
      <w:numFmt w:val="bullet"/>
      <w:suff w:val="tab"/>
      <w:lvlText w:val="•"/>
      <w:rPr>
        <w:color w:val="3370ff"/>
      </w:rPr>
    </w:lvl>
  </w:abstractNum>
  <w:abstractNum w:abstractNumId="3568097">
    <w:lvl>
      <w:numFmt w:val="bullet"/>
      <w:suff w:val="tab"/>
      <w:lvlText w:val="•"/>
      <w:rPr>
        <w:color w:val="3370ff"/>
      </w:rPr>
    </w:lvl>
  </w:abstractNum>
  <w:abstractNum w:abstractNumId="3568098">
    <w:lvl>
      <w:numFmt w:val="bullet"/>
      <w:suff w:val="tab"/>
      <w:lvlText w:val="•"/>
      <w:rPr>
        <w:color w:val="3370ff"/>
      </w:rPr>
    </w:lvl>
  </w:abstractNum>
  <w:abstractNum w:abstractNumId="3568099">
    <w:lvl>
      <w:numFmt w:val="bullet"/>
      <w:suff w:val="tab"/>
      <w:lvlText w:val="•"/>
      <w:rPr>
        <w:color w:val="3370ff"/>
      </w:rPr>
    </w:lvl>
  </w:abstractNum>
  <w:abstractNum w:abstractNumId="3568100">
    <w:lvl>
      <w:numFmt w:val="bullet"/>
      <w:suff w:val="tab"/>
      <w:lvlText w:val="•"/>
      <w:rPr>
        <w:color w:val="3370ff"/>
      </w:rPr>
    </w:lvl>
  </w:abstractNum>
  <w:abstractNum w:abstractNumId="3568101">
    <w:lvl>
      <w:numFmt w:val="bullet"/>
      <w:suff w:val="tab"/>
      <w:lvlText w:val="•"/>
      <w:rPr>
        <w:color w:val="3370ff"/>
      </w:rPr>
    </w:lvl>
  </w:abstractNum>
  <w:abstractNum w:abstractNumId="3568102">
    <w:lvl>
      <w:numFmt w:val="bullet"/>
      <w:suff w:val="tab"/>
      <w:lvlText w:val="•"/>
      <w:rPr>
        <w:color w:val="3370ff"/>
      </w:rPr>
    </w:lvl>
  </w:abstractNum>
  <w:abstractNum w:abstractNumId="3568103">
    <w:lvl>
      <w:numFmt w:val="bullet"/>
      <w:suff w:val="tab"/>
      <w:lvlText w:val="•"/>
      <w:rPr>
        <w:color w:val="3370ff"/>
      </w:rPr>
    </w:lvl>
  </w:abstractNum>
  <w:abstractNum w:abstractNumId="3568104">
    <w:lvl>
      <w:numFmt w:val="bullet"/>
      <w:suff w:val="tab"/>
      <w:lvlText w:val="•"/>
      <w:rPr>
        <w:color w:val="3370ff"/>
      </w:rPr>
    </w:lvl>
  </w:abstractNum>
  <w:abstractNum w:abstractNumId="3568105">
    <w:lvl>
      <w:numFmt w:val="bullet"/>
      <w:suff w:val="tab"/>
      <w:lvlText w:val="•"/>
      <w:rPr>
        <w:color w:val="3370ff"/>
      </w:rPr>
    </w:lvl>
  </w:abstractNum>
  <w:abstractNum w:abstractNumId="3568106">
    <w:lvl>
      <w:numFmt w:val="bullet"/>
      <w:suff w:val="tab"/>
      <w:lvlText w:val="•"/>
      <w:rPr>
        <w:color w:val="3370ff"/>
      </w:rPr>
    </w:lvl>
  </w:abstractNum>
  <w:abstractNum w:abstractNumId="3568107">
    <w:lvl>
      <w:numFmt w:val="bullet"/>
      <w:suff w:val="tab"/>
      <w:lvlText w:val="•"/>
      <w:rPr>
        <w:color w:val="3370ff"/>
      </w:rPr>
    </w:lvl>
  </w:abstractNum>
  <w:abstractNum w:abstractNumId="3568108">
    <w:lvl>
      <w:start w:val="1"/>
      <w:numFmt w:val="decimal"/>
      <w:suff w:val="tab"/>
      <w:lvlText w:val="%1."/>
      <w:rPr>
        <w:color w:val="3370ff"/>
      </w:rPr>
    </w:lvl>
  </w:abstractNum>
  <w:abstractNum w:abstractNumId="3568109">
    <w:lvl>
      <w:start w:val="2"/>
      <w:numFmt w:val="decimal"/>
      <w:suff w:val="tab"/>
      <w:lvlText w:val="%1."/>
      <w:rPr>
        <w:color w:val="3370ff"/>
      </w:rPr>
    </w:lvl>
  </w:abstractNum>
  <w:abstractNum w:abstractNumId="3568110">
    <w:lvl>
      <w:start w:val="3"/>
      <w:numFmt w:val="decimal"/>
      <w:suff w:val="tab"/>
      <w:lvlText w:val="%1."/>
      <w:rPr>
        <w:color w:val="3370ff"/>
      </w:rPr>
    </w:lvl>
  </w:abstractNum>
  <w:abstractNum w:abstractNumId="3568111">
    <w:lvl>
      <w:numFmt w:val="bullet"/>
      <w:suff w:val="tab"/>
      <w:lvlText w:val="•"/>
      <w:rPr>
        <w:color w:val="3370ff"/>
      </w:rPr>
    </w:lvl>
  </w:abstractNum>
  <w:abstractNum w:abstractNumId="3568112">
    <w:lvl>
      <w:numFmt w:val="bullet"/>
      <w:suff w:val="tab"/>
      <w:lvlText w:val="•"/>
      <w:rPr>
        <w:color w:val="3370ff"/>
      </w:rPr>
    </w:lvl>
  </w:abstractNum>
  <w:abstractNum w:abstractNumId="3568113">
    <w:lvl>
      <w:numFmt w:val="bullet"/>
      <w:suff w:val="tab"/>
      <w:lvlText w:val="•"/>
      <w:rPr>
        <w:color w:val="3370ff"/>
      </w:rPr>
    </w:lvl>
  </w:abstractNum>
  <w:abstractNum w:abstractNumId="3568114">
    <w:lvl>
      <w:numFmt w:val="bullet"/>
      <w:suff w:val="tab"/>
      <w:lvlText w:val="•"/>
      <w:rPr>
        <w:color w:val="3370ff"/>
      </w:rPr>
    </w:lvl>
  </w:abstractNum>
  <w:abstractNum w:abstractNumId="3568115">
    <w:lvl>
      <w:numFmt w:val="bullet"/>
      <w:suff w:val="tab"/>
      <w:lvlText w:val="•"/>
      <w:rPr>
        <w:color w:val="3370ff"/>
      </w:rPr>
    </w:lvl>
  </w:abstractNum>
  <w:abstractNum w:abstractNumId="3568116">
    <w:lvl>
      <w:numFmt w:val="bullet"/>
      <w:suff w:val="tab"/>
      <w:lvlText w:val="•"/>
      <w:rPr>
        <w:color w:val="3370ff"/>
      </w:rPr>
    </w:lvl>
  </w:abstractNum>
  <w:abstractNum w:abstractNumId="3568117">
    <w:lvl>
      <w:numFmt w:val="bullet"/>
      <w:suff w:val="tab"/>
      <w:lvlText w:val="•"/>
      <w:rPr>
        <w:color w:val="3370ff"/>
      </w:rPr>
    </w:lvl>
  </w:abstractNum>
  <w:abstractNum w:abstractNumId="3568118">
    <w:lvl>
      <w:numFmt w:val="bullet"/>
      <w:suff w:val="tab"/>
      <w:lvlText w:val="•"/>
      <w:rPr>
        <w:color w:val="3370ff"/>
      </w:rPr>
    </w:lvl>
  </w:abstractNum>
  <w:abstractNum w:abstractNumId="3568119">
    <w:lvl>
      <w:numFmt w:val="bullet"/>
      <w:suff w:val="tab"/>
      <w:lvlText w:val="•"/>
      <w:rPr>
        <w:color w:val="3370ff"/>
      </w:rPr>
    </w:lvl>
  </w:abstractNum>
  <w:abstractNum w:abstractNumId="3568120">
    <w:lvl>
      <w:numFmt w:val="bullet"/>
      <w:suff w:val="tab"/>
      <w:lvlText w:val="•"/>
      <w:rPr>
        <w:color w:val="3370ff"/>
      </w:rPr>
    </w:lvl>
  </w:abstractNum>
  <w:abstractNum w:abstractNumId="3568121">
    <w:lvl>
      <w:numFmt w:val="bullet"/>
      <w:suff w:val="tab"/>
      <w:lvlText w:val="•"/>
      <w:rPr>
        <w:color w:val="3370ff"/>
      </w:rPr>
    </w:lvl>
  </w:abstractNum>
  <w:abstractNum w:abstractNumId="3568122">
    <w:lvl>
      <w:numFmt w:val="bullet"/>
      <w:suff w:val="tab"/>
      <w:lvlText w:val="•"/>
      <w:rPr>
        <w:color w:val="3370ff"/>
      </w:rPr>
    </w:lvl>
  </w:abstractNum>
  <w:abstractNum w:abstractNumId="3568123">
    <w:lvl>
      <w:numFmt w:val="bullet"/>
      <w:suff w:val="tab"/>
      <w:lvlText w:val="•"/>
      <w:rPr>
        <w:color w:val="3370ff"/>
      </w:rPr>
    </w:lvl>
  </w:abstractNum>
  <w:abstractNum w:abstractNumId="3568124">
    <w:lvl>
      <w:numFmt w:val="bullet"/>
      <w:suff w:val="tab"/>
      <w:lvlText w:val="•"/>
      <w:rPr>
        <w:color w:val="3370ff"/>
      </w:rPr>
    </w:lvl>
  </w:abstractNum>
  <w:abstractNum w:abstractNumId="3568125">
    <w:lvl>
      <w:numFmt w:val="bullet"/>
      <w:suff w:val="tab"/>
      <w:lvlText w:val="•"/>
      <w:rPr>
        <w:color w:val="3370ff"/>
      </w:rPr>
    </w:lvl>
  </w:abstractNum>
  <w:abstractNum w:abstractNumId="3568126">
    <w:lvl>
      <w:numFmt w:val="bullet"/>
      <w:suff w:val="tab"/>
      <w:lvlText w:val="•"/>
      <w:rPr>
        <w:color w:val="3370ff"/>
      </w:rPr>
    </w:lvl>
  </w:abstractNum>
  <w:abstractNum w:abstractNumId="3568127">
    <w:lvl>
      <w:numFmt w:val="bullet"/>
      <w:suff w:val="tab"/>
      <w:lvlText w:val="•"/>
      <w:rPr>
        <w:color w:val="3370ff"/>
      </w:rPr>
    </w:lvl>
  </w:abstractNum>
  <w:abstractNum w:abstractNumId="3568128">
    <w:lvl>
      <w:numFmt w:val="bullet"/>
      <w:suff w:val="tab"/>
      <w:lvlText w:val="•"/>
      <w:rPr>
        <w:color w:val="3370ff"/>
      </w:rPr>
    </w:lvl>
  </w:abstractNum>
  <w:abstractNum w:abstractNumId="3568129">
    <w:lvl>
      <w:numFmt w:val="bullet"/>
      <w:suff w:val="tab"/>
      <w:lvlText w:val="•"/>
      <w:rPr>
        <w:color w:val="3370ff"/>
      </w:rPr>
    </w:lvl>
  </w:abstractNum>
  <w:abstractNum w:abstractNumId="3568130">
    <w:lvl>
      <w:numFmt w:val="bullet"/>
      <w:suff w:val="tab"/>
      <w:lvlText w:val="•"/>
      <w:rPr>
        <w:color w:val="3370ff"/>
      </w:rPr>
    </w:lvl>
  </w:abstractNum>
  <w:abstractNum w:abstractNumId="3568131">
    <w:lvl>
      <w:numFmt w:val="bullet"/>
      <w:suff w:val="tab"/>
      <w:lvlText w:val="•"/>
      <w:rPr>
        <w:color w:val="3370ff"/>
      </w:rPr>
    </w:lvl>
  </w:abstractNum>
  <w:abstractNum w:abstractNumId="3568132">
    <w:lvl>
      <w:numFmt w:val="bullet"/>
      <w:suff w:val="tab"/>
      <w:lvlText w:val="•"/>
      <w:rPr>
        <w:color w:val="3370ff"/>
      </w:rPr>
    </w:lvl>
  </w:abstractNum>
  <w:abstractNum w:abstractNumId="3568133">
    <w:lvl>
      <w:numFmt w:val="bullet"/>
      <w:suff w:val="tab"/>
      <w:lvlText w:val="•"/>
      <w:rPr>
        <w:color w:val="3370ff"/>
      </w:rPr>
    </w:lvl>
  </w:abstractNum>
  <w:abstractNum w:abstractNumId="3568134">
    <w:lvl>
      <w:numFmt w:val="bullet"/>
      <w:suff w:val="tab"/>
      <w:lvlText w:val="•"/>
      <w:rPr>
        <w:color w:val="3370ff"/>
      </w:rPr>
    </w:lvl>
  </w:abstractNum>
  <w:abstractNum w:abstractNumId="3568135">
    <w:lvl>
      <w:numFmt w:val="bullet"/>
      <w:suff w:val="tab"/>
      <w:lvlText w:val="•"/>
      <w:rPr>
        <w:color w:val="3370ff"/>
      </w:rPr>
    </w:lvl>
  </w:abstractNum>
  <w:abstractNum w:abstractNumId="3568136">
    <w:lvl>
      <w:numFmt w:val="bullet"/>
      <w:suff w:val="tab"/>
      <w:lvlText w:val="•"/>
      <w:rPr>
        <w:color w:val="3370ff"/>
      </w:rPr>
    </w:lvl>
  </w:abstractNum>
  <w:abstractNum w:abstractNumId="3568137">
    <w:lvl>
      <w:numFmt w:val="bullet"/>
      <w:suff w:val="tab"/>
      <w:lvlText w:val="•"/>
      <w:rPr>
        <w:color w:val="3370ff"/>
      </w:rPr>
    </w:lvl>
  </w:abstractNum>
  <w:abstractNum w:abstractNumId="3568138">
    <w:lvl>
      <w:numFmt w:val="bullet"/>
      <w:suff w:val="tab"/>
      <w:lvlText w:val="•"/>
      <w:rPr>
        <w:color w:val="3370ff"/>
      </w:rPr>
    </w:lvl>
  </w:abstractNum>
  <w:abstractNum w:abstractNumId="3568139">
    <w:lvl>
      <w:numFmt w:val="bullet"/>
      <w:suff w:val="tab"/>
      <w:lvlText w:val="•"/>
      <w:rPr>
        <w:color w:val="3370ff"/>
      </w:rPr>
    </w:lvl>
  </w:abstractNum>
  <w:abstractNum w:abstractNumId="3568140">
    <w:lvl>
      <w:numFmt w:val="bullet"/>
      <w:suff w:val="tab"/>
      <w:lvlText w:val="•"/>
      <w:rPr>
        <w:color w:val="3370ff"/>
      </w:rPr>
    </w:lvl>
  </w:abstractNum>
  <w:abstractNum w:abstractNumId="3568141">
    <w:lvl>
      <w:numFmt w:val="bullet"/>
      <w:suff w:val="tab"/>
      <w:lvlText w:val="•"/>
      <w:rPr>
        <w:color w:val="3370ff"/>
      </w:rPr>
    </w:lvl>
  </w:abstractNum>
  <w:abstractNum w:abstractNumId="3568142">
    <w:lvl>
      <w:numFmt w:val="bullet"/>
      <w:suff w:val="tab"/>
      <w:lvlText w:val="•"/>
      <w:rPr>
        <w:color w:val="3370ff"/>
      </w:rPr>
    </w:lvl>
  </w:abstractNum>
  <w:abstractNum w:abstractNumId="3568143">
    <w:lvl>
      <w:numFmt w:val="bullet"/>
      <w:suff w:val="tab"/>
      <w:lvlText w:val="•"/>
      <w:rPr>
        <w:color w:val="3370ff"/>
      </w:rPr>
    </w:lvl>
  </w:abstractNum>
  <w:abstractNum w:abstractNumId="3568144">
    <w:lvl>
      <w:numFmt w:val="bullet"/>
      <w:suff w:val="tab"/>
      <w:lvlText w:val="•"/>
      <w:rPr>
        <w:color w:val="3370ff"/>
      </w:rPr>
    </w:lvl>
  </w:abstractNum>
  <w:abstractNum w:abstractNumId="3568145">
    <w:lvl>
      <w:numFmt w:val="bullet"/>
      <w:suff w:val="tab"/>
      <w:lvlText w:val="•"/>
      <w:rPr>
        <w:color w:val="3370ff"/>
      </w:rPr>
    </w:lvl>
  </w:abstractNum>
  <w:abstractNum w:abstractNumId="3568146">
    <w:lvl>
      <w:numFmt w:val="bullet"/>
      <w:suff w:val="tab"/>
      <w:lvlText w:val="•"/>
      <w:rPr>
        <w:color w:val="3370ff"/>
      </w:rPr>
    </w:lvl>
  </w:abstractNum>
  <w:abstractNum w:abstractNumId="3568147">
    <w:lvl>
      <w:numFmt w:val="bullet"/>
      <w:suff w:val="tab"/>
      <w:lvlText w:val="•"/>
      <w:rPr>
        <w:color w:val="3370ff"/>
      </w:rPr>
    </w:lvl>
  </w:abstractNum>
  <w:abstractNum w:abstractNumId="3568148">
    <w:lvl>
      <w:numFmt w:val="bullet"/>
      <w:suff w:val="tab"/>
      <w:lvlText w:val="•"/>
      <w:rPr>
        <w:color w:val="3370ff"/>
      </w:rPr>
    </w:lvl>
  </w:abstractNum>
  <w:abstractNum w:abstractNumId="3568149">
    <w:lvl>
      <w:numFmt w:val="bullet"/>
      <w:suff w:val="tab"/>
      <w:lvlText w:val="•"/>
      <w:rPr>
        <w:color w:val="3370ff"/>
      </w:rPr>
    </w:lvl>
  </w:abstractNum>
  <w:abstractNum w:abstractNumId="3568150">
    <w:lvl>
      <w:numFmt w:val="bullet"/>
      <w:suff w:val="tab"/>
      <w:lvlText w:val="•"/>
      <w:rPr>
        <w:color w:val="3370ff"/>
      </w:rPr>
    </w:lvl>
  </w:abstractNum>
  <w:abstractNum w:abstractNumId="3568151">
    <w:lvl>
      <w:numFmt w:val="bullet"/>
      <w:suff w:val="tab"/>
      <w:lvlText w:val="•"/>
      <w:rPr>
        <w:color w:val="3370ff"/>
      </w:rPr>
    </w:lvl>
  </w:abstractNum>
  <w:abstractNum w:abstractNumId="3568152">
    <w:lvl>
      <w:numFmt w:val="bullet"/>
      <w:suff w:val="tab"/>
      <w:lvlText w:val="•"/>
      <w:rPr>
        <w:color w:val="3370ff"/>
      </w:rPr>
    </w:lvl>
  </w:abstractNum>
  <w:abstractNum w:abstractNumId="3568153">
    <w:lvl>
      <w:numFmt w:val="bullet"/>
      <w:suff w:val="tab"/>
      <w:lvlText w:val="•"/>
      <w:rPr>
        <w:color w:val="3370ff"/>
      </w:rPr>
    </w:lvl>
  </w:abstractNum>
  <w:abstractNum w:abstractNumId="3568154">
    <w:lvl>
      <w:numFmt w:val="bullet"/>
      <w:suff w:val="tab"/>
      <w:lvlText w:val="•"/>
      <w:rPr>
        <w:color w:val="3370ff"/>
      </w:rPr>
    </w:lvl>
  </w:abstractNum>
  <w:abstractNum w:abstractNumId="3568155">
    <w:lvl>
      <w:numFmt w:val="bullet"/>
      <w:suff w:val="tab"/>
      <w:lvlText w:val="•"/>
      <w:rPr>
        <w:color w:val="3370ff"/>
      </w:rPr>
    </w:lvl>
  </w:abstractNum>
  <w:abstractNum w:abstractNumId="3568156">
    <w:lvl>
      <w:numFmt w:val="bullet"/>
      <w:suff w:val="tab"/>
      <w:lvlText w:val="•"/>
      <w:rPr>
        <w:color w:val="3370ff"/>
      </w:rPr>
    </w:lvl>
  </w:abstractNum>
  <w:abstractNum w:abstractNumId="3568157">
    <w:lvl>
      <w:numFmt w:val="bullet"/>
      <w:suff w:val="tab"/>
      <w:lvlText w:val="•"/>
      <w:rPr>
        <w:color w:val="3370ff"/>
      </w:rPr>
    </w:lvl>
  </w:abstractNum>
  <w:abstractNum w:abstractNumId="3568158">
    <w:lvl>
      <w:numFmt w:val="bullet"/>
      <w:suff w:val="tab"/>
      <w:lvlText w:val="•"/>
      <w:rPr>
        <w:color w:val="3370ff"/>
      </w:rPr>
    </w:lvl>
  </w:abstractNum>
  <w:abstractNum w:abstractNumId="3568159">
    <w:lvl>
      <w:numFmt w:val="bullet"/>
      <w:suff w:val="tab"/>
      <w:lvlText w:val="•"/>
      <w:rPr>
        <w:color w:val="3370ff"/>
      </w:rPr>
    </w:lvl>
  </w:abstractNum>
  <w:abstractNum w:abstractNumId="3568160">
    <w:lvl>
      <w:numFmt w:val="bullet"/>
      <w:suff w:val="tab"/>
      <w:lvlText w:val="•"/>
      <w:rPr>
        <w:color w:val="3370ff"/>
      </w:rPr>
    </w:lvl>
  </w:abstractNum>
  <w:abstractNum w:abstractNumId="3568161">
    <w:lvl>
      <w:numFmt w:val="bullet"/>
      <w:suff w:val="tab"/>
      <w:lvlText w:val="•"/>
      <w:rPr>
        <w:color w:val="3370ff"/>
      </w:rPr>
    </w:lvl>
  </w:abstractNum>
  <w:abstractNum w:abstractNumId="3568162">
    <w:lvl>
      <w:numFmt w:val="bullet"/>
      <w:suff w:val="tab"/>
      <w:lvlText w:val="•"/>
      <w:rPr>
        <w:color w:val="3370ff"/>
      </w:rPr>
    </w:lvl>
  </w:abstractNum>
  <w:abstractNum w:abstractNumId="3568163">
    <w:lvl>
      <w:numFmt w:val="bullet"/>
      <w:suff w:val="tab"/>
      <w:lvlText w:val="•"/>
      <w:rPr>
        <w:color w:val="3370ff"/>
      </w:rPr>
    </w:lvl>
  </w:abstractNum>
  <w:abstractNum w:abstractNumId="3568164">
    <w:lvl>
      <w:numFmt w:val="bullet"/>
      <w:suff w:val="tab"/>
      <w:lvlText w:val="•"/>
      <w:rPr>
        <w:color w:val="3370ff"/>
      </w:rPr>
    </w:lvl>
  </w:abstractNum>
  <w:abstractNum w:abstractNumId="3568165">
    <w:lvl>
      <w:numFmt w:val="bullet"/>
      <w:suff w:val="tab"/>
      <w:lvlText w:val="•"/>
      <w:rPr>
        <w:color w:val="3370ff"/>
      </w:rPr>
    </w:lvl>
  </w:abstractNum>
  <w:abstractNum w:abstractNumId="3568166">
    <w:lvl>
      <w:numFmt w:val="bullet"/>
      <w:suff w:val="tab"/>
      <w:lvlText w:val="•"/>
      <w:rPr>
        <w:color w:val="3370ff"/>
      </w:rPr>
    </w:lvl>
  </w:abstractNum>
  <w:abstractNum w:abstractNumId="3568167">
    <w:lvl>
      <w:numFmt w:val="bullet"/>
      <w:suff w:val="tab"/>
      <w:lvlText w:val="•"/>
      <w:rPr>
        <w:color w:val="3370ff"/>
      </w:rPr>
    </w:lvl>
  </w:abstractNum>
  <w:abstractNum w:abstractNumId="3568168">
    <w:lvl>
      <w:numFmt w:val="bullet"/>
      <w:suff w:val="tab"/>
      <w:lvlText w:val="•"/>
      <w:rPr>
        <w:color w:val="3370ff"/>
      </w:rPr>
    </w:lvl>
  </w:abstractNum>
  <w:abstractNum w:abstractNumId="3568169">
    <w:lvl>
      <w:numFmt w:val="bullet"/>
      <w:suff w:val="tab"/>
      <w:lvlText w:val="•"/>
      <w:rPr>
        <w:color w:val="3370ff"/>
      </w:rPr>
    </w:lvl>
  </w:abstractNum>
  <w:abstractNum w:abstractNumId="3568170">
    <w:lvl>
      <w:numFmt w:val="bullet"/>
      <w:suff w:val="tab"/>
      <w:lvlText w:val="•"/>
      <w:rPr>
        <w:color w:val="3370ff"/>
      </w:rPr>
    </w:lvl>
  </w:abstractNum>
  <w:abstractNum w:abstractNumId="3568171">
    <w:lvl>
      <w:numFmt w:val="bullet"/>
      <w:suff w:val="tab"/>
      <w:lvlText w:val="•"/>
      <w:rPr>
        <w:color w:val="3370ff"/>
      </w:rPr>
    </w:lvl>
  </w:abstractNum>
  <w:abstractNum w:abstractNumId="3568172">
    <w:lvl>
      <w:numFmt w:val="bullet"/>
      <w:suff w:val="tab"/>
      <w:lvlText w:val="•"/>
      <w:rPr>
        <w:color w:val="3370ff"/>
      </w:rPr>
    </w:lvl>
  </w:abstractNum>
  <w:abstractNum w:abstractNumId="3568173">
    <w:lvl>
      <w:numFmt w:val="bullet"/>
      <w:suff w:val="tab"/>
      <w:lvlText w:val="•"/>
      <w:rPr>
        <w:color w:val="3370ff"/>
      </w:rPr>
    </w:lvl>
  </w:abstractNum>
  <w:abstractNum w:abstractNumId="3568174">
    <w:lvl>
      <w:numFmt w:val="bullet"/>
      <w:suff w:val="tab"/>
      <w:lvlText w:val="•"/>
      <w:rPr>
        <w:color w:val="3370ff"/>
      </w:rPr>
    </w:lvl>
  </w:abstractNum>
  <w:abstractNum w:abstractNumId="3568175">
    <w:lvl>
      <w:numFmt w:val="bullet"/>
      <w:suff w:val="tab"/>
      <w:lvlText w:val="•"/>
      <w:rPr>
        <w:color w:val="3370ff"/>
      </w:rPr>
    </w:lvl>
  </w:abstractNum>
  <w:abstractNum w:abstractNumId="3568176">
    <w:lvl>
      <w:numFmt w:val="bullet"/>
      <w:suff w:val="tab"/>
      <w:lvlText w:val="•"/>
      <w:rPr>
        <w:color w:val="3370ff"/>
      </w:rPr>
    </w:lvl>
  </w:abstractNum>
  <w:abstractNum w:abstractNumId="3568177">
    <w:lvl>
      <w:numFmt w:val="bullet"/>
      <w:suff w:val="tab"/>
      <w:lvlText w:val="•"/>
      <w:rPr>
        <w:color w:val="3370ff"/>
      </w:rPr>
    </w:lvl>
  </w:abstractNum>
  <w:abstractNum w:abstractNumId="3568178">
    <w:lvl>
      <w:numFmt w:val="bullet"/>
      <w:suff w:val="tab"/>
      <w:lvlText w:val="•"/>
      <w:rPr>
        <w:color w:val="3370ff"/>
      </w:rPr>
    </w:lvl>
  </w:abstractNum>
  <w:abstractNum w:abstractNumId="3568179">
    <w:lvl>
      <w:numFmt w:val="bullet"/>
      <w:suff w:val="tab"/>
      <w:lvlText w:val="•"/>
      <w:rPr>
        <w:color w:val="3370ff"/>
      </w:rPr>
    </w:lvl>
  </w:abstractNum>
  <w:abstractNum w:abstractNumId="3568180">
    <w:lvl>
      <w:numFmt w:val="bullet"/>
      <w:suff w:val="tab"/>
      <w:lvlText w:val="•"/>
      <w:rPr>
        <w:color w:val="3370ff"/>
      </w:rPr>
    </w:lvl>
  </w:abstractNum>
  <w:abstractNum w:abstractNumId="3568181">
    <w:lvl>
      <w:numFmt w:val="bullet"/>
      <w:suff w:val="tab"/>
      <w:lvlText w:val="•"/>
      <w:rPr>
        <w:color w:val="3370ff"/>
      </w:rPr>
    </w:lvl>
  </w:abstractNum>
  <w:abstractNum w:abstractNumId="3568182">
    <w:lvl>
      <w:numFmt w:val="bullet"/>
      <w:suff w:val="tab"/>
      <w:lvlText w:val="•"/>
      <w:rPr>
        <w:color w:val="3370ff"/>
      </w:rPr>
    </w:lvl>
  </w:abstractNum>
  <w:abstractNum w:abstractNumId="3568183">
    <w:lvl>
      <w:numFmt w:val="bullet"/>
      <w:suff w:val="tab"/>
      <w:lvlText w:val="•"/>
      <w:rPr>
        <w:color w:val="3370ff"/>
      </w:rPr>
    </w:lvl>
  </w:abstractNum>
  <w:abstractNum w:abstractNumId="3568184">
    <w:lvl>
      <w:numFmt w:val="bullet"/>
      <w:suff w:val="tab"/>
      <w:lvlText w:val="•"/>
      <w:rPr>
        <w:color w:val="3370ff"/>
      </w:rPr>
    </w:lvl>
  </w:abstractNum>
  <w:abstractNum w:abstractNumId="3568185">
    <w:lvl>
      <w:numFmt w:val="bullet"/>
      <w:suff w:val="tab"/>
      <w:lvlText w:val="•"/>
      <w:rPr>
        <w:color w:val="3370ff"/>
      </w:rPr>
    </w:lvl>
  </w:abstractNum>
  <w:abstractNum w:abstractNumId="3568186">
    <w:lvl>
      <w:numFmt w:val="bullet"/>
      <w:suff w:val="tab"/>
      <w:lvlText w:val="•"/>
      <w:rPr>
        <w:color w:val="3370ff"/>
      </w:rPr>
    </w:lvl>
  </w:abstractNum>
  <w:abstractNum w:abstractNumId="3568187">
    <w:lvl>
      <w:numFmt w:val="bullet"/>
      <w:suff w:val="tab"/>
      <w:lvlText w:val="•"/>
      <w:rPr>
        <w:color w:val="3370ff"/>
      </w:rPr>
    </w:lvl>
  </w:abstractNum>
  <w:abstractNum w:abstractNumId="3568188">
    <w:lvl>
      <w:numFmt w:val="bullet"/>
      <w:suff w:val="tab"/>
      <w:lvlText w:val="•"/>
      <w:rPr>
        <w:color w:val="3370ff"/>
      </w:rPr>
    </w:lvl>
  </w:abstractNum>
  <w:abstractNum w:abstractNumId="3568189">
    <w:lvl>
      <w:numFmt w:val="bullet"/>
      <w:suff w:val="tab"/>
      <w:lvlText w:val="•"/>
      <w:rPr>
        <w:color w:val="3370ff"/>
      </w:rPr>
    </w:lvl>
  </w:abstractNum>
  <w:abstractNum w:abstractNumId="3568190">
    <w:lvl>
      <w:numFmt w:val="bullet"/>
      <w:suff w:val="tab"/>
      <w:lvlText w:val="•"/>
      <w:rPr>
        <w:color w:val="3370ff"/>
      </w:rPr>
    </w:lvl>
  </w:abstractNum>
  <w:abstractNum w:abstractNumId="3568191">
    <w:lvl>
      <w:numFmt w:val="bullet"/>
      <w:suff w:val="tab"/>
      <w:lvlText w:val="•"/>
      <w:rPr>
        <w:color w:val="3370ff"/>
      </w:rPr>
    </w:lvl>
  </w:abstractNum>
  <w:abstractNum w:abstractNumId="3568192">
    <w:lvl>
      <w:numFmt w:val="bullet"/>
      <w:suff w:val="tab"/>
      <w:lvlText w:val="•"/>
      <w:rPr>
        <w:color w:val="3370ff"/>
      </w:rPr>
    </w:lvl>
  </w:abstractNum>
  <w:abstractNum w:abstractNumId="3568193">
    <w:lvl>
      <w:numFmt w:val="bullet"/>
      <w:suff w:val="tab"/>
      <w:lvlText w:val="•"/>
      <w:rPr>
        <w:color w:val="3370ff"/>
      </w:rPr>
    </w:lvl>
  </w:abstractNum>
  <w:abstractNum w:abstractNumId="3568194">
    <w:lvl>
      <w:numFmt w:val="bullet"/>
      <w:suff w:val="tab"/>
      <w:lvlText w:val="•"/>
      <w:rPr>
        <w:color w:val="3370ff"/>
      </w:rPr>
    </w:lvl>
  </w:abstractNum>
  <w:abstractNum w:abstractNumId="3568195">
    <w:lvl>
      <w:numFmt w:val="bullet"/>
      <w:suff w:val="tab"/>
      <w:lvlText w:val="•"/>
      <w:rPr>
        <w:color w:val="3370ff"/>
      </w:rPr>
    </w:lvl>
  </w:abstractNum>
  <w:abstractNum w:abstractNumId="3568196">
    <w:lvl>
      <w:numFmt w:val="bullet"/>
      <w:suff w:val="tab"/>
      <w:lvlText w:val="•"/>
      <w:rPr>
        <w:color w:val="3370ff"/>
      </w:rPr>
    </w:lvl>
  </w:abstractNum>
  <w:abstractNum w:abstractNumId="3568197">
    <w:lvl>
      <w:numFmt w:val="bullet"/>
      <w:suff w:val="tab"/>
      <w:lvlText w:val="•"/>
      <w:rPr>
        <w:color w:val="3370ff"/>
      </w:rPr>
    </w:lvl>
  </w:abstractNum>
  <w:abstractNum w:abstractNumId="3568198">
    <w:lvl>
      <w:numFmt w:val="bullet"/>
      <w:suff w:val="tab"/>
      <w:lvlText w:val="•"/>
      <w:rPr>
        <w:color w:val="3370ff"/>
      </w:rPr>
    </w:lvl>
  </w:abstractNum>
  <w:abstractNum w:abstractNumId="3568199">
    <w:lvl>
      <w:numFmt w:val="bullet"/>
      <w:suff w:val="tab"/>
      <w:lvlText w:val="•"/>
      <w:rPr>
        <w:color w:val="3370ff"/>
      </w:rPr>
    </w:lvl>
  </w:abstractNum>
  <w:abstractNum w:abstractNumId="3568200">
    <w:lvl>
      <w:numFmt w:val="bullet"/>
      <w:suff w:val="tab"/>
      <w:lvlText w:val="•"/>
      <w:rPr>
        <w:color w:val="3370ff"/>
      </w:rPr>
    </w:lvl>
  </w:abstractNum>
  <w:abstractNum w:abstractNumId="3568201">
    <w:lvl>
      <w:numFmt w:val="bullet"/>
      <w:suff w:val="tab"/>
      <w:lvlText w:val="•"/>
      <w:rPr>
        <w:color w:val="3370ff"/>
      </w:rPr>
    </w:lvl>
  </w:abstractNum>
  <w:abstractNum w:abstractNumId="3568202">
    <w:lvl>
      <w:numFmt w:val="bullet"/>
      <w:suff w:val="tab"/>
      <w:lvlText w:val="•"/>
      <w:rPr>
        <w:color w:val="3370ff"/>
      </w:rPr>
    </w:lvl>
  </w:abstractNum>
  <w:abstractNum w:abstractNumId="3568203">
    <w:lvl>
      <w:numFmt w:val="bullet"/>
      <w:suff w:val="tab"/>
      <w:lvlText w:val="•"/>
      <w:rPr>
        <w:color w:val="3370ff"/>
      </w:rPr>
    </w:lvl>
  </w:abstractNum>
  <w:abstractNum w:abstractNumId="3568204">
    <w:lvl>
      <w:numFmt w:val="bullet"/>
      <w:suff w:val="tab"/>
      <w:lvlText w:val="•"/>
      <w:rPr>
        <w:color w:val="3370ff"/>
      </w:rPr>
    </w:lvl>
  </w:abstractNum>
  <w:abstractNum w:abstractNumId="3568205">
    <w:lvl>
      <w:numFmt w:val="bullet"/>
      <w:suff w:val="tab"/>
      <w:lvlText w:val="•"/>
      <w:rPr>
        <w:color w:val="3370ff"/>
      </w:rPr>
    </w:lvl>
  </w:abstractNum>
  <w:abstractNum w:abstractNumId="3568206">
    <w:lvl>
      <w:numFmt w:val="bullet"/>
      <w:suff w:val="tab"/>
      <w:lvlText w:val="•"/>
      <w:rPr>
        <w:color w:val="3370ff"/>
      </w:rPr>
    </w:lvl>
  </w:abstractNum>
  <w:abstractNum w:abstractNumId="3568207">
    <w:lvl>
      <w:numFmt w:val="bullet"/>
      <w:suff w:val="tab"/>
      <w:lvlText w:val="￮"/>
      <w:rPr>
        <w:color w:val="3370ff"/>
      </w:rPr>
    </w:lvl>
  </w:abstractNum>
  <w:abstractNum w:abstractNumId="3568208">
    <w:lvl>
      <w:numFmt w:val="bullet"/>
      <w:suff w:val="tab"/>
      <w:lvlText w:val="▪"/>
      <w:rPr>
        <w:color w:val="3370ff"/>
        <w:sz w:val="11"/>
      </w:rPr>
    </w:lvl>
  </w:abstractNum>
  <w:abstractNum w:abstractNumId="3568209">
    <w:lvl>
      <w:numFmt w:val="bullet"/>
      <w:suff w:val="tab"/>
      <w:lvlText w:val="▪"/>
      <w:rPr>
        <w:color w:val="3370ff"/>
        <w:sz w:val="11"/>
      </w:rPr>
    </w:lvl>
  </w:abstractNum>
  <w:abstractNum w:abstractNumId="3568210">
    <w:lvl>
      <w:numFmt w:val="bullet"/>
      <w:suff w:val="tab"/>
      <w:lvlText w:val="￮"/>
      <w:rPr>
        <w:color w:val="3370ff"/>
      </w:rPr>
    </w:lvl>
  </w:abstractNum>
  <w:abstractNum w:abstractNumId="3568211">
    <w:lvl>
      <w:numFmt w:val="bullet"/>
      <w:suff w:val="tab"/>
      <w:lvlText w:val="▪"/>
      <w:rPr>
        <w:color w:val="3370ff"/>
        <w:sz w:val="11"/>
      </w:rPr>
    </w:lvl>
  </w:abstractNum>
  <w:abstractNum w:abstractNumId="3568212">
    <w:lvl>
      <w:numFmt w:val="bullet"/>
      <w:suff w:val="tab"/>
      <w:lvlText w:val="▪"/>
      <w:rPr>
        <w:color w:val="3370ff"/>
        <w:sz w:val="11"/>
      </w:rPr>
    </w:lvl>
  </w:abstractNum>
  <w:abstractNum w:abstractNumId="3568213">
    <w:lvl>
      <w:numFmt w:val="bullet"/>
      <w:suff w:val="tab"/>
      <w:lvlText w:val="•"/>
      <w:rPr>
        <w:color w:val="3370ff"/>
      </w:rPr>
    </w:lvl>
  </w:abstractNum>
  <w:abstractNum w:abstractNumId="3568214">
    <w:lvl>
      <w:numFmt w:val="bullet"/>
      <w:suff w:val="tab"/>
      <w:lvlText w:val="￮"/>
      <w:rPr>
        <w:color w:val="3370ff"/>
      </w:rPr>
    </w:lvl>
  </w:abstractNum>
  <w:abstractNum w:abstractNumId="3568215">
    <w:lvl>
      <w:numFmt w:val="bullet"/>
      <w:suff w:val="tab"/>
      <w:lvlText w:val="▪"/>
      <w:rPr>
        <w:color w:val="3370ff"/>
        <w:sz w:val="11"/>
      </w:rPr>
    </w:lvl>
  </w:abstractNum>
  <w:abstractNum w:abstractNumId="3568216">
    <w:lvl>
      <w:numFmt w:val="bullet"/>
      <w:suff w:val="tab"/>
      <w:lvlText w:val="▪"/>
      <w:rPr>
        <w:color w:val="3370ff"/>
        <w:sz w:val="11"/>
      </w:rPr>
    </w:lvl>
  </w:abstractNum>
  <w:abstractNum w:abstractNumId="3568217">
    <w:lvl>
      <w:numFmt w:val="bullet"/>
      <w:suff w:val="tab"/>
      <w:lvlText w:val="￮"/>
      <w:rPr>
        <w:color w:val="3370ff"/>
      </w:rPr>
    </w:lvl>
  </w:abstractNum>
  <w:abstractNum w:abstractNumId="3568218">
    <w:lvl>
      <w:numFmt w:val="bullet"/>
      <w:suff w:val="tab"/>
      <w:lvlText w:val="▪"/>
      <w:rPr>
        <w:color w:val="3370ff"/>
        <w:sz w:val="11"/>
      </w:rPr>
    </w:lvl>
  </w:abstractNum>
  <w:abstractNum w:abstractNumId="3568219">
    <w:lvl>
      <w:numFmt w:val="bullet"/>
      <w:suff w:val="tab"/>
      <w:lvlText w:val="▪"/>
      <w:rPr>
        <w:color w:val="3370ff"/>
        <w:sz w:val="11"/>
      </w:rPr>
    </w:lvl>
  </w:abstractNum>
  <w:abstractNum w:abstractNumId="3568220">
    <w:lvl>
      <w:numFmt w:val="bullet"/>
      <w:suff w:val="tab"/>
      <w:lvlText w:val="•"/>
      <w:rPr>
        <w:color w:val="3370ff"/>
      </w:rPr>
    </w:lvl>
  </w:abstractNum>
  <w:abstractNum w:abstractNumId="3568221">
    <w:lvl>
      <w:numFmt w:val="bullet"/>
      <w:suff w:val="tab"/>
      <w:lvlText w:val="￮"/>
      <w:rPr>
        <w:color w:val="3370ff"/>
      </w:rPr>
    </w:lvl>
  </w:abstractNum>
  <w:abstractNum w:abstractNumId="3568222">
    <w:lvl>
      <w:numFmt w:val="bullet"/>
      <w:suff w:val="tab"/>
      <w:lvlText w:val="▪"/>
      <w:rPr>
        <w:color w:val="3370ff"/>
        <w:sz w:val="11"/>
      </w:rPr>
    </w:lvl>
  </w:abstractNum>
  <w:abstractNum w:abstractNumId="3568223">
    <w:lvl>
      <w:numFmt w:val="bullet"/>
      <w:suff w:val="tab"/>
      <w:lvlText w:val="▪"/>
      <w:rPr>
        <w:color w:val="3370ff"/>
        <w:sz w:val="11"/>
      </w:rPr>
    </w:lvl>
  </w:abstractNum>
  <w:abstractNum w:abstractNumId="3568224">
    <w:lvl>
      <w:numFmt w:val="bullet"/>
      <w:suff w:val="tab"/>
      <w:lvlText w:val="▪"/>
      <w:rPr>
        <w:color w:val="3370ff"/>
        <w:sz w:val="11"/>
      </w:rPr>
    </w:lvl>
  </w:abstractNum>
  <w:abstractNum w:abstractNumId="3568225">
    <w:lvl>
      <w:numFmt w:val="bullet"/>
      <w:suff w:val="tab"/>
      <w:lvlText w:val="￮"/>
      <w:rPr>
        <w:color w:val="3370ff"/>
      </w:rPr>
    </w:lvl>
  </w:abstractNum>
  <w:abstractNum w:abstractNumId="3568226">
    <w:lvl>
      <w:numFmt w:val="bullet"/>
      <w:suff w:val="tab"/>
      <w:lvlText w:val="▪"/>
      <w:rPr>
        <w:color w:val="3370ff"/>
        <w:sz w:val="11"/>
      </w:rPr>
    </w:lvl>
  </w:abstractNum>
  <w:abstractNum w:abstractNumId="3568227">
    <w:lvl>
      <w:numFmt w:val="bullet"/>
      <w:suff w:val="tab"/>
      <w:lvlText w:val="▪"/>
      <w:rPr>
        <w:color w:val="3370ff"/>
        <w:sz w:val="11"/>
      </w:rPr>
    </w:lvl>
  </w:abstractNum>
  <w:abstractNum w:abstractNumId="3568228">
    <w:lvl>
      <w:numFmt w:val="bullet"/>
      <w:suff w:val="tab"/>
      <w:lvlText w:val="•"/>
      <w:rPr>
        <w:color w:val="3370ff"/>
      </w:rPr>
    </w:lvl>
  </w:abstractNum>
  <w:abstractNum w:abstractNumId="3568229">
    <w:lvl>
      <w:numFmt w:val="bullet"/>
      <w:suff w:val="tab"/>
      <w:lvlText w:val="•"/>
      <w:rPr>
        <w:color w:val="3370ff"/>
      </w:rPr>
    </w:lvl>
  </w:abstractNum>
  <w:abstractNum w:abstractNumId="3568230">
    <w:lvl>
      <w:numFmt w:val="bullet"/>
      <w:suff w:val="tab"/>
      <w:lvlText w:val="•"/>
      <w:rPr>
        <w:color w:val="3370ff"/>
      </w:rPr>
    </w:lvl>
  </w:abstractNum>
  <w:abstractNum w:abstractNumId="3568231">
    <w:lvl>
      <w:numFmt w:val="bullet"/>
      <w:suff w:val="tab"/>
      <w:lvlText w:val="￮"/>
      <w:rPr>
        <w:color w:val="3370ff"/>
      </w:rPr>
    </w:lvl>
  </w:abstractNum>
  <w:abstractNum w:abstractNumId="3568232">
    <w:lvl>
      <w:numFmt w:val="bullet"/>
      <w:suff w:val="tab"/>
      <w:lvlText w:val="￮"/>
      <w:rPr>
        <w:color w:val="3370ff"/>
      </w:rPr>
    </w:lvl>
  </w:abstractNum>
  <w:abstractNum w:abstractNumId="3568233">
    <w:lvl>
      <w:numFmt w:val="bullet"/>
      <w:suff w:val="tab"/>
      <w:lvlText w:val="•"/>
      <w:rPr>
        <w:color w:val="3370ff"/>
      </w:rPr>
    </w:lvl>
  </w:abstractNum>
  <w:abstractNum w:abstractNumId="3568234">
    <w:lvl>
      <w:start w:val="1"/>
      <w:numFmt w:val="decimal"/>
      <w:suff w:val="tab"/>
      <w:lvlText w:val="%1."/>
      <w:rPr>
        <w:color w:val="3370ff"/>
      </w:rPr>
    </w:lvl>
  </w:abstractNum>
  <w:abstractNum w:abstractNumId="3568235">
    <w:lvl>
      <w:numFmt w:val="bullet"/>
      <w:suff w:val="tab"/>
      <w:lvlText w:val="•"/>
      <w:rPr>
        <w:color w:val="3370ff"/>
      </w:rPr>
    </w:lvl>
  </w:abstractNum>
  <w:abstractNum w:abstractNumId="3568236">
    <w:lvl>
      <w:numFmt w:val="bullet"/>
      <w:suff w:val="tab"/>
      <w:lvlText w:val="•"/>
      <w:rPr>
        <w:color w:val="3370ff"/>
      </w:rPr>
    </w:lvl>
  </w:abstractNum>
  <w:abstractNum w:abstractNumId="3568237">
    <w:lvl>
      <w:numFmt w:val="bullet"/>
      <w:suff w:val="tab"/>
      <w:lvlText w:val="•"/>
      <w:rPr>
        <w:color w:val="3370ff"/>
      </w:rPr>
    </w:lvl>
  </w:abstractNum>
  <w:abstractNum w:abstractNumId="3568238">
    <w:lvl>
      <w:start w:val="2"/>
      <w:numFmt w:val="decimal"/>
      <w:suff w:val="tab"/>
      <w:lvlText w:val="%1."/>
      <w:rPr>
        <w:color w:val="3370ff"/>
      </w:rPr>
    </w:lvl>
  </w:abstractNum>
  <w:abstractNum w:abstractNumId="3568239">
    <w:lvl>
      <w:numFmt w:val="bullet"/>
      <w:suff w:val="tab"/>
      <w:lvlText w:val="•"/>
      <w:rPr>
        <w:color w:val="3370ff"/>
      </w:rPr>
    </w:lvl>
  </w:abstractNum>
  <w:abstractNum w:abstractNumId="3568240">
    <w:lvl>
      <w:numFmt w:val="bullet"/>
      <w:suff w:val="tab"/>
      <w:lvlText w:val="•"/>
      <w:rPr>
        <w:color w:val="3370ff"/>
      </w:rPr>
    </w:lvl>
  </w:abstractNum>
  <w:abstractNum w:abstractNumId="3568241">
    <w:lvl>
      <w:numFmt w:val="bullet"/>
      <w:suff w:val="tab"/>
      <w:lvlText w:val="•"/>
      <w:rPr>
        <w:color w:val="3370ff"/>
      </w:rPr>
    </w:lvl>
  </w:abstractNum>
  <w:abstractNum w:abstractNumId="3568242">
    <w:lvl>
      <w:numFmt w:val="bullet"/>
      <w:suff w:val="tab"/>
      <w:lvlText w:val="•"/>
      <w:rPr>
        <w:color w:val="3370ff"/>
      </w:rPr>
    </w:lvl>
  </w:abstractNum>
  <w:abstractNum w:abstractNumId="3568243">
    <w:lvl>
      <w:numFmt w:val="bullet"/>
      <w:suff w:val="tab"/>
      <w:lvlText w:val="•"/>
      <w:rPr>
        <w:color w:val="3370ff"/>
      </w:rPr>
    </w:lvl>
  </w:abstractNum>
  <w:abstractNum w:abstractNumId="3568244">
    <w:lvl>
      <w:numFmt w:val="bullet"/>
      <w:suff w:val="tab"/>
      <w:lvlText w:val="•"/>
      <w:rPr>
        <w:color w:val="3370ff"/>
      </w:rPr>
    </w:lvl>
  </w:abstractNum>
  <w:abstractNum w:abstractNumId="3568245">
    <w:lvl>
      <w:numFmt w:val="bullet"/>
      <w:suff w:val="tab"/>
      <w:lvlText w:val="•"/>
      <w:rPr>
        <w:color w:val="3370ff"/>
      </w:rPr>
    </w:lvl>
  </w:abstractNum>
  <w:abstractNum w:abstractNumId="3568246">
    <w:lvl>
      <w:numFmt w:val="bullet"/>
      <w:suff w:val="tab"/>
      <w:lvlText w:val="•"/>
      <w:rPr>
        <w:color w:val="3370ff"/>
      </w:rPr>
    </w:lvl>
  </w:abstractNum>
  <w:abstractNum w:abstractNumId="3568247">
    <w:lvl>
      <w:numFmt w:val="bullet"/>
      <w:suff w:val="tab"/>
      <w:lvlText w:val="•"/>
      <w:rPr>
        <w:color w:val="3370ff"/>
      </w:rPr>
    </w:lvl>
  </w:abstractNum>
  <w:abstractNum w:abstractNumId="3568248">
    <w:lvl>
      <w:numFmt w:val="bullet"/>
      <w:suff w:val="tab"/>
      <w:lvlText w:val="•"/>
      <w:rPr>
        <w:color w:val="3370ff"/>
      </w:rPr>
    </w:lvl>
  </w:abstractNum>
  <w:abstractNum w:abstractNumId="3568249">
    <w:lvl>
      <w:numFmt w:val="bullet"/>
      <w:suff w:val="tab"/>
      <w:lvlText w:val="￮"/>
      <w:rPr>
        <w:color w:val="3370ff"/>
      </w:rPr>
    </w:lvl>
  </w:abstractNum>
  <w:abstractNum w:abstractNumId="3568250">
    <w:lvl>
      <w:numFmt w:val="bullet"/>
      <w:suff w:val="tab"/>
      <w:lvlText w:val="￮"/>
      <w:rPr>
        <w:color w:val="3370ff"/>
      </w:rPr>
    </w:lvl>
  </w:abstractNum>
  <w:abstractNum w:abstractNumId="3568251">
    <w:lvl>
      <w:numFmt w:val="bullet"/>
      <w:suff w:val="tab"/>
      <w:lvlText w:val="￮"/>
      <w:rPr>
        <w:color w:val="3370ff"/>
      </w:rPr>
    </w:lvl>
  </w:abstractNum>
  <w:abstractNum w:abstractNumId="3568252">
    <w:lvl>
      <w:numFmt w:val="bullet"/>
      <w:suff w:val="tab"/>
      <w:lvlText w:val="￮"/>
      <w:rPr>
        <w:color w:val="3370ff"/>
      </w:rPr>
    </w:lvl>
  </w:abstractNum>
  <w:abstractNum w:abstractNumId="3568253">
    <w:lvl>
      <w:numFmt w:val="bullet"/>
      <w:suff w:val="tab"/>
      <w:lvlText w:val="￮"/>
      <w:rPr>
        <w:color w:val="3370ff"/>
      </w:rPr>
    </w:lvl>
  </w:abstractNum>
  <w:abstractNum w:abstractNumId="3568254">
    <w:lvl>
      <w:numFmt w:val="bullet"/>
      <w:suff w:val="tab"/>
      <w:lvlText w:val="￮"/>
      <w:rPr>
        <w:color w:val="3370ff"/>
      </w:rPr>
    </w:lvl>
  </w:abstractNum>
  <w:abstractNum w:abstractNumId="3568255">
    <w:lvl>
      <w:numFmt w:val="bullet"/>
      <w:suff w:val="tab"/>
      <w:lvlText w:val="￮"/>
      <w:rPr>
        <w:color w:val="3370ff"/>
      </w:rPr>
    </w:lvl>
  </w:abstractNum>
  <w:abstractNum w:abstractNumId="3568256">
    <w:lvl>
      <w:numFmt w:val="bullet"/>
      <w:suff w:val="tab"/>
      <w:lvlText w:val="￮"/>
      <w:rPr>
        <w:color w:val="3370ff"/>
      </w:rPr>
    </w:lvl>
  </w:abstractNum>
  <w:abstractNum w:abstractNumId="3568257">
    <w:lvl>
      <w:numFmt w:val="bullet"/>
      <w:suff w:val="tab"/>
      <w:lvlText w:val="￮"/>
      <w:rPr>
        <w:color w:val="3370ff"/>
      </w:rPr>
    </w:lvl>
  </w:abstractNum>
  <w:abstractNum w:abstractNumId="3568258">
    <w:lvl>
      <w:numFmt w:val="bullet"/>
      <w:suff w:val="tab"/>
      <w:lvlText w:val="￮"/>
      <w:rPr>
        <w:color w:val="3370ff"/>
      </w:rPr>
    </w:lvl>
  </w:abstractNum>
  <w:abstractNum w:abstractNumId="3568259">
    <w:lvl>
      <w:numFmt w:val="bullet"/>
      <w:suff w:val="tab"/>
      <w:lvlText w:val="￮"/>
      <w:rPr>
        <w:color w:val="3370ff"/>
      </w:rPr>
    </w:lvl>
  </w:abstractNum>
  <w:abstractNum w:abstractNumId="3568260">
    <w:lvl>
      <w:numFmt w:val="bullet"/>
      <w:suff w:val="tab"/>
      <w:lvlText w:val="￮"/>
      <w:rPr>
        <w:color w:val="3370ff"/>
      </w:rPr>
    </w:lvl>
  </w:abstractNum>
  <w:abstractNum w:abstractNumId="3568261">
    <w:lvl>
      <w:numFmt w:val="bullet"/>
      <w:suff w:val="tab"/>
      <w:lvlText w:val="￮"/>
      <w:rPr>
        <w:color w:val="3370ff"/>
      </w:rPr>
    </w:lvl>
  </w:abstractNum>
  <w:abstractNum w:abstractNumId="3568262">
    <w:lvl>
      <w:numFmt w:val="bullet"/>
      <w:suff w:val="tab"/>
      <w:lvlText w:val="￮"/>
      <w:rPr>
        <w:color w:val="3370ff"/>
      </w:rPr>
    </w:lvl>
  </w:abstractNum>
  <w:abstractNum w:abstractNumId="3568263">
    <w:lvl>
      <w:numFmt w:val="bullet"/>
      <w:suff w:val="tab"/>
      <w:lvlText w:val="•"/>
      <w:rPr>
        <w:color w:val="3370ff"/>
      </w:rPr>
    </w:lvl>
  </w:abstractNum>
  <w:abstractNum w:abstractNumId="3568264">
    <w:lvl>
      <w:numFmt w:val="bullet"/>
      <w:suff w:val="tab"/>
      <w:lvlText w:val="•"/>
      <w:rPr>
        <w:color w:val="3370ff"/>
      </w:rPr>
    </w:lvl>
  </w:abstractNum>
  <w:abstractNum w:abstractNumId="3568265">
    <w:lvl>
      <w:numFmt w:val="bullet"/>
      <w:suff w:val="tab"/>
      <w:lvlText w:val="•"/>
      <w:rPr>
        <w:color w:val="3370ff"/>
      </w:rPr>
    </w:lvl>
  </w:abstractNum>
  <w:abstractNum w:abstractNumId="3568266">
    <w:lvl>
      <w:numFmt w:val="bullet"/>
      <w:suff w:val="tab"/>
      <w:lvlText w:val="•"/>
      <w:rPr>
        <w:color w:val="3370ff"/>
      </w:rPr>
    </w:lvl>
  </w:abstractNum>
  <w:abstractNum w:abstractNumId="3568267">
    <w:lvl>
      <w:start w:val="1"/>
      <w:numFmt w:val="decimal"/>
      <w:suff w:val="tab"/>
      <w:lvlText w:val="%1."/>
      <w:rPr>
        <w:color w:val="3370ff"/>
      </w:rPr>
    </w:lvl>
  </w:abstractNum>
  <w:abstractNum w:abstractNumId="3568268">
    <w:lvl>
      <w:start w:val="2"/>
      <w:numFmt w:val="decimal"/>
      <w:suff w:val="tab"/>
      <w:lvlText w:val="%1."/>
      <w:rPr>
        <w:color w:val="3370ff"/>
      </w:rPr>
    </w:lvl>
  </w:abstractNum>
  <w:abstractNum w:abstractNumId="3568269">
    <w:lvl>
      <w:start w:val="3"/>
      <w:numFmt w:val="decimal"/>
      <w:suff w:val="tab"/>
      <w:lvlText w:val="%1."/>
      <w:rPr>
        <w:color w:val="3370ff"/>
      </w:rPr>
    </w:lvl>
  </w:abstractNum>
  <w:abstractNum w:abstractNumId="3568270">
    <w:lvl>
      <w:start w:val="4"/>
      <w:numFmt w:val="decimal"/>
      <w:suff w:val="tab"/>
      <w:lvlText w:val="%1."/>
      <w:rPr>
        <w:color w:val="3370ff"/>
      </w:rPr>
    </w:lvl>
  </w:abstractNum>
  <w:abstractNum w:abstractNumId="3568271">
    <w:lvl>
      <w:numFmt w:val="bullet"/>
      <w:suff w:val="tab"/>
      <w:lvlText w:val="•"/>
      <w:rPr>
        <w:color w:val="3370ff"/>
      </w:rPr>
    </w:lvl>
  </w:abstractNum>
  <w:abstractNum w:abstractNumId="3568272">
    <w:lvl>
      <w:numFmt w:val="bullet"/>
      <w:suff w:val="tab"/>
      <w:lvlText w:val="•"/>
      <w:rPr>
        <w:color w:val="3370ff"/>
      </w:rPr>
    </w:lvl>
  </w:abstractNum>
  <w:abstractNum w:abstractNumId="3568273">
    <w:lvl>
      <w:numFmt w:val="bullet"/>
      <w:suff w:val="tab"/>
      <w:lvlText w:val="•"/>
      <w:rPr>
        <w:color w:val="3370ff"/>
      </w:rPr>
    </w:lvl>
  </w:abstractNum>
  <w:abstractNum w:abstractNumId="3568274">
    <w:lvl>
      <w:numFmt w:val="bullet"/>
      <w:suff w:val="tab"/>
      <w:lvlText w:val="•"/>
      <w:rPr>
        <w:color w:val="3370ff"/>
      </w:rPr>
    </w:lvl>
  </w:abstractNum>
  <w:abstractNum w:abstractNumId="3568275">
    <w:lvl>
      <w:numFmt w:val="bullet"/>
      <w:suff w:val="tab"/>
      <w:lvlText w:val="•"/>
      <w:rPr>
        <w:color w:val="3370ff"/>
      </w:rPr>
    </w:lvl>
  </w:abstractNum>
  <w:abstractNum w:abstractNumId="3568276">
    <w:lvl>
      <w:numFmt w:val="bullet"/>
      <w:suff w:val="tab"/>
      <w:lvlText w:val="￮"/>
      <w:rPr>
        <w:color w:val="3370ff"/>
      </w:rPr>
    </w:lvl>
  </w:abstractNum>
  <w:abstractNum w:abstractNumId="3568277">
    <w:lvl>
      <w:numFmt w:val="bullet"/>
      <w:suff w:val="tab"/>
      <w:lvlText w:val="￮"/>
      <w:rPr>
        <w:color w:val="3370ff"/>
      </w:rPr>
    </w:lvl>
  </w:abstractNum>
  <w:abstractNum w:abstractNumId="3568278">
    <w:lvl>
      <w:numFmt w:val="bullet"/>
      <w:suff w:val="tab"/>
      <w:lvlText w:val="￮"/>
      <w:rPr>
        <w:color w:val="3370ff"/>
      </w:rPr>
    </w:lvl>
  </w:abstractNum>
  <w:abstractNum w:abstractNumId="3568279">
    <w:lvl>
      <w:numFmt w:val="bullet"/>
      <w:suff w:val="tab"/>
      <w:lvlText w:val="￮"/>
      <w:rPr>
        <w:color w:val="3370ff"/>
      </w:rPr>
    </w:lvl>
  </w:abstractNum>
  <w:abstractNum w:abstractNumId="3568280">
    <w:lvl>
      <w:numFmt w:val="bullet"/>
      <w:suff w:val="tab"/>
      <w:lvlText w:val="•"/>
      <w:rPr>
        <w:color w:val="3370ff"/>
      </w:rPr>
    </w:lvl>
  </w:abstractNum>
  <w:abstractNum w:abstractNumId="3568281">
    <w:lvl>
      <w:numFmt w:val="bullet"/>
      <w:suff w:val="tab"/>
      <w:lvlText w:val="•"/>
      <w:rPr>
        <w:color w:val="3370ff"/>
      </w:rPr>
    </w:lvl>
  </w:abstractNum>
  <w:abstractNum w:abstractNumId="3568282">
    <w:lvl>
      <w:numFmt w:val="bullet"/>
      <w:suff w:val="tab"/>
      <w:lvlText w:val="￮"/>
      <w:rPr>
        <w:color w:val="3370ff"/>
      </w:rPr>
    </w:lvl>
  </w:abstractNum>
  <w:abstractNum w:abstractNumId="3568283">
    <w:lvl>
      <w:numFmt w:val="bullet"/>
      <w:suff w:val="tab"/>
      <w:lvlText w:val="￮"/>
      <w:rPr>
        <w:color w:val="3370ff"/>
      </w:rPr>
    </w:lvl>
  </w:abstractNum>
  <w:abstractNum w:abstractNumId="3568284">
    <w:lvl>
      <w:numFmt w:val="bullet"/>
      <w:suff w:val="tab"/>
      <w:lvlText w:val="￮"/>
      <w:rPr>
        <w:color w:val="3370ff"/>
      </w:rPr>
    </w:lvl>
  </w:abstractNum>
  <w:abstractNum w:abstractNumId="3568285">
    <w:lvl>
      <w:numFmt w:val="bullet"/>
      <w:suff w:val="tab"/>
      <w:lvlText w:val="￮"/>
      <w:rPr>
        <w:color w:val="3370ff"/>
      </w:rPr>
    </w:lvl>
  </w:abstractNum>
  <w:abstractNum w:abstractNumId="3568286">
    <w:lvl>
      <w:numFmt w:val="bullet"/>
      <w:suff w:val="tab"/>
      <w:lvlText w:val="￮"/>
      <w:rPr>
        <w:color w:val="3370ff"/>
      </w:rPr>
    </w:lvl>
  </w:abstractNum>
  <w:abstractNum w:abstractNumId="3568287">
    <w:lvl>
      <w:numFmt w:val="bullet"/>
      <w:suff w:val="tab"/>
      <w:lvlText w:val="•"/>
      <w:rPr>
        <w:color w:val="3370ff"/>
      </w:rPr>
    </w:lvl>
  </w:abstractNum>
  <w:abstractNum w:abstractNumId="3568288">
    <w:lvl>
      <w:numFmt w:val="bullet"/>
      <w:suff w:val="tab"/>
      <w:lvlText w:val="•"/>
      <w:rPr>
        <w:color w:val="3370ff"/>
      </w:rPr>
    </w:lvl>
  </w:abstractNum>
  <w:abstractNum w:abstractNumId="3568289">
    <w:lvl>
      <w:numFmt w:val="bullet"/>
      <w:suff w:val="tab"/>
      <w:lvlText w:val="•"/>
      <w:rPr>
        <w:color w:val="3370ff"/>
      </w:rPr>
    </w:lvl>
  </w:abstractNum>
  <w:abstractNum w:abstractNumId="3568290">
    <w:lvl>
      <w:numFmt w:val="bullet"/>
      <w:suff w:val="tab"/>
      <w:lvlText w:val="•"/>
      <w:rPr>
        <w:color w:val="3370ff"/>
      </w:rPr>
    </w:lvl>
  </w:abstractNum>
  <w:abstractNum w:abstractNumId="3568291">
    <w:lvl>
      <w:numFmt w:val="bullet"/>
      <w:suff w:val="tab"/>
      <w:lvlText w:val="•"/>
      <w:rPr>
        <w:color w:val="3370ff"/>
      </w:rPr>
    </w:lvl>
  </w:abstractNum>
  <w:abstractNum w:abstractNumId="3568292">
    <w:lvl>
      <w:numFmt w:val="bullet"/>
      <w:suff w:val="tab"/>
      <w:lvlText w:val="•"/>
      <w:rPr>
        <w:color w:val="3370ff"/>
      </w:rPr>
    </w:lvl>
  </w:abstractNum>
  <w:abstractNum w:abstractNumId="3568293">
    <w:lvl>
      <w:numFmt w:val="bullet"/>
      <w:suff w:val="tab"/>
      <w:lvlText w:val="•"/>
      <w:rPr>
        <w:color w:val="3370ff"/>
      </w:rPr>
    </w:lvl>
  </w:abstractNum>
  <w:abstractNum w:abstractNumId="3568294">
    <w:lvl>
      <w:numFmt w:val="bullet"/>
      <w:suff w:val="tab"/>
      <w:lvlText w:val="•"/>
      <w:rPr>
        <w:color w:val="3370ff"/>
      </w:rPr>
    </w:lvl>
  </w:abstractNum>
  <w:abstractNum w:abstractNumId="3568295">
    <w:lvl>
      <w:numFmt w:val="bullet"/>
      <w:suff w:val="tab"/>
      <w:lvlText w:val="•"/>
      <w:rPr>
        <w:color w:val="3370ff"/>
      </w:rPr>
    </w:lvl>
  </w:abstractNum>
  <w:abstractNum w:abstractNumId="3568296">
    <w:lvl>
      <w:numFmt w:val="bullet"/>
      <w:suff w:val="tab"/>
      <w:lvlText w:val="•"/>
      <w:rPr>
        <w:color w:val="3370ff"/>
      </w:rPr>
    </w:lvl>
  </w:abstractNum>
  <w:abstractNum w:abstractNumId="3568297">
    <w:lvl>
      <w:numFmt w:val="bullet"/>
      <w:suff w:val="tab"/>
      <w:lvlText w:val="•"/>
      <w:rPr>
        <w:color w:val="3370ff"/>
      </w:rPr>
    </w:lvl>
  </w:abstractNum>
  <w:abstractNum w:abstractNumId="3568298">
    <w:lvl>
      <w:numFmt w:val="bullet"/>
      <w:suff w:val="tab"/>
      <w:lvlText w:val="•"/>
      <w:rPr>
        <w:color w:val="3370ff"/>
      </w:rPr>
    </w:lvl>
  </w:abstractNum>
  <w:abstractNum w:abstractNumId="3568299">
    <w:lvl>
      <w:numFmt w:val="bullet"/>
      <w:suff w:val="tab"/>
      <w:lvlText w:val="•"/>
      <w:rPr>
        <w:color w:val="3370ff"/>
      </w:rPr>
    </w:lvl>
  </w:abstractNum>
  <w:abstractNum w:abstractNumId="3568300">
    <w:lvl>
      <w:numFmt w:val="bullet"/>
      <w:suff w:val="tab"/>
      <w:lvlText w:val="•"/>
      <w:rPr>
        <w:color w:val="3370ff"/>
      </w:rPr>
    </w:lvl>
  </w:abstractNum>
  <w:abstractNum w:abstractNumId="3568301">
    <w:lvl>
      <w:numFmt w:val="bullet"/>
      <w:suff w:val="tab"/>
      <w:lvlText w:val="•"/>
      <w:rPr>
        <w:color w:val="3370ff"/>
      </w:rPr>
    </w:lvl>
  </w:abstractNum>
  <w:abstractNum w:abstractNumId="3568302">
    <w:lvl>
      <w:numFmt w:val="bullet"/>
      <w:suff w:val="tab"/>
      <w:lvlText w:val="•"/>
      <w:rPr>
        <w:color w:val="3370ff"/>
      </w:rPr>
    </w:lvl>
  </w:abstractNum>
  <w:abstractNum w:abstractNumId="3568303">
    <w:lvl>
      <w:numFmt w:val="bullet"/>
      <w:suff w:val="tab"/>
      <w:lvlText w:val="•"/>
      <w:rPr>
        <w:color w:val="3370ff"/>
      </w:rPr>
    </w:lvl>
  </w:abstractNum>
  <w:abstractNum w:abstractNumId="3568304">
    <w:lvl>
      <w:numFmt w:val="bullet"/>
      <w:suff w:val="tab"/>
      <w:lvlText w:val="•"/>
      <w:rPr>
        <w:color w:val="3370ff"/>
      </w:rPr>
    </w:lvl>
  </w:abstractNum>
  <w:abstractNum w:abstractNumId="3568305">
    <w:lvl>
      <w:numFmt w:val="bullet"/>
      <w:suff w:val="tab"/>
      <w:lvlText w:val="•"/>
      <w:rPr>
        <w:color w:val="3370ff"/>
      </w:rPr>
    </w:lvl>
  </w:abstractNum>
  <w:abstractNum w:abstractNumId="3568306">
    <w:lvl>
      <w:numFmt w:val="bullet"/>
      <w:suff w:val="tab"/>
      <w:lvlText w:val="•"/>
      <w:rPr>
        <w:color w:val="3370ff"/>
      </w:rPr>
    </w:lvl>
  </w:abstractNum>
  <w:abstractNum w:abstractNumId="3568307">
    <w:lvl>
      <w:numFmt w:val="bullet"/>
      <w:suff w:val="tab"/>
      <w:lvlText w:val="•"/>
      <w:rPr>
        <w:color w:val="3370ff"/>
      </w:rPr>
    </w:lvl>
  </w:abstractNum>
  <w:abstractNum w:abstractNumId="3568308">
    <w:lvl>
      <w:numFmt w:val="bullet"/>
      <w:suff w:val="tab"/>
      <w:lvlText w:val="•"/>
      <w:rPr>
        <w:color w:val="3370ff"/>
      </w:rPr>
    </w:lvl>
  </w:abstractNum>
  <w:abstractNum w:abstractNumId="3568309">
    <w:lvl>
      <w:numFmt w:val="bullet"/>
      <w:suff w:val="tab"/>
      <w:lvlText w:val="•"/>
      <w:rPr>
        <w:color w:val="3370ff"/>
      </w:rPr>
    </w:lvl>
  </w:abstractNum>
  <w:abstractNum w:abstractNumId="3568310">
    <w:lvl>
      <w:numFmt w:val="bullet"/>
      <w:suff w:val="tab"/>
      <w:lvlText w:val="•"/>
      <w:rPr>
        <w:color w:val="3370ff"/>
      </w:rPr>
    </w:lvl>
  </w:abstractNum>
  <w:abstractNum w:abstractNumId="3568311">
    <w:lvl>
      <w:start w:val="3"/>
      <w:numFmt w:val="decimal"/>
      <w:suff w:val="tab"/>
      <w:lvlText w:val="%1."/>
      <w:rPr>
        <w:color w:val="3370ff"/>
      </w:rPr>
    </w:lvl>
  </w:abstractNum>
  <w:abstractNum w:abstractNumId="3568312">
    <w:lvl>
      <w:numFmt w:val="bullet"/>
      <w:suff w:val="tab"/>
      <w:lvlText w:val="•"/>
      <w:rPr>
        <w:color w:val="3370ff"/>
      </w:rPr>
    </w:lvl>
  </w:abstractNum>
  <w:abstractNum w:abstractNumId="3568313">
    <w:lvl>
      <w:numFmt w:val="bullet"/>
      <w:suff w:val="tab"/>
      <w:lvlText w:val="•"/>
      <w:rPr>
        <w:color w:val="3370ff"/>
      </w:rPr>
    </w:lvl>
  </w:abstractNum>
  <w:abstractNum w:abstractNumId="3568314">
    <w:lvl>
      <w:numFmt w:val="bullet"/>
      <w:suff w:val="tab"/>
      <w:lvlText w:val="•"/>
      <w:rPr>
        <w:color w:val="3370ff"/>
      </w:rPr>
    </w:lvl>
  </w:abstractNum>
  <w:abstractNum w:abstractNumId="3568315">
    <w:lvl>
      <w:numFmt w:val="bullet"/>
      <w:suff w:val="tab"/>
      <w:lvlText w:val="•"/>
      <w:rPr>
        <w:color w:val="3370ff"/>
      </w:rPr>
    </w:lvl>
  </w:abstractNum>
  <w:abstractNum w:abstractNumId="3568316">
    <w:lvl>
      <w:start w:val="4"/>
      <w:numFmt w:val="decimal"/>
      <w:suff w:val="tab"/>
      <w:lvlText w:val="%1."/>
      <w:rPr>
        <w:color w:val="3370ff"/>
      </w:rPr>
    </w:lvl>
  </w:abstractNum>
  <w:abstractNum w:abstractNumId="3568317">
    <w:lvl>
      <w:start w:val="5"/>
      <w:numFmt w:val="decimal"/>
      <w:suff w:val="tab"/>
      <w:lvlText w:val="%1."/>
      <w:rPr>
        <w:color w:val="3370ff"/>
      </w:rPr>
    </w:lvl>
  </w:abstractNum>
  <w:abstractNum w:abstractNumId="3568318">
    <w:lvl>
      <w:numFmt w:val="bullet"/>
      <w:suff w:val="tab"/>
      <w:lvlText w:val="•"/>
      <w:rPr>
        <w:color w:val="3370ff"/>
      </w:rPr>
    </w:lvl>
  </w:abstractNum>
  <w:abstractNum w:abstractNumId="3568319">
    <w:lvl>
      <w:numFmt w:val="bullet"/>
      <w:suff w:val="tab"/>
      <w:lvlText w:val="•"/>
      <w:rPr>
        <w:color w:val="3370ff"/>
      </w:rPr>
    </w:lvl>
  </w:abstractNum>
  <w:abstractNum w:abstractNumId="3568320">
    <w:lvl>
      <w:numFmt w:val="bullet"/>
      <w:suff w:val="tab"/>
      <w:lvlText w:val="•"/>
      <w:rPr>
        <w:color w:val="3370ff"/>
      </w:rPr>
    </w:lvl>
  </w:abstractNum>
  <w:abstractNum w:abstractNumId="3568321">
    <w:lvl>
      <w:numFmt w:val="bullet"/>
      <w:suff w:val="tab"/>
      <w:lvlText w:val="•"/>
      <w:rPr>
        <w:color w:val="3370ff"/>
      </w:rPr>
    </w:lvl>
  </w:abstractNum>
  <w:abstractNum w:abstractNumId="3568322">
    <w:lvl>
      <w:numFmt w:val="bullet"/>
      <w:suff w:val="tab"/>
      <w:lvlText w:val="•"/>
      <w:rPr>
        <w:color w:val="3370ff"/>
      </w:rPr>
    </w:lvl>
  </w:abstractNum>
  <w:abstractNum w:abstractNumId="3568323">
    <w:lvl>
      <w:numFmt w:val="bullet"/>
      <w:suff w:val="tab"/>
      <w:lvlText w:val="•"/>
      <w:rPr>
        <w:color w:val="3370ff"/>
      </w:rPr>
    </w:lvl>
  </w:abstractNum>
  <w:abstractNum w:abstractNumId="3568324">
    <w:lvl>
      <w:numFmt w:val="bullet"/>
      <w:suff w:val="tab"/>
      <w:lvlText w:val="•"/>
      <w:rPr>
        <w:color w:val="3370ff"/>
      </w:rPr>
    </w:lvl>
  </w:abstractNum>
  <w:abstractNum w:abstractNumId="3568325">
    <w:lvl>
      <w:numFmt w:val="bullet"/>
      <w:suff w:val="tab"/>
      <w:lvlText w:val="•"/>
      <w:rPr>
        <w:color w:val="3370ff"/>
      </w:rPr>
    </w:lvl>
  </w:abstractNum>
  <w:abstractNum w:abstractNumId="3568326">
    <w:lvl>
      <w:numFmt w:val="bullet"/>
      <w:suff w:val="tab"/>
      <w:lvlText w:val="•"/>
      <w:rPr>
        <w:color w:val="3370ff"/>
      </w:rPr>
    </w:lvl>
  </w:abstractNum>
  <w:abstractNum w:abstractNumId="3568327">
    <w:lvl>
      <w:numFmt w:val="bullet"/>
      <w:suff w:val="tab"/>
      <w:lvlText w:val="•"/>
      <w:rPr>
        <w:color w:val="3370ff"/>
      </w:rPr>
    </w:lvl>
  </w:abstractNum>
  <w:abstractNum w:abstractNumId="3568328">
    <w:lvl>
      <w:numFmt w:val="bullet"/>
      <w:suff w:val="tab"/>
      <w:lvlText w:val="•"/>
      <w:rPr>
        <w:color w:val="3370ff"/>
      </w:rPr>
    </w:lvl>
  </w:abstractNum>
  <w:abstractNum w:abstractNumId="3568329">
    <w:lvl>
      <w:numFmt w:val="bullet"/>
      <w:suff w:val="tab"/>
      <w:lvlText w:val="•"/>
      <w:rPr>
        <w:color w:val="3370ff"/>
      </w:rPr>
    </w:lvl>
  </w:abstractNum>
  <w:abstractNum w:abstractNumId="3568330">
    <w:lvl>
      <w:numFmt w:val="bullet"/>
      <w:suff w:val="tab"/>
      <w:lvlText w:val="•"/>
      <w:rPr>
        <w:color w:val="3370ff"/>
      </w:rPr>
    </w:lvl>
  </w:abstractNum>
  <w:abstractNum w:abstractNumId="3568331">
    <w:lvl>
      <w:numFmt w:val="bullet"/>
      <w:suff w:val="tab"/>
      <w:lvlText w:val="•"/>
      <w:rPr>
        <w:color w:val="3370ff"/>
      </w:rPr>
    </w:lvl>
  </w:abstractNum>
  <w:abstractNum w:abstractNumId="3568332">
    <w:lvl>
      <w:numFmt w:val="bullet"/>
      <w:suff w:val="tab"/>
      <w:lvlText w:val="•"/>
      <w:rPr>
        <w:color w:val="3370ff"/>
      </w:rPr>
    </w:lvl>
  </w:abstractNum>
  <w:abstractNum w:abstractNumId="3568333">
    <w:lvl>
      <w:numFmt w:val="bullet"/>
      <w:suff w:val="tab"/>
      <w:lvlText w:val="•"/>
      <w:rPr>
        <w:color w:val="3370ff"/>
      </w:rPr>
    </w:lvl>
  </w:abstractNum>
  <w:abstractNum w:abstractNumId="3568334">
    <w:lvl>
      <w:numFmt w:val="bullet"/>
      <w:suff w:val="tab"/>
      <w:lvlText w:val="•"/>
      <w:rPr>
        <w:color w:val="3370ff"/>
      </w:rPr>
    </w:lvl>
  </w:abstractNum>
  <w:abstractNum w:abstractNumId="3568335">
    <w:lvl>
      <w:numFmt w:val="bullet"/>
      <w:suff w:val="tab"/>
      <w:lvlText w:val="•"/>
      <w:rPr>
        <w:color w:val="3370ff"/>
      </w:rPr>
    </w:lvl>
  </w:abstractNum>
  <w:abstractNum w:abstractNumId="3568336">
    <w:lvl>
      <w:numFmt w:val="bullet"/>
      <w:suff w:val="tab"/>
      <w:lvlText w:val="•"/>
      <w:rPr>
        <w:color w:val="3370ff"/>
      </w:rPr>
    </w:lvl>
  </w:abstractNum>
  <w:abstractNum w:abstractNumId="3568337">
    <w:lvl>
      <w:numFmt w:val="bullet"/>
      <w:suff w:val="tab"/>
      <w:lvlText w:val="•"/>
      <w:rPr>
        <w:color w:val="3370ff"/>
      </w:rPr>
    </w:lvl>
  </w:abstractNum>
  <w:abstractNum w:abstractNumId="3568338">
    <w:lvl>
      <w:numFmt w:val="bullet"/>
      <w:suff w:val="tab"/>
      <w:lvlText w:val="•"/>
      <w:rPr>
        <w:color w:val="3370ff"/>
      </w:rPr>
    </w:lvl>
  </w:abstractNum>
  <w:abstractNum w:abstractNumId="3568339">
    <w:lvl>
      <w:numFmt w:val="bullet"/>
      <w:suff w:val="tab"/>
      <w:lvlText w:val="•"/>
      <w:rPr>
        <w:color w:val="3370ff"/>
      </w:rPr>
    </w:lvl>
  </w:abstractNum>
  <w:abstractNum w:abstractNumId="3568340">
    <w:lvl>
      <w:numFmt w:val="bullet"/>
      <w:suff w:val="tab"/>
      <w:lvlText w:val="•"/>
      <w:rPr>
        <w:color w:val="3370ff"/>
      </w:rPr>
    </w:lvl>
  </w:abstractNum>
  <w:abstractNum w:abstractNumId="3568341">
    <w:lvl>
      <w:numFmt w:val="bullet"/>
      <w:suff w:val="tab"/>
      <w:lvlText w:val="•"/>
      <w:rPr>
        <w:color w:val="3370ff"/>
      </w:rPr>
    </w:lvl>
  </w:abstractNum>
  <w:abstractNum w:abstractNumId="3568342">
    <w:lvl>
      <w:numFmt w:val="bullet"/>
      <w:suff w:val="tab"/>
      <w:lvlText w:val="•"/>
      <w:rPr>
        <w:color w:val="3370ff"/>
      </w:rPr>
    </w:lvl>
  </w:abstractNum>
  <w:abstractNum w:abstractNumId="3568343">
    <w:lvl>
      <w:numFmt w:val="bullet"/>
      <w:suff w:val="tab"/>
      <w:lvlText w:val="•"/>
      <w:rPr>
        <w:color w:val="3370ff"/>
      </w:rPr>
    </w:lvl>
  </w:abstractNum>
  <w:abstractNum w:abstractNumId="3568344">
    <w:lvl>
      <w:numFmt w:val="bullet"/>
      <w:suff w:val="tab"/>
      <w:lvlText w:val="•"/>
      <w:rPr>
        <w:color w:val="3370ff"/>
      </w:rPr>
    </w:lvl>
  </w:abstractNum>
  <w:abstractNum w:abstractNumId="3568345">
    <w:lvl>
      <w:numFmt w:val="bullet"/>
      <w:suff w:val="tab"/>
      <w:lvlText w:val="•"/>
      <w:rPr>
        <w:color w:val="3370ff"/>
      </w:rPr>
    </w:lvl>
  </w:abstractNum>
  <w:abstractNum w:abstractNumId="3568346">
    <w:lvl>
      <w:numFmt w:val="bullet"/>
      <w:suff w:val="tab"/>
      <w:lvlText w:val="•"/>
      <w:rPr>
        <w:color w:val="3370ff"/>
      </w:rPr>
    </w:lvl>
  </w:abstractNum>
  <w:abstractNum w:abstractNumId="3568347">
    <w:lvl>
      <w:numFmt w:val="bullet"/>
      <w:suff w:val="tab"/>
      <w:lvlText w:val="•"/>
      <w:rPr>
        <w:color w:val="3370ff"/>
      </w:rPr>
    </w:lvl>
  </w:abstractNum>
  <w:abstractNum w:abstractNumId="3568348">
    <w:lvl>
      <w:numFmt w:val="bullet"/>
      <w:suff w:val="tab"/>
      <w:lvlText w:val="•"/>
      <w:rPr>
        <w:color w:val="3370ff"/>
      </w:rPr>
    </w:lvl>
  </w:abstractNum>
  <w:abstractNum w:abstractNumId="3568349">
    <w:lvl>
      <w:numFmt w:val="bullet"/>
      <w:suff w:val="tab"/>
      <w:lvlText w:val="￮"/>
      <w:rPr>
        <w:color w:val="3370ff"/>
      </w:rPr>
    </w:lvl>
  </w:abstractNum>
  <w:abstractNum w:abstractNumId="3568350">
    <w:lvl>
      <w:numFmt w:val="bullet"/>
      <w:suff w:val="tab"/>
      <w:lvlText w:val="▪"/>
      <w:rPr>
        <w:color w:val="3370ff"/>
        <w:sz w:val="11"/>
      </w:rPr>
    </w:lvl>
  </w:abstractNum>
  <w:abstractNum w:abstractNumId="3568351">
    <w:lvl>
      <w:numFmt w:val="bullet"/>
      <w:suff w:val="tab"/>
      <w:lvlText w:val="▪"/>
      <w:rPr>
        <w:color w:val="3370ff"/>
        <w:sz w:val="11"/>
      </w:rPr>
    </w:lvl>
  </w:abstractNum>
  <w:abstractNum w:abstractNumId="3568352">
    <w:lvl>
      <w:numFmt w:val="bullet"/>
      <w:suff w:val="tab"/>
      <w:lvlText w:val="￮"/>
      <w:rPr>
        <w:color w:val="3370ff"/>
      </w:rPr>
    </w:lvl>
  </w:abstractNum>
  <w:abstractNum w:abstractNumId="3568353">
    <w:lvl>
      <w:numFmt w:val="bullet"/>
      <w:suff w:val="tab"/>
      <w:lvlText w:val="▪"/>
      <w:rPr>
        <w:color w:val="3370ff"/>
        <w:sz w:val="11"/>
      </w:rPr>
    </w:lvl>
  </w:abstractNum>
  <w:abstractNum w:abstractNumId="3568354">
    <w:lvl>
      <w:numFmt w:val="bullet"/>
      <w:suff w:val="tab"/>
      <w:lvlText w:val="▪"/>
      <w:rPr>
        <w:color w:val="3370ff"/>
        <w:sz w:val="11"/>
      </w:rPr>
    </w:lvl>
  </w:abstractNum>
  <w:abstractNum w:abstractNumId="3568355">
    <w:lvl>
      <w:numFmt w:val="bullet"/>
      <w:suff w:val="tab"/>
      <w:lvlText w:val="•"/>
      <w:rPr>
        <w:color w:val="3370ff"/>
      </w:rPr>
    </w:lvl>
  </w:abstractNum>
  <w:abstractNum w:abstractNumId="3568356">
    <w:lvl>
      <w:numFmt w:val="bullet"/>
      <w:suff w:val="tab"/>
      <w:lvlText w:val="￮"/>
      <w:rPr>
        <w:color w:val="3370ff"/>
      </w:rPr>
    </w:lvl>
  </w:abstractNum>
  <w:abstractNum w:abstractNumId="3568357">
    <w:lvl>
      <w:numFmt w:val="bullet"/>
      <w:suff w:val="tab"/>
      <w:lvlText w:val="▪"/>
      <w:rPr>
        <w:color w:val="3370ff"/>
        <w:sz w:val="11"/>
      </w:rPr>
    </w:lvl>
  </w:abstractNum>
  <w:abstractNum w:abstractNumId="3568358">
    <w:lvl>
      <w:numFmt w:val="bullet"/>
      <w:suff w:val="tab"/>
      <w:lvlText w:val="▪"/>
      <w:rPr>
        <w:color w:val="3370ff"/>
        <w:sz w:val="11"/>
      </w:rPr>
    </w:lvl>
  </w:abstractNum>
  <w:abstractNum w:abstractNumId="3568359">
    <w:lvl>
      <w:numFmt w:val="bullet"/>
      <w:suff w:val="tab"/>
      <w:lvlText w:val="▪"/>
      <w:rPr>
        <w:color w:val="3370ff"/>
        <w:sz w:val="11"/>
      </w:rPr>
    </w:lvl>
  </w:abstractNum>
  <w:abstractNum w:abstractNumId="3568360">
    <w:lvl>
      <w:numFmt w:val="bullet"/>
      <w:suff w:val="tab"/>
      <w:lvlText w:val="￮"/>
      <w:rPr>
        <w:color w:val="3370ff"/>
      </w:rPr>
    </w:lvl>
  </w:abstractNum>
  <w:abstractNum w:abstractNumId="3568361">
    <w:lvl>
      <w:numFmt w:val="bullet"/>
      <w:suff w:val="tab"/>
      <w:lvlText w:val="▪"/>
      <w:rPr>
        <w:color w:val="3370ff"/>
        <w:sz w:val="11"/>
      </w:rPr>
    </w:lvl>
  </w:abstractNum>
  <w:abstractNum w:abstractNumId="3568362">
    <w:lvl>
      <w:numFmt w:val="bullet"/>
      <w:suff w:val="tab"/>
      <w:lvlText w:val="▪"/>
      <w:rPr>
        <w:color w:val="3370ff"/>
        <w:sz w:val="11"/>
      </w:rPr>
    </w:lvl>
  </w:abstractNum>
  <w:abstractNum w:abstractNumId="3568363">
    <w:lvl>
      <w:numFmt w:val="bullet"/>
      <w:suff w:val="tab"/>
      <w:lvlText w:val="•"/>
      <w:rPr>
        <w:color w:val="3370ff"/>
      </w:rPr>
    </w:lvl>
  </w:abstractNum>
  <w:abstractNum w:abstractNumId="3568364">
    <w:lvl>
      <w:numFmt w:val="bullet"/>
      <w:suff w:val="tab"/>
      <w:lvlText w:val="￮"/>
      <w:rPr>
        <w:color w:val="3370ff"/>
      </w:rPr>
    </w:lvl>
  </w:abstractNum>
  <w:abstractNum w:abstractNumId="3568365">
    <w:lvl>
      <w:numFmt w:val="bullet"/>
      <w:suff w:val="tab"/>
      <w:lvlText w:val="▪"/>
      <w:rPr>
        <w:color w:val="3370ff"/>
        <w:sz w:val="11"/>
      </w:rPr>
    </w:lvl>
  </w:abstractNum>
  <w:abstractNum w:abstractNumId="3568366">
    <w:lvl>
      <w:numFmt w:val="bullet"/>
      <w:suff w:val="tab"/>
      <w:lvlText w:val="▪"/>
      <w:rPr>
        <w:color w:val="3370ff"/>
        <w:sz w:val="11"/>
      </w:rPr>
    </w:lvl>
  </w:abstractNum>
  <w:abstractNum w:abstractNumId="3568367">
    <w:lvl>
      <w:numFmt w:val="bullet"/>
      <w:suff w:val="tab"/>
      <w:lvlText w:val="▪"/>
      <w:rPr>
        <w:color w:val="3370ff"/>
        <w:sz w:val="11"/>
      </w:rPr>
    </w:lvl>
  </w:abstractNum>
  <w:abstractNum w:abstractNumId="3568368">
    <w:lvl>
      <w:numFmt w:val="bullet"/>
      <w:suff w:val="tab"/>
      <w:lvlText w:val="￮"/>
      <w:rPr>
        <w:color w:val="3370ff"/>
      </w:rPr>
    </w:lvl>
  </w:abstractNum>
  <w:abstractNum w:abstractNumId="3568369">
    <w:lvl>
      <w:numFmt w:val="bullet"/>
      <w:suff w:val="tab"/>
      <w:lvlText w:val="▪"/>
      <w:rPr>
        <w:color w:val="3370ff"/>
        <w:sz w:val="11"/>
      </w:rPr>
    </w:lvl>
  </w:abstractNum>
  <w:abstractNum w:abstractNumId="3568370">
    <w:lvl>
      <w:numFmt w:val="bullet"/>
      <w:suff w:val="tab"/>
      <w:lvlText w:val="▪"/>
      <w:rPr>
        <w:color w:val="3370ff"/>
        <w:sz w:val="11"/>
      </w:rPr>
    </w:lvl>
  </w:abstractNum>
  <w:abstractNum w:abstractNumId="3568371">
    <w:lvl>
      <w:numFmt w:val="bullet"/>
      <w:suff w:val="tab"/>
      <w:lvlText w:val="•"/>
      <w:rPr>
        <w:color w:val="3370ff"/>
      </w:rPr>
    </w:lvl>
  </w:abstractNum>
  <w:abstractNum w:abstractNumId="3568372">
    <w:lvl>
      <w:numFmt w:val="bullet"/>
      <w:suff w:val="tab"/>
      <w:lvlText w:val="•"/>
      <w:rPr>
        <w:color w:val="3370ff"/>
      </w:rPr>
    </w:lvl>
  </w:abstractNum>
  <w:abstractNum w:abstractNumId="3568373">
    <w:lvl>
      <w:numFmt w:val="bullet"/>
      <w:suff w:val="tab"/>
      <w:lvlText w:val="•"/>
      <w:rPr>
        <w:color w:val="3370ff"/>
      </w:rPr>
    </w:lvl>
  </w:abstractNum>
  <w:abstractNum w:abstractNumId="3568374">
    <w:lvl>
      <w:numFmt w:val="bullet"/>
      <w:suff w:val="tab"/>
      <w:lvlText w:val="￮"/>
      <w:rPr>
        <w:color w:val="3370ff"/>
      </w:rPr>
    </w:lvl>
  </w:abstractNum>
  <w:abstractNum w:abstractNumId="3568375">
    <w:lvl>
      <w:numFmt w:val="bullet"/>
      <w:suff w:val="tab"/>
      <w:lvlText w:val="￮"/>
      <w:rPr>
        <w:color w:val="3370ff"/>
      </w:rPr>
    </w:lvl>
  </w:abstractNum>
  <w:abstractNum w:abstractNumId="3568376">
    <w:lvl>
      <w:numFmt w:val="bullet"/>
      <w:suff w:val="tab"/>
      <w:lvlText w:val="•"/>
      <w:rPr>
        <w:color w:val="3370ff"/>
      </w:rPr>
    </w:lvl>
  </w:abstractNum>
  <w:abstractNum w:abstractNumId="3568377">
    <w:lvl>
      <w:numFmt w:val="bullet"/>
      <w:suff w:val="tab"/>
      <w:lvlText w:val="•"/>
      <w:rPr>
        <w:color w:val="3370ff"/>
      </w:rPr>
    </w:lvl>
  </w:abstractNum>
  <w:abstractNum w:abstractNumId="3568378">
    <w:lvl>
      <w:numFmt w:val="bullet"/>
      <w:suff w:val="tab"/>
      <w:lvlText w:val="•"/>
      <w:rPr>
        <w:color w:val="3370ff"/>
      </w:rPr>
    </w:lvl>
  </w:abstractNum>
  <w:abstractNum w:abstractNumId="3568379">
    <w:lvl>
      <w:numFmt w:val="bullet"/>
      <w:suff w:val="tab"/>
      <w:lvlText w:val="•"/>
      <w:rPr>
        <w:color w:val="3370ff"/>
      </w:rPr>
    </w:lvl>
  </w:abstractNum>
  <w:abstractNum w:abstractNumId="3568380">
    <w:lvl>
      <w:numFmt w:val="bullet"/>
      <w:suff w:val="tab"/>
      <w:lvlText w:val="•"/>
      <w:rPr>
        <w:color w:val="3370ff"/>
      </w:rPr>
    </w:lvl>
  </w:abstractNum>
  <w:abstractNum w:abstractNumId="3568381">
    <w:lvl>
      <w:numFmt w:val="bullet"/>
      <w:suff w:val="tab"/>
      <w:lvlText w:val="•"/>
      <w:rPr>
        <w:color w:val="3370ff"/>
      </w:rPr>
    </w:lvl>
  </w:abstractNum>
  <w:abstractNum w:abstractNumId="3568382">
    <w:lvl>
      <w:numFmt w:val="bullet"/>
      <w:suff w:val="tab"/>
      <w:lvlText w:val="•"/>
      <w:rPr>
        <w:color w:val="3370ff"/>
      </w:rPr>
    </w:lvl>
  </w:abstractNum>
  <w:abstractNum w:abstractNumId="3568383">
    <w:lvl>
      <w:numFmt w:val="bullet"/>
      <w:suff w:val="tab"/>
      <w:lvlText w:val="•"/>
      <w:rPr>
        <w:color w:val="3370ff"/>
      </w:rPr>
    </w:lvl>
  </w:abstractNum>
  <w:abstractNum w:abstractNumId="3568384">
    <w:lvl>
      <w:numFmt w:val="bullet"/>
      <w:suff w:val="tab"/>
      <w:lvlText w:val="•"/>
      <w:rPr>
        <w:color w:val="3370ff"/>
      </w:rPr>
    </w:lvl>
  </w:abstractNum>
  <w:abstractNum w:abstractNumId="3568385">
    <w:lvl>
      <w:numFmt w:val="bullet"/>
      <w:suff w:val="tab"/>
      <w:lvlText w:val="•"/>
      <w:rPr>
        <w:color w:val="3370ff"/>
      </w:rPr>
    </w:lvl>
  </w:abstractNum>
  <w:abstractNum w:abstractNumId="3568386">
    <w:lvl>
      <w:numFmt w:val="bullet"/>
      <w:suff w:val="tab"/>
      <w:lvlText w:val="•"/>
      <w:rPr>
        <w:color w:val="3370ff"/>
      </w:rPr>
    </w:lvl>
  </w:abstractNum>
  <w:abstractNum w:abstractNumId="3568387">
    <w:lvl>
      <w:numFmt w:val="bullet"/>
      <w:suff w:val="tab"/>
      <w:lvlText w:val="•"/>
      <w:rPr>
        <w:color w:val="3370ff"/>
      </w:rPr>
    </w:lvl>
  </w:abstractNum>
  <w:abstractNum w:abstractNumId="3568388">
    <w:lvl>
      <w:numFmt w:val="bullet"/>
      <w:suff w:val="tab"/>
      <w:lvlText w:val="•"/>
      <w:rPr>
        <w:color w:val="3370ff"/>
      </w:rPr>
    </w:lvl>
  </w:abstractNum>
  <w:abstractNum w:abstractNumId="3568389">
    <w:lvl>
      <w:numFmt w:val="bullet"/>
      <w:suff w:val="tab"/>
      <w:lvlText w:val="•"/>
      <w:rPr>
        <w:color w:val="3370ff"/>
      </w:rPr>
    </w:lvl>
  </w:abstractNum>
  <w:abstractNum w:abstractNumId="3568390">
    <w:lvl>
      <w:numFmt w:val="bullet"/>
      <w:suff w:val="tab"/>
      <w:lvlText w:val="•"/>
      <w:rPr>
        <w:color w:val="3370ff"/>
      </w:rPr>
    </w:lvl>
  </w:abstractNum>
  <w:abstractNum w:abstractNumId="3568391">
    <w:lvl>
      <w:numFmt w:val="bullet"/>
      <w:suff w:val="tab"/>
      <w:lvlText w:val="•"/>
      <w:rPr>
        <w:color w:val="3370ff"/>
      </w:rPr>
    </w:lvl>
  </w:abstractNum>
  <w:abstractNum w:abstractNumId="3568392">
    <w:lvl>
      <w:numFmt w:val="bullet"/>
      <w:suff w:val="tab"/>
      <w:lvlText w:val="•"/>
      <w:rPr>
        <w:color w:val="3370ff"/>
      </w:rPr>
    </w:lvl>
  </w:abstractNum>
  <w:abstractNum w:abstractNumId="3568393">
    <w:lvl>
      <w:numFmt w:val="bullet"/>
      <w:suff w:val="tab"/>
      <w:lvlText w:val="•"/>
      <w:rPr>
        <w:color w:val="3370ff"/>
      </w:rPr>
    </w:lvl>
  </w:abstractNum>
  <w:abstractNum w:abstractNumId="3568394">
    <w:lvl>
      <w:numFmt w:val="bullet"/>
      <w:suff w:val="tab"/>
      <w:lvlText w:val="•"/>
      <w:rPr>
        <w:color w:val="3370ff"/>
      </w:rPr>
    </w:lvl>
  </w:abstractNum>
  <w:abstractNum w:abstractNumId="3568395">
    <w:lvl>
      <w:numFmt w:val="bullet"/>
      <w:suff w:val="tab"/>
      <w:lvlText w:val="•"/>
      <w:rPr>
        <w:color w:val="3370ff"/>
      </w:rPr>
    </w:lvl>
  </w:abstractNum>
  <w:abstractNum w:abstractNumId="3568396">
    <w:lvl>
      <w:numFmt w:val="bullet"/>
      <w:suff w:val="tab"/>
      <w:lvlText w:val="•"/>
      <w:rPr>
        <w:color w:val="3370ff"/>
      </w:rPr>
    </w:lvl>
  </w:abstractNum>
  <w:abstractNum w:abstractNumId="3568397">
    <w:lvl>
      <w:numFmt w:val="bullet"/>
      <w:suff w:val="tab"/>
      <w:lvlText w:val="•"/>
      <w:rPr>
        <w:color w:val="3370ff"/>
      </w:rPr>
    </w:lvl>
  </w:abstractNum>
  <w:abstractNum w:abstractNumId="3568398">
    <w:lvl>
      <w:numFmt w:val="bullet"/>
      <w:suff w:val="tab"/>
      <w:lvlText w:val="•"/>
      <w:rPr>
        <w:color w:val="3370ff"/>
      </w:rPr>
    </w:lvl>
  </w:abstractNum>
  <w:abstractNum w:abstractNumId="3568399">
    <w:lvl>
      <w:numFmt w:val="bullet"/>
      <w:suff w:val="tab"/>
      <w:lvlText w:val="•"/>
      <w:rPr>
        <w:color w:val="3370ff"/>
      </w:rPr>
    </w:lvl>
  </w:abstractNum>
  <w:abstractNum w:abstractNumId="3568400">
    <w:lvl>
      <w:numFmt w:val="bullet"/>
      <w:suff w:val="tab"/>
      <w:lvlText w:val="•"/>
      <w:rPr>
        <w:color w:val="3370ff"/>
      </w:rPr>
    </w:lvl>
  </w:abstractNum>
  <w:abstractNum w:abstractNumId="3568401">
    <w:lvl>
      <w:numFmt w:val="bullet"/>
      <w:suff w:val="tab"/>
      <w:lvlText w:val="•"/>
      <w:rPr>
        <w:color w:val="3370ff"/>
      </w:rPr>
    </w:lvl>
  </w:abstractNum>
  <w:abstractNum w:abstractNumId="3568402">
    <w:lvl>
      <w:numFmt w:val="bullet"/>
      <w:suff w:val="tab"/>
      <w:lvlText w:val="•"/>
      <w:rPr>
        <w:color w:val="3370ff"/>
      </w:rPr>
    </w:lvl>
  </w:abstractNum>
  <w:abstractNum w:abstractNumId="3568403">
    <w:lvl>
      <w:numFmt w:val="bullet"/>
      <w:suff w:val="tab"/>
      <w:lvlText w:val="•"/>
      <w:rPr>
        <w:color w:val="3370ff"/>
      </w:rPr>
    </w:lvl>
  </w:abstractNum>
  <w:abstractNum w:abstractNumId="3568404">
    <w:lvl>
      <w:numFmt w:val="bullet"/>
      <w:suff w:val="tab"/>
      <w:lvlText w:val="•"/>
      <w:rPr>
        <w:color w:val="3370ff"/>
      </w:rPr>
    </w:lvl>
  </w:abstractNum>
  <w:abstractNum w:abstractNumId="3568405">
    <w:lvl>
      <w:numFmt w:val="bullet"/>
      <w:suff w:val="tab"/>
      <w:lvlText w:val="•"/>
      <w:rPr>
        <w:color w:val="3370ff"/>
      </w:rPr>
    </w:lvl>
  </w:abstractNum>
  <w:abstractNum w:abstractNumId="3568406">
    <w:lvl>
      <w:numFmt w:val="bullet"/>
      <w:suff w:val="tab"/>
      <w:lvlText w:val="•"/>
      <w:rPr>
        <w:color w:val="3370ff"/>
      </w:rPr>
    </w:lvl>
  </w:abstractNum>
  <w:abstractNum w:abstractNumId="3568407">
    <w:lvl>
      <w:numFmt w:val="bullet"/>
      <w:suff w:val="tab"/>
      <w:lvlText w:val="•"/>
      <w:rPr>
        <w:color w:val="3370ff"/>
      </w:rPr>
    </w:lvl>
  </w:abstractNum>
  <w:abstractNum w:abstractNumId="3568408">
    <w:lvl>
      <w:numFmt w:val="bullet"/>
      <w:suff w:val="tab"/>
      <w:lvlText w:val="•"/>
      <w:rPr>
        <w:color w:val="3370ff"/>
      </w:rPr>
    </w:lvl>
  </w:abstractNum>
  <w:abstractNum w:abstractNumId="3568409">
    <w:lvl>
      <w:numFmt w:val="bullet"/>
      <w:suff w:val="tab"/>
      <w:lvlText w:val="•"/>
      <w:rPr>
        <w:color w:val="3370ff"/>
      </w:rPr>
    </w:lvl>
  </w:abstractNum>
  <w:abstractNum w:abstractNumId="3568410">
    <w:lvl>
      <w:numFmt w:val="bullet"/>
      <w:suff w:val="tab"/>
      <w:lvlText w:val="•"/>
      <w:rPr>
        <w:color w:val="3370ff"/>
      </w:rPr>
    </w:lvl>
  </w:abstractNum>
  <w:abstractNum w:abstractNumId="3568411">
    <w:lvl>
      <w:numFmt w:val="bullet"/>
      <w:suff w:val="tab"/>
      <w:lvlText w:val="•"/>
      <w:rPr>
        <w:color w:val="3370ff"/>
      </w:rPr>
    </w:lvl>
  </w:abstractNum>
  <w:abstractNum w:abstractNumId="3568412">
    <w:lvl>
      <w:numFmt w:val="bullet"/>
      <w:suff w:val="tab"/>
      <w:lvlText w:val="•"/>
      <w:rPr>
        <w:color w:val="3370ff"/>
      </w:rPr>
    </w:lvl>
  </w:abstractNum>
  <w:abstractNum w:abstractNumId="3568413">
    <w:lvl>
      <w:numFmt w:val="bullet"/>
      <w:suff w:val="tab"/>
      <w:lvlText w:val="•"/>
      <w:rPr>
        <w:color w:val="3370ff"/>
      </w:rPr>
    </w:lvl>
  </w:abstractNum>
  <w:abstractNum w:abstractNumId="3568414">
    <w:lvl>
      <w:numFmt w:val="bullet"/>
      <w:suff w:val="tab"/>
      <w:lvlText w:val="•"/>
      <w:rPr>
        <w:color w:val="3370ff"/>
      </w:rPr>
    </w:lvl>
  </w:abstractNum>
  <w:abstractNum w:abstractNumId="3568415">
    <w:lvl>
      <w:numFmt w:val="bullet"/>
      <w:suff w:val="tab"/>
      <w:lvlText w:val="•"/>
      <w:rPr>
        <w:color w:val="3370ff"/>
      </w:rPr>
    </w:lvl>
  </w:abstractNum>
  <w:abstractNum w:abstractNumId="3568416">
    <w:lvl>
      <w:numFmt w:val="bullet"/>
      <w:suff w:val="tab"/>
      <w:lvlText w:val="•"/>
      <w:rPr>
        <w:color w:val="3370ff"/>
      </w:rPr>
    </w:lvl>
  </w:abstractNum>
  <w:abstractNum w:abstractNumId="3568417">
    <w:lvl>
      <w:numFmt w:val="bullet"/>
      <w:suff w:val="tab"/>
      <w:lvlText w:val="•"/>
      <w:rPr>
        <w:color w:val="3370ff"/>
      </w:rPr>
    </w:lvl>
  </w:abstractNum>
  <w:abstractNum w:abstractNumId="3568418">
    <w:lvl>
      <w:numFmt w:val="bullet"/>
      <w:suff w:val="tab"/>
      <w:lvlText w:val="•"/>
      <w:rPr>
        <w:color w:val="3370ff"/>
      </w:rPr>
    </w:lvl>
  </w:abstractNum>
  <w:abstractNum w:abstractNumId="3568419">
    <w:lvl>
      <w:numFmt w:val="bullet"/>
      <w:suff w:val="tab"/>
      <w:lvlText w:val="•"/>
      <w:rPr>
        <w:color w:val="3370ff"/>
      </w:rPr>
    </w:lvl>
  </w:abstractNum>
  <w:abstractNum w:abstractNumId="3568420">
    <w:lvl>
      <w:numFmt w:val="bullet"/>
      <w:suff w:val="tab"/>
      <w:lvlText w:val="•"/>
      <w:rPr>
        <w:color w:val="3370ff"/>
      </w:rPr>
    </w:lvl>
  </w:abstractNum>
  <w:abstractNum w:abstractNumId="3568421">
    <w:lvl>
      <w:numFmt w:val="bullet"/>
      <w:suff w:val="tab"/>
      <w:lvlText w:val="•"/>
      <w:rPr>
        <w:color w:val="3370ff"/>
      </w:rPr>
    </w:lvl>
  </w:abstractNum>
  <w:abstractNum w:abstractNumId="3568422">
    <w:lvl>
      <w:numFmt w:val="bullet"/>
      <w:suff w:val="tab"/>
      <w:lvlText w:val="•"/>
      <w:rPr>
        <w:color w:val="3370ff"/>
      </w:rPr>
    </w:lvl>
  </w:abstractNum>
  <w:abstractNum w:abstractNumId="3568423">
    <w:lvl>
      <w:numFmt w:val="bullet"/>
      <w:suff w:val="tab"/>
      <w:lvlText w:val="•"/>
      <w:rPr>
        <w:color w:val="3370ff"/>
      </w:rPr>
    </w:lvl>
  </w:abstractNum>
  <w:abstractNum w:abstractNumId="3568424">
    <w:lvl>
      <w:numFmt w:val="bullet"/>
      <w:suff w:val="tab"/>
      <w:lvlText w:val="•"/>
      <w:rPr>
        <w:color w:val="3370ff"/>
      </w:rPr>
    </w:lvl>
  </w:abstractNum>
  <w:abstractNum w:abstractNumId="3568425">
    <w:lvl>
      <w:numFmt w:val="bullet"/>
      <w:suff w:val="tab"/>
      <w:lvlText w:val="•"/>
      <w:rPr>
        <w:color w:val="3370ff"/>
      </w:rPr>
    </w:lvl>
  </w:abstractNum>
  <w:abstractNum w:abstractNumId="3568426">
    <w:lvl>
      <w:numFmt w:val="bullet"/>
      <w:suff w:val="tab"/>
      <w:lvlText w:val="•"/>
      <w:rPr>
        <w:color w:val="3370ff"/>
      </w:rPr>
    </w:lvl>
  </w:abstractNum>
  <w:abstractNum w:abstractNumId="3568427">
    <w:lvl>
      <w:numFmt w:val="bullet"/>
      <w:suff w:val="tab"/>
      <w:lvlText w:val="•"/>
      <w:rPr>
        <w:color w:val="3370ff"/>
      </w:rPr>
    </w:lvl>
  </w:abstractNum>
  <w:abstractNum w:abstractNumId="3568428">
    <w:lvl>
      <w:numFmt w:val="bullet"/>
      <w:suff w:val="tab"/>
      <w:lvlText w:val="•"/>
      <w:rPr>
        <w:color w:val="3370ff"/>
      </w:rPr>
    </w:lvl>
  </w:abstractNum>
  <w:abstractNum w:abstractNumId="3568429">
    <w:lvl>
      <w:numFmt w:val="bullet"/>
      <w:suff w:val="tab"/>
      <w:lvlText w:val="•"/>
      <w:rPr>
        <w:color w:val="3370ff"/>
      </w:rPr>
    </w:lvl>
  </w:abstractNum>
  <w:abstractNum w:abstractNumId="3568430">
    <w:lvl>
      <w:numFmt w:val="bullet"/>
      <w:suff w:val="tab"/>
      <w:lvlText w:val="•"/>
      <w:rPr>
        <w:color w:val="3370ff"/>
      </w:rPr>
    </w:lvl>
  </w:abstractNum>
  <w:abstractNum w:abstractNumId="3568431">
    <w:lvl>
      <w:numFmt w:val="bullet"/>
      <w:suff w:val="tab"/>
      <w:lvlText w:val="•"/>
      <w:rPr>
        <w:color w:val="3370ff"/>
      </w:rPr>
    </w:lvl>
  </w:abstractNum>
  <w:abstractNum w:abstractNumId="3568432">
    <w:lvl>
      <w:numFmt w:val="bullet"/>
      <w:suff w:val="tab"/>
      <w:lvlText w:val="•"/>
      <w:rPr>
        <w:color w:val="3370ff"/>
      </w:rPr>
    </w:lvl>
  </w:abstractNum>
  <w:abstractNum w:abstractNumId="3568433">
    <w:lvl>
      <w:numFmt w:val="bullet"/>
      <w:suff w:val="tab"/>
      <w:lvlText w:val="•"/>
      <w:rPr>
        <w:color w:val="3370ff"/>
      </w:rPr>
    </w:lvl>
  </w:abstractNum>
  <w:abstractNum w:abstractNumId="3568434">
    <w:lvl>
      <w:numFmt w:val="bullet"/>
      <w:suff w:val="tab"/>
      <w:lvlText w:val="•"/>
      <w:rPr>
        <w:color w:val="3370ff"/>
      </w:rPr>
    </w:lvl>
  </w:abstractNum>
  <w:abstractNum w:abstractNumId="3568435">
    <w:lvl>
      <w:numFmt w:val="bullet"/>
      <w:suff w:val="tab"/>
      <w:lvlText w:val="•"/>
      <w:rPr>
        <w:color w:val="3370ff"/>
      </w:rPr>
    </w:lvl>
  </w:abstractNum>
  <w:abstractNum w:abstractNumId="3568436">
    <w:lvl>
      <w:numFmt w:val="bullet"/>
      <w:suff w:val="tab"/>
      <w:lvlText w:val="•"/>
      <w:rPr>
        <w:color w:val="3370ff"/>
      </w:rPr>
    </w:lvl>
  </w:abstractNum>
  <w:abstractNum w:abstractNumId="3568437">
    <w:lvl>
      <w:numFmt w:val="bullet"/>
      <w:suff w:val="tab"/>
      <w:lvlText w:val="•"/>
      <w:rPr>
        <w:color w:val="3370ff"/>
      </w:rPr>
    </w:lvl>
  </w:abstractNum>
  <w:abstractNum w:abstractNumId="3568438">
    <w:lvl>
      <w:numFmt w:val="bullet"/>
      <w:suff w:val="tab"/>
      <w:lvlText w:val="￮"/>
      <w:rPr>
        <w:color w:val="3370ff"/>
      </w:rPr>
    </w:lvl>
  </w:abstractNum>
  <w:abstractNum w:abstractNumId="3568439">
    <w:lvl>
      <w:numFmt w:val="bullet"/>
      <w:suff w:val="tab"/>
      <w:lvlText w:val="▪"/>
      <w:rPr>
        <w:color w:val="3370ff"/>
        <w:sz w:val="11"/>
      </w:rPr>
    </w:lvl>
  </w:abstractNum>
  <w:abstractNum w:abstractNumId="3568440">
    <w:lvl>
      <w:numFmt w:val="bullet"/>
      <w:suff w:val="tab"/>
      <w:lvlText w:val="▪"/>
      <w:rPr>
        <w:color w:val="3370ff"/>
        <w:sz w:val="11"/>
      </w:rPr>
    </w:lvl>
  </w:abstractNum>
  <w:abstractNum w:abstractNumId="3568441">
    <w:lvl>
      <w:numFmt w:val="bullet"/>
      <w:suff w:val="tab"/>
      <w:lvlText w:val="￮"/>
      <w:rPr>
        <w:color w:val="3370ff"/>
      </w:rPr>
    </w:lvl>
  </w:abstractNum>
  <w:abstractNum w:abstractNumId="3568442">
    <w:lvl>
      <w:numFmt w:val="bullet"/>
      <w:suff w:val="tab"/>
      <w:lvlText w:val="▪"/>
      <w:rPr>
        <w:color w:val="3370ff"/>
        <w:sz w:val="11"/>
      </w:rPr>
    </w:lvl>
  </w:abstractNum>
  <w:abstractNum w:abstractNumId="3568443">
    <w:lvl>
      <w:numFmt w:val="bullet"/>
      <w:suff w:val="tab"/>
      <w:lvlText w:val="▪"/>
      <w:rPr>
        <w:color w:val="3370ff"/>
        <w:sz w:val="11"/>
      </w:rPr>
    </w:lvl>
  </w:abstractNum>
  <w:abstractNum w:abstractNumId="3568444">
    <w:lvl>
      <w:numFmt w:val="bullet"/>
      <w:suff w:val="tab"/>
      <w:lvlText w:val="•"/>
      <w:rPr>
        <w:color w:val="3370ff"/>
      </w:rPr>
    </w:lvl>
  </w:abstractNum>
  <w:abstractNum w:abstractNumId="3568445">
    <w:lvl>
      <w:numFmt w:val="bullet"/>
      <w:suff w:val="tab"/>
      <w:lvlText w:val="￮"/>
      <w:rPr>
        <w:color w:val="3370ff"/>
      </w:rPr>
    </w:lvl>
  </w:abstractNum>
  <w:abstractNum w:abstractNumId="3568446">
    <w:lvl>
      <w:numFmt w:val="bullet"/>
      <w:suff w:val="tab"/>
      <w:lvlText w:val="▪"/>
      <w:rPr>
        <w:color w:val="3370ff"/>
        <w:sz w:val="11"/>
      </w:rPr>
    </w:lvl>
  </w:abstractNum>
  <w:abstractNum w:abstractNumId="3568447">
    <w:lvl>
      <w:numFmt w:val="bullet"/>
      <w:suff w:val="tab"/>
      <w:lvlText w:val="▪"/>
      <w:rPr>
        <w:color w:val="3370ff"/>
        <w:sz w:val="11"/>
      </w:rPr>
    </w:lvl>
  </w:abstractNum>
  <w:abstractNum w:abstractNumId="3568448">
    <w:lvl>
      <w:numFmt w:val="bullet"/>
      <w:suff w:val="tab"/>
      <w:lvlText w:val="▪"/>
      <w:rPr>
        <w:color w:val="3370ff"/>
        <w:sz w:val="11"/>
      </w:rPr>
    </w:lvl>
  </w:abstractNum>
  <w:abstractNum w:abstractNumId="3568449">
    <w:lvl>
      <w:numFmt w:val="bullet"/>
      <w:suff w:val="tab"/>
      <w:lvlText w:val="￮"/>
      <w:rPr>
        <w:color w:val="3370ff"/>
      </w:rPr>
    </w:lvl>
  </w:abstractNum>
  <w:abstractNum w:abstractNumId="3568450">
    <w:lvl>
      <w:numFmt w:val="bullet"/>
      <w:suff w:val="tab"/>
      <w:lvlText w:val="▪"/>
      <w:rPr>
        <w:color w:val="3370ff"/>
        <w:sz w:val="11"/>
      </w:rPr>
    </w:lvl>
  </w:abstractNum>
  <w:abstractNum w:abstractNumId="3568451">
    <w:lvl>
      <w:numFmt w:val="bullet"/>
      <w:suff w:val="tab"/>
      <w:lvlText w:val="▪"/>
      <w:rPr>
        <w:color w:val="3370ff"/>
        <w:sz w:val="11"/>
      </w:rPr>
    </w:lvl>
  </w:abstractNum>
  <w:abstractNum w:abstractNumId="3568452">
    <w:lvl>
      <w:numFmt w:val="bullet"/>
      <w:suff w:val="tab"/>
      <w:lvlText w:val="•"/>
      <w:rPr>
        <w:color w:val="3370ff"/>
      </w:rPr>
    </w:lvl>
  </w:abstractNum>
  <w:abstractNum w:abstractNumId="3568453">
    <w:lvl>
      <w:numFmt w:val="bullet"/>
      <w:suff w:val="tab"/>
      <w:lvlText w:val="￮"/>
      <w:rPr>
        <w:color w:val="3370ff"/>
      </w:rPr>
    </w:lvl>
  </w:abstractNum>
  <w:abstractNum w:abstractNumId="3568454">
    <w:lvl>
      <w:numFmt w:val="bullet"/>
      <w:suff w:val="tab"/>
      <w:lvlText w:val="▪"/>
      <w:rPr>
        <w:color w:val="3370ff"/>
        <w:sz w:val="11"/>
      </w:rPr>
    </w:lvl>
  </w:abstractNum>
  <w:abstractNum w:abstractNumId="3568455">
    <w:lvl>
      <w:numFmt w:val="bullet"/>
      <w:suff w:val="tab"/>
      <w:lvlText w:val="▪"/>
      <w:rPr>
        <w:color w:val="3370ff"/>
        <w:sz w:val="11"/>
      </w:rPr>
    </w:lvl>
  </w:abstractNum>
  <w:abstractNum w:abstractNumId="3568456">
    <w:lvl>
      <w:numFmt w:val="bullet"/>
      <w:suff w:val="tab"/>
      <w:lvlText w:val="￮"/>
      <w:rPr>
        <w:color w:val="3370ff"/>
      </w:rPr>
    </w:lvl>
  </w:abstractNum>
  <w:abstractNum w:abstractNumId="3568457">
    <w:lvl>
      <w:numFmt w:val="bullet"/>
      <w:suff w:val="tab"/>
      <w:lvlText w:val="▪"/>
      <w:rPr>
        <w:color w:val="3370ff"/>
        <w:sz w:val="11"/>
      </w:rPr>
    </w:lvl>
  </w:abstractNum>
  <w:abstractNum w:abstractNumId="3568458">
    <w:lvl>
      <w:numFmt w:val="bullet"/>
      <w:suff w:val="tab"/>
      <w:lvlText w:val="▪"/>
      <w:rPr>
        <w:color w:val="3370ff"/>
        <w:sz w:val="11"/>
      </w:rPr>
    </w:lvl>
  </w:abstractNum>
  <w:abstractNum w:abstractNumId="3568459">
    <w:lvl>
      <w:numFmt w:val="bullet"/>
      <w:suff w:val="tab"/>
      <w:lvlText w:val="•"/>
      <w:rPr>
        <w:color w:val="3370ff"/>
      </w:rPr>
    </w:lvl>
  </w:abstractNum>
  <w:abstractNum w:abstractNumId="3568460">
    <w:lvl>
      <w:numFmt w:val="bullet"/>
      <w:suff w:val="tab"/>
      <w:lvlText w:val="•"/>
      <w:rPr>
        <w:color w:val="3370ff"/>
      </w:rPr>
    </w:lvl>
  </w:abstractNum>
  <w:abstractNum w:abstractNumId="3568461">
    <w:lvl>
      <w:numFmt w:val="bullet"/>
      <w:suff w:val="tab"/>
      <w:lvlText w:val="•"/>
      <w:rPr>
        <w:color w:val="3370ff"/>
      </w:rPr>
    </w:lvl>
  </w:abstractNum>
  <w:abstractNum w:abstractNumId="3568462">
    <w:lvl>
      <w:numFmt w:val="bullet"/>
      <w:suff w:val="tab"/>
      <w:lvlText w:val="￮"/>
      <w:rPr>
        <w:color w:val="3370ff"/>
      </w:rPr>
    </w:lvl>
  </w:abstractNum>
  <w:abstractNum w:abstractNumId="3568463">
    <w:lvl>
      <w:numFmt w:val="bullet"/>
      <w:suff w:val="tab"/>
      <w:lvlText w:val="￮"/>
      <w:rPr>
        <w:color w:val="3370ff"/>
      </w:rPr>
    </w:lvl>
  </w:abstractNum>
  <w:abstractNum w:abstractNumId="3568464">
    <w:lvl>
      <w:numFmt w:val="bullet"/>
      <w:suff w:val="tab"/>
      <w:lvlText w:val="•"/>
      <w:rPr>
        <w:color w:val="3370ff"/>
      </w:rPr>
    </w:lvl>
  </w:abstractNum>
  <w:abstractNum w:abstractNumId="3568465">
    <w:lvl>
      <w:numFmt w:val="bullet"/>
      <w:suff w:val="tab"/>
      <w:lvlText w:val="•"/>
      <w:rPr>
        <w:color w:val="3370ff"/>
      </w:rPr>
    </w:lvl>
  </w:abstractNum>
  <w:abstractNum w:abstractNumId="3568466">
    <w:lvl>
      <w:numFmt w:val="bullet"/>
      <w:suff w:val="tab"/>
      <w:lvlText w:val="•"/>
      <w:rPr>
        <w:color w:val="3370ff"/>
      </w:rPr>
    </w:lvl>
  </w:abstractNum>
  <w:abstractNum w:abstractNumId="3568467">
    <w:lvl>
      <w:numFmt w:val="bullet"/>
      <w:suff w:val="tab"/>
      <w:lvlText w:val="•"/>
      <w:rPr>
        <w:color w:val="3370ff"/>
      </w:rPr>
    </w:lvl>
  </w:abstractNum>
  <w:abstractNum w:abstractNumId="3568468">
    <w:lvl>
      <w:numFmt w:val="bullet"/>
      <w:suff w:val="tab"/>
      <w:lvlText w:val="•"/>
      <w:rPr>
        <w:color w:val="3370ff"/>
      </w:rPr>
    </w:lvl>
  </w:abstractNum>
  <w:abstractNum w:abstractNumId="3568469">
    <w:lvl>
      <w:numFmt w:val="bullet"/>
      <w:suff w:val="tab"/>
      <w:lvlText w:val="•"/>
      <w:rPr>
        <w:color w:val="3370ff"/>
      </w:rPr>
    </w:lvl>
  </w:abstractNum>
  <w:abstractNum w:abstractNumId="3568470">
    <w:lvl>
      <w:numFmt w:val="bullet"/>
      <w:suff w:val="tab"/>
      <w:lvlText w:val="•"/>
      <w:rPr>
        <w:color w:val="3370ff"/>
      </w:rPr>
    </w:lvl>
  </w:abstractNum>
  <w:abstractNum w:abstractNumId="3568471">
    <w:lvl>
      <w:numFmt w:val="bullet"/>
      <w:suff w:val="tab"/>
      <w:lvlText w:val="•"/>
      <w:rPr>
        <w:color w:val="3370ff"/>
      </w:rPr>
    </w:lvl>
  </w:abstractNum>
  <w:abstractNum w:abstractNumId="3568472">
    <w:lvl>
      <w:numFmt w:val="bullet"/>
      <w:suff w:val="tab"/>
      <w:lvlText w:val="•"/>
      <w:rPr>
        <w:color w:val="3370ff"/>
      </w:rPr>
    </w:lvl>
  </w:abstractNum>
  <w:abstractNum w:abstractNumId="3568473">
    <w:lvl>
      <w:numFmt w:val="bullet"/>
      <w:suff w:val="tab"/>
      <w:lvlText w:val="•"/>
      <w:rPr>
        <w:color w:val="3370ff"/>
      </w:rPr>
    </w:lvl>
  </w:abstractNum>
  <w:abstractNum w:abstractNumId="3568474">
    <w:lvl>
      <w:numFmt w:val="bullet"/>
      <w:suff w:val="tab"/>
      <w:lvlText w:val="•"/>
      <w:rPr>
        <w:color w:val="3370ff"/>
      </w:rPr>
    </w:lvl>
  </w:abstractNum>
  <w:abstractNum w:abstractNumId="3568475">
    <w:lvl>
      <w:numFmt w:val="bullet"/>
      <w:suff w:val="tab"/>
      <w:lvlText w:val="•"/>
      <w:rPr>
        <w:color w:val="3370ff"/>
      </w:rPr>
    </w:lvl>
  </w:abstractNum>
  <w:abstractNum w:abstractNumId="3568476">
    <w:lvl>
      <w:numFmt w:val="bullet"/>
      <w:suff w:val="tab"/>
      <w:lvlText w:val="•"/>
      <w:rPr>
        <w:color w:val="3370ff"/>
      </w:rPr>
    </w:lvl>
  </w:abstractNum>
  <w:abstractNum w:abstractNumId="3568477">
    <w:lvl>
      <w:numFmt w:val="bullet"/>
      <w:suff w:val="tab"/>
      <w:lvlText w:val="•"/>
      <w:rPr>
        <w:color w:val="3370ff"/>
      </w:rPr>
    </w:lvl>
  </w:abstractNum>
  <w:abstractNum w:abstractNumId="3568478">
    <w:lvl>
      <w:numFmt w:val="bullet"/>
      <w:suff w:val="tab"/>
      <w:lvlText w:val="•"/>
      <w:rPr>
        <w:color w:val="3370ff"/>
      </w:rPr>
    </w:lvl>
  </w:abstractNum>
  <w:abstractNum w:abstractNumId="3568479">
    <w:lvl>
      <w:numFmt w:val="bullet"/>
      <w:suff w:val="tab"/>
      <w:lvlText w:val="•"/>
      <w:rPr>
        <w:color w:val="3370ff"/>
      </w:rPr>
    </w:lvl>
  </w:abstractNum>
  <w:abstractNum w:abstractNumId="3568480">
    <w:lvl>
      <w:numFmt w:val="bullet"/>
      <w:suff w:val="tab"/>
      <w:lvlText w:val="•"/>
      <w:rPr>
        <w:color w:val="3370ff"/>
      </w:rPr>
    </w:lvl>
  </w:abstractNum>
  <w:abstractNum w:abstractNumId="3568481">
    <w:lvl>
      <w:numFmt w:val="bullet"/>
      <w:suff w:val="tab"/>
      <w:lvlText w:val="•"/>
      <w:rPr>
        <w:color w:val="3370ff"/>
      </w:rPr>
    </w:lvl>
  </w:abstractNum>
  <w:abstractNum w:abstractNumId="3568482">
    <w:lvl>
      <w:numFmt w:val="bullet"/>
      <w:suff w:val="tab"/>
      <w:lvlText w:val="•"/>
      <w:rPr>
        <w:color w:val="3370ff"/>
      </w:rPr>
    </w:lvl>
  </w:abstractNum>
  <w:abstractNum w:abstractNumId="3568483">
    <w:lvl>
      <w:numFmt w:val="bullet"/>
      <w:suff w:val="tab"/>
      <w:lvlText w:val="•"/>
      <w:rPr>
        <w:color w:val="3370ff"/>
      </w:rPr>
    </w:lvl>
  </w:abstractNum>
  <w:abstractNum w:abstractNumId="3568484">
    <w:lvl>
      <w:numFmt w:val="bullet"/>
      <w:suff w:val="tab"/>
      <w:lvlText w:val="•"/>
      <w:rPr>
        <w:color w:val="3370ff"/>
      </w:rPr>
    </w:lvl>
  </w:abstractNum>
  <w:abstractNum w:abstractNumId="3568485">
    <w:lvl>
      <w:numFmt w:val="bullet"/>
      <w:suff w:val="tab"/>
      <w:lvlText w:val="•"/>
      <w:rPr>
        <w:color w:val="3370ff"/>
      </w:rPr>
    </w:lvl>
  </w:abstractNum>
  <w:abstractNum w:abstractNumId="3568486">
    <w:lvl>
      <w:numFmt w:val="bullet"/>
      <w:suff w:val="tab"/>
      <w:lvlText w:val="•"/>
      <w:rPr>
        <w:color w:val="3370ff"/>
      </w:rPr>
    </w:lvl>
  </w:abstractNum>
  <w:abstractNum w:abstractNumId="3568487">
    <w:lvl>
      <w:numFmt w:val="bullet"/>
      <w:suff w:val="tab"/>
      <w:lvlText w:val="•"/>
      <w:rPr>
        <w:color w:val="3370ff"/>
      </w:rPr>
    </w:lvl>
  </w:abstractNum>
  <w:abstractNum w:abstractNumId="3568488">
    <w:lvl>
      <w:numFmt w:val="bullet"/>
      <w:suff w:val="tab"/>
      <w:lvlText w:val="•"/>
      <w:rPr>
        <w:color w:val="3370ff"/>
      </w:rPr>
    </w:lvl>
  </w:abstractNum>
  <w:abstractNum w:abstractNumId="3568489">
    <w:lvl>
      <w:numFmt w:val="bullet"/>
      <w:suff w:val="tab"/>
      <w:lvlText w:val="•"/>
      <w:rPr>
        <w:color w:val="3370ff"/>
      </w:rPr>
    </w:lvl>
  </w:abstractNum>
  <w:abstractNum w:abstractNumId="3568490">
    <w:lvl>
      <w:numFmt w:val="bullet"/>
      <w:suff w:val="tab"/>
      <w:lvlText w:val="•"/>
      <w:rPr>
        <w:color w:val="3370ff"/>
      </w:rPr>
    </w:lvl>
  </w:abstractNum>
  <w:abstractNum w:abstractNumId="3568491">
    <w:lvl>
      <w:numFmt w:val="bullet"/>
      <w:suff w:val="tab"/>
      <w:lvlText w:val="•"/>
      <w:rPr>
        <w:color w:val="3370ff"/>
      </w:rPr>
    </w:lvl>
  </w:abstractNum>
  <w:abstractNum w:abstractNumId="3568492">
    <w:lvl>
      <w:numFmt w:val="bullet"/>
      <w:suff w:val="tab"/>
      <w:lvlText w:val="•"/>
      <w:rPr>
        <w:color w:val="3370ff"/>
      </w:rPr>
    </w:lvl>
  </w:abstractNum>
  <w:abstractNum w:abstractNumId="3568493">
    <w:lvl>
      <w:numFmt w:val="bullet"/>
      <w:suff w:val="tab"/>
      <w:lvlText w:val="•"/>
      <w:rPr>
        <w:color w:val="3370ff"/>
      </w:rPr>
    </w:lvl>
  </w:abstractNum>
  <w:abstractNum w:abstractNumId="3568494">
    <w:lvl>
      <w:numFmt w:val="bullet"/>
      <w:suff w:val="tab"/>
      <w:lvlText w:val="•"/>
      <w:rPr>
        <w:color w:val="3370ff"/>
      </w:rPr>
    </w:lvl>
  </w:abstractNum>
  <w:abstractNum w:abstractNumId="3568495">
    <w:lvl>
      <w:numFmt w:val="bullet"/>
      <w:suff w:val="tab"/>
      <w:lvlText w:val="•"/>
      <w:rPr>
        <w:color w:val="3370ff"/>
      </w:rPr>
    </w:lvl>
  </w:abstractNum>
  <w:abstractNum w:abstractNumId="3568496">
    <w:lvl>
      <w:numFmt w:val="bullet"/>
      <w:suff w:val="tab"/>
      <w:lvlText w:val="•"/>
      <w:rPr>
        <w:color w:val="3370ff"/>
      </w:rPr>
    </w:lvl>
  </w:abstractNum>
  <w:abstractNum w:abstractNumId="3568497">
    <w:lvl>
      <w:numFmt w:val="bullet"/>
      <w:suff w:val="tab"/>
      <w:lvlText w:val="•"/>
      <w:rPr>
        <w:color w:val="3370ff"/>
      </w:rPr>
    </w:lvl>
  </w:abstractNum>
  <w:abstractNum w:abstractNumId="3568498">
    <w:lvl>
      <w:numFmt w:val="bullet"/>
      <w:suff w:val="tab"/>
      <w:lvlText w:val="•"/>
      <w:rPr>
        <w:color w:val="3370ff"/>
      </w:rPr>
    </w:lvl>
  </w:abstractNum>
  <w:abstractNum w:abstractNumId="3568499">
    <w:lvl>
      <w:numFmt w:val="bullet"/>
      <w:suff w:val="tab"/>
      <w:lvlText w:val="•"/>
      <w:rPr>
        <w:color w:val="3370ff"/>
      </w:rPr>
    </w:lvl>
  </w:abstractNum>
  <w:abstractNum w:abstractNumId="3568500">
    <w:lvl>
      <w:numFmt w:val="bullet"/>
      <w:suff w:val="tab"/>
      <w:lvlText w:val="•"/>
      <w:rPr>
        <w:color w:val="3370ff"/>
      </w:rPr>
    </w:lvl>
  </w:abstractNum>
  <w:abstractNum w:abstractNumId="3568501">
    <w:lvl>
      <w:numFmt w:val="bullet"/>
      <w:suff w:val="tab"/>
      <w:lvlText w:val="•"/>
      <w:rPr>
        <w:color w:val="3370ff"/>
      </w:rPr>
    </w:lvl>
  </w:abstractNum>
  <w:abstractNum w:abstractNumId="3568502">
    <w:lvl>
      <w:numFmt w:val="bullet"/>
      <w:suff w:val="tab"/>
      <w:lvlText w:val="•"/>
      <w:rPr>
        <w:color w:val="3370ff"/>
      </w:rPr>
    </w:lvl>
  </w:abstractNum>
  <w:abstractNum w:abstractNumId="3568503">
    <w:lvl>
      <w:numFmt w:val="bullet"/>
      <w:suff w:val="tab"/>
      <w:lvlText w:val="•"/>
      <w:rPr>
        <w:color w:val="3370ff"/>
      </w:rPr>
    </w:lvl>
  </w:abstractNum>
  <w:abstractNum w:abstractNumId="3568504">
    <w:lvl>
      <w:numFmt w:val="bullet"/>
      <w:suff w:val="tab"/>
      <w:lvlText w:val="•"/>
      <w:rPr>
        <w:color w:val="3370ff"/>
      </w:rPr>
    </w:lvl>
  </w:abstractNum>
  <w:abstractNum w:abstractNumId="3568505">
    <w:lvl>
      <w:numFmt w:val="bullet"/>
      <w:suff w:val="tab"/>
      <w:lvlText w:val="•"/>
      <w:rPr>
        <w:color w:val="3370ff"/>
      </w:rPr>
    </w:lvl>
  </w:abstractNum>
  <w:abstractNum w:abstractNumId="3568506">
    <w:lvl>
      <w:numFmt w:val="bullet"/>
      <w:suff w:val="tab"/>
      <w:lvlText w:val="•"/>
      <w:rPr>
        <w:color w:val="3370ff"/>
      </w:rPr>
    </w:lvl>
  </w:abstractNum>
  <w:abstractNum w:abstractNumId="3568507">
    <w:lvl>
      <w:numFmt w:val="bullet"/>
      <w:suff w:val="tab"/>
      <w:lvlText w:val="•"/>
      <w:rPr>
        <w:color w:val="3370ff"/>
      </w:rPr>
    </w:lvl>
  </w:abstractNum>
  <w:abstractNum w:abstractNumId="3568508">
    <w:lvl>
      <w:numFmt w:val="bullet"/>
      <w:suff w:val="tab"/>
      <w:lvlText w:val="•"/>
      <w:rPr>
        <w:color w:val="3370ff"/>
      </w:rPr>
    </w:lvl>
  </w:abstractNum>
  <w:abstractNum w:abstractNumId="3568509">
    <w:lvl>
      <w:numFmt w:val="bullet"/>
      <w:suff w:val="tab"/>
      <w:lvlText w:val="•"/>
      <w:rPr>
        <w:color w:val="3370ff"/>
      </w:rPr>
    </w:lvl>
  </w:abstractNum>
  <w:abstractNum w:abstractNumId="3568510">
    <w:lvl>
      <w:numFmt w:val="bullet"/>
      <w:suff w:val="tab"/>
      <w:lvlText w:val="•"/>
      <w:rPr>
        <w:color w:val="3370ff"/>
      </w:rPr>
    </w:lvl>
  </w:abstractNum>
  <w:abstractNum w:abstractNumId="3568511">
    <w:lvl>
      <w:numFmt w:val="bullet"/>
      <w:suff w:val="tab"/>
      <w:lvlText w:val="•"/>
      <w:rPr>
        <w:color w:val="3370ff"/>
      </w:rPr>
    </w:lvl>
  </w:abstractNum>
  <w:abstractNum w:abstractNumId="3568512">
    <w:lvl>
      <w:numFmt w:val="bullet"/>
      <w:suff w:val="tab"/>
      <w:lvlText w:val="•"/>
      <w:rPr>
        <w:color w:val="3370ff"/>
      </w:rPr>
    </w:lvl>
  </w:abstractNum>
  <w:abstractNum w:abstractNumId="3568513">
    <w:lvl>
      <w:numFmt w:val="bullet"/>
      <w:suff w:val="tab"/>
      <w:lvlText w:val="•"/>
      <w:rPr>
        <w:color w:val="3370ff"/>
      </w:rPr>
    </w:lvl>
  </w:abstractNum>
  <w:abstractNum w:abstractNumId="3568514">
    <w:lvl>
      <w:numFmt w:val="bullet"/>
      <w:suff w:val="tab"/>
      <w:lvlText w:val="•"/>
      <w:rPr>
        <w:color w:val="3370ff"/>
      </w:rPr>
    </w:lvl>
  </w:abstractNum>
  <w:abstractNum w:abstractNumId="3568515">
    <w:lvl>
      <w:numFmt w:val="bullet"/>
      <w:suff w:val="tab"/>
      <w:lvlText w:val="•"/>
      <w:rPr>
        <w:color w:val="3370ff"/>
      </w:rPr>
    </w:lvl>
  </w:abstractNum>
  <w:abstractNum w:abstractNumId="3568516">
    <w:lvl>
      <w:numFmt w:val="bullet"/>
      <w:suff w:val="tab"/>
      <w:lvlText w:val="•"/>
      <w:rPr>
        <w:color w:val="3370ff"/>
      </w:rPr>
    </w:lvl>
  </w:abstractNum>
  <w:num w:numId="1">
    <w:abstractNumId w:val="3567642"/>
  </w:num>
  <w:num w:numId="2">
    <w:abstractNumId w:val="3567643"/>
  </w:num>
  <w:num w:numId="3">
    <w:abstractNumId w:val="3567644"/>
  </w:num>
  <w:num w:numId="4">
    <w:abstractNumId w:val="3567645"/>
  </w:num>
  <w:num w:numId="5">
    <w:abstractNumId w:val="3567646"/>
  </w:num>
  <w:num w:numId="6">
    <w:abstractNumId w:val="3567647"/>
  </w:num>
  <w:num w:numId="7">
    <w:abstractNumId w:val="3567648"/>
  </w:num>
  <w:num w:numId="8">
    <w:abstractNumId w:val="3567649"/>
  </w:num>
  <w:num w:numId="9">
    <w:abstractNumId w:val="3567650"/>
  </w:num>
  <w:num w:numId="10">
    <w:abstractNumId w:val="3567651"/>
  </w:num>
  <w:num w:numId="11">
    <w:abstractNumId w:val="3567652"/>
  </w:num>
  <w:num w:numId="12">
    <w:abstractNumId w:val="3567653"/>
  </w:num>
  <w:num w:numId="13">
    <w:abstractNumId w:val="3567654"/>
  </w:num>
  <w:num w:numId="14">
    <w:abstractNumId w:val="3567655"/>
  </w:num>
  <w:num w:numId="15">
    <w:abstractNumId w:val="3567656"/>
  </w:num>
  <w:num w:numId="16">
    <w:abstractNumId w:val="3567657"/>
  </w:num>
  <w:num w:numId="17">
    <w:abstractNumId w:val="3567658"/>
  </w:num>
  <w:num w:numId="18">
    <w:abstractNumId w:val="3567659"/>
  </w:num>
  <w:num w:numId="19">
    <w:abstractNumId w:val="3567660"/>
  </w:num>
  <w:num w:numId="20">
    <w:abstractNumId w:val="3567661"/>
  </w:num>
  <w:num w:numId="21">
    <w:abstractNumId w:val="3567662"/>
  </w:num>
  <w:num w:numId="22">
    <w:abstractNumId w:val="3567663"/>
  </w:num>
  <w:num w:numId="23">
    <w:abstractNumId w:val="3567664"/>
  </w:num>
  <w:num w:numId="24">
    <w:abstractNumId w:val="3567665"/>
  </w:num>
  <w:num w:numId="25">
    <w:abstractNumId w:val="3567666"/>
  </w:num>
  <w:num w:numId="26">
    <w:abstractNumId w:val="3567667"/>
  </w:num>
  <w:num w:numId="27">
    <w:abstractNumId w:val="3567668"/>
  </w:num>
  <w:num w:numId="28">
    <w:abstractNumId w:val="3567669"/>
  </w:num>
  <w:num w:numId="29">
    <w:abstractNumId w:val="3567670"/>
  </w:num>
  <w:num w:numId="30">
    <w:abstractNumId w:val="3567671"/>
  </w:num>
  <w:num w:numId="31">
    <w:abstractNumId w:val="3567672"/>
  </w:num>
  <w:num w:numId="32">
    <w:abstractNumId w:val="3567673"/>
  </w:num>
  <w:num w:numId="33">
    <w:abstractNumId w:val="3567674"/>
  </w:num>
  <w:num w:numId="34">
    <w:abstractNumId w:val="3567675"/>
  </w:num>
  <w:num w:numId="35">
    <w:abstractNumId w:val="3567676"/>
  </w:num>
  <w:num w:numId="36">
    <w:abstractNumId w:val="3567677"/>
  </w:num>
  <w:num w:numId="37">
    <w:abstractNumId w:val="3567678"/>
  </w:num>
  <w:num w:numId="38">
    <w:abstractNumId w:val="3567679"/>
  </w:num>
  <w:num w:numId="39">
    <w:abstractNumId w:val="3567680"/>
  </w:num>
  <w:num w:numId="40">
    <w:abstractNumId w:val="3567681"/>
  </w:num>
  <w:num w:numId="41">
    <w:abstractNumId w:val="3567682"/>
  </w:num>
  <w:num w:numId="42">
    <w:abstractNumId w:val="3567683"/>
  </w:num>
  <w:num w:numId="43">
    <w:abstractNumId w:val="3567684"/>
  </w:num>
  <w:num w:numId="44">
    <w:abstractNumId w:val="3567685"/>
  </w:num>
  <w:num w:numId="45">
    <w:abstractNumId w:val="3567686"/>
  </w:num>
  <w:num w:numId="46">
    <w:abstractNumId w:val="3567687"/>
  </w:num>
  <w:num w:numId="47">
    <w:abstractNumId w:val="3567688"/>
  </w:num>
  <w:num w:numId="48">
    <w:abstractNumId w:val="3567689"/>
  </w:num>
  <w:num w:numId="49">
    <w:abstractNumId w:val="3567690"/>
  </w:num>
  <w:num w:numId="50">
    <w:abstractNumId w:val="3567691"/>
  </w:num>
  <w:num w:numId="51">
    <w:abstractNumId w:val="3567692"/>
  </w:num>
  <w:num w:numId="52">
    <w:abstractNumId w:val="3567693"/>
  </w:num>
  <w:num w:numId="53">
    <w:abstractNumId w:val="3567694"/>
  </w:num>
  <w:num w:numId="54">
    <w:abstractNumId w:val="3567695"/>
  </w:num>
  <w:num w:numId="55">
    <w:abstractNumId w:val="3567696"/>
  </w:num>
  <w:num w:numId="56">
    <w:abstractNumId w:val="3567697"/>
  </w:num>
  <w:num w:numId="57">
    <w:abstractNumId w:val="3567698"/>
  </w:num>
  <w:num w:numId="58">
    <w:abstractNumId w:val="3567699"/>
  </w:num>
  <w:num w:numId="59">
    <w:abstractNumId w:val="3567700"/>
  </w:num>
  <w:num w:numId="60">
    <w:abstractNumId w:val="3567701"/>
  </w:num>
  <w:num w:numId="61">
    <w:abstractNumId w:val="3567702"/>
  </w:num>
  <w:num w:numId="62">
    <w:abstractNumId w:val="3567703"/>
  </w:num>
  <w:num w:numId="63">
    <w:abstractNumId w:val="3567704"/>
  </w:num>
  <w:num w:numId="64">
    <w:abstractNumId w:val="3567705"/>
  </w:num>
  <w:num w:numId="65">
    <w:abstractNumId w:val="3567706"/>
  </w:num>
  <w:num w:numId="66">
    <w:abstractNumId w:val="3567707"/>
  </w:num>
  <w:num w:numId="67">
    <w:abstractNumId w:val="3567708"/>
  </w:num>
  <w:num w:numId="68">
    <w:abstractNumId w:val="3567709"/>
  </w:num>
  <w:num w:numId="69">
    <w:abstractNumId w:val="3567710"/>
  </w:num>
  <w:num w:numId="70">
    <w:abstractNumId w:val="3567711"/>
  </w:num>
  <w:num w:numId="71">
    <w:abstractNumId w:val="3567712"/>
  </w:num>
  <w:num w:numId="72">
    <w:abstractNumId w:val="3567713"/>
  </w:num>
  <w:num w:numId="73">
    <w:abstractNumId w:val="3567714"/>
  </w:num>
  <w:num w:numId="74">
    <w:abstractNumId w:val="3567715"/>
  </w:num>
  <w:num w:numId="75">
    <w:abstractNumId w:val="3567716"/>
  </w:num>
  <w:num w:numId="76">
    <w:abstractNumId w:val="3567717"/>
  </w:num>
  <w:num w:numId="77">
    <w:abstractNumId w:val="3567718"/>
  </w:num>
  <w:num w:numId="78">
    <w:abstractNumId w:val="3567719"/>
  </w:num>
  <w:num w:numId="79">
    <w:abstractNumId w:val="3567720"/>
  </w:num>
  <w:num w:numId="80">
    <w:abstractNumId w:val="3567721"/>
  </w:num>
  <w:num w:numId="81">
    <w:abstractNumId w:val="3567722"/>
  </w:num>
  <w:num w:numId="82">
    <w:abstractNumId w:val="3567723"/>
  </w:num>
  <w:num w:numId="83">
    <w:abstractNumId w:val="3567724"/>
  </w:num>
  <w:num w:numId="84">
    <w:abstractNumId w:val="3567725"/>
  </w:num>
  <w:num w:numId="85">
    <w:abstractNumId w:val="3567726"/>
  </w:num>
  <w:num w:numId="86">
    <w:abstractNumId w:val="3567727"/>
  </w:num>
  <w:num w:numId="87">
    <w:abstractNumId w:val="3567728"/>
  </w:num>
  <w:num w:numId="88">
    <w:abstractNumId w:val="3567729"/>
  </w:num>
  <w:num w:numId="89">
    <w:abstractNumId w:val="3567730"/>
  </w:num>
  <w:num w:numId="90">
    <w:abstractNumId w:val="3567731"/>
  </w:num>
  <w:num w:numId="91">
    <w:abstractNumId w:val="3567732"/>
  </w:num>
  <w:num w:numId="92">
    <w:abstractNumId w:val="3567733"/>
  </w:num>
  <w:num w:numId="93">
    <w:abstractNumId w:val="3567734"/>
  </w:num>
  <w:num w:numId="94">
    <w:abstractNumId w:val="3567735"/>
  </w:num>
  <w:num w:numId="95">
    <w:abstractNumId w:val="3567736"/>
  </w:num>
  <w:num w:numId="96">
    <w:abstractNumId w:val="3567737"/>
  </w:num>
  <w:num w:numId="97">
    <w:abstractNumId w:val="3567738"/>
  </w:num>
  <w:num w:numId="98">
    <w:abstractNumId w:val="3567739"/>
  </w:num>
  <w:num w:numId="99">
    <w:abstractNumId w:val="3567740"/>
  </w:num>
  <w:num w:numId="100">
    <w:abstractNumId w:val="3567741"/>
  </w:num>
  <w:num w:numId="101">
    <w:abstractNumId w:val="3567742"/>
  </w:num>
  <w:num w:numId="102">
    <w:abstractNumId w:val="3567743"/>
  </w:num>
  <w:num w:numId="103">
    <w:abstractNumId w:val="3567744"/>
  </w:num>
  <w:num w:numId="104">
    <w:abstractNumId w:val="3567745"/>
  </w:num>
  <w:num w:numId="105">
    <w:abstractNumId w:val="3567746"/>
  </w:num>
  <w:num w:numId="106">
    <w:abstractNumId w:val="3567747"/>
  </w:num>
  <w:num w:numId="107">
    <w:abstractNumId w:val="3567748"/>
  </w:num>
  <w:num w:numId="108">
    <w:abstractNumId w:val="3567749"/>
  </w:num>
  <w:num w:numId="109">
    <w:abstractNumId w:val="3567750"/>
  </w:num>
  <w:num w:numId="110">
    <w:abstractNumId w:val="3567751"/>
  </w:num>
  <w:num w:numId="111">
    <w:abstractNumId w:val="3567752"/>
  </w:num>
  <w:num w:numId="112">
    <w:abstractNumId w:val="3567753"/>
  </w:num>
  <w:num w:numId="113">
    <w:abstractNumId w:val="3567754"/>
  </w:num>
  <w:num w:numId="114">
    <w:abstractNumId w:val="3567755"/>
  </w:num>
  <w:num w:numId="115">
    <w:abstractNumId w:val="3567756"/>
  </w:num>
  <w:num w:numId="116">
    <w:abstractNumId w:val="3567757"/>
  </w:num>
  <w:num w:numId="117">
    <w:abstractNumId w:val="3567758"/>
  </w:num>
  <w:num w:numId="118">
    <w:abstractNumId w:val="3567759"/>
  </w:num>
  <w:num w:numId="119">
    <w:abstractNumId w:val="3567760"/>
  </w:num>
  <w:num w:numId="120">
    <w:abstractNumId w:val="3567761"/>
  </w:num>
  <w:num w:numId="121">
    <w:abstractNumId w:val="3567762"/>
  </w:num>
  <w:num w:numId="122">
    <w:abstractNumId w:val="3567763"/>
  </w:num>
  <w:num w:numId="123">
    <w:abstractNumId w:val="3567764"/>
  </w:num>
  <w:num w:numId="124">
    <w:abstractNumId w:val="3567765"/>
  </w:num>
  <w:num w:numId="125">
    <w:abstractNumId w:val="3567766"/>
  </w:num>
  <w:num w:numId="126">
    <w:abstractNumId w:val="3567767"/>
  </w:num>
  <w:num w:numId="127">
    <w:abstractNumId w:val="3567768"/>
  </w:num>
  <w:num w:numId="128">
    <w:abstractNumId w:val="3567769"/>
  </w:num>
  <w:num w:numId="129">
    <w:abstractNumId w:val="3567770"/>
  </w:num>
  <w:num w:numId="130">
    <w:abstractNumId w:val="3567771"/>
  </w:num>
  <w:num w:numId="131">
    <w:abstractNumId w:val="3567772"/>
  </w:num>
  <w:num w:numId="132">
    <w:abstractNumId w:val="3567773"/>
  </w:num>
  <w:num w:numId="133">
    <w:abstractNumId w:val="3567774"/>
  </w:num>
  <w:num w:numId="134">
    <w:abstractNumId w:val="3567775"/>
  </w:num>
  <w:num w:numId="135">
    <w:abstractNumId w:val="3567776"/>
  </w:num>
  <w:num w:numId="136">
    <w:abstractNumId w:val="3567777"/>
  </w:num>
  <w:num w:numId="137">
    <w:abstractNumId w:val="3567778"/>
  </w:num>
  <w:num w:numId="138">
    <w:abstractNumId w:val="3567779"/>
  </w:num>
  <w:num w:numId="139">
    <w:abstractNumId w:val="3567780"/>
  </w:num>
  <w:num w:numId="140">
    <w:abstractNumId w:val="3567781"/>
  </w:num>
  <w:num w:numId="141">
    <w:abstractNumId w:val="3567782"/>
  </w:num>
  <w:num w:numId="142">
    <w:abstractNumId w:val="3567783"/>
  </w:num>
  <w:num w:numId="143">
    <w:abstractNumId w:val="3567784"/>
  </w:num>
  <w:num w:numId="144">
    <w:abstractNumId w:val="3567785"/>
  </w:num>
  <w:num w:numId="145">
    <w:abstractNumId w:val="3567786"/>
  </w:num>
  <w:num w:numId="146">
    <w:abstractNumId w:val="3567787"/>
  </w:num>
  <w:num w:numId="147">
    <w:abstractNumId w:val="3567788"/>
  </w:num>
  <w:num w:numId="148">
    <w:abstractNumId w:val="3567789"/>
  </w:num>
  <w:num w:numId="149">
    <w:abstractNumId w:val="3567790"/>
  </w:num>
  <w:num w:numId="150">
    <w:abstractNumId w:val="3567791"/>
  </w:num>
  <w:num w:numId="151">
    <w:abstractNumId w:val="3567792"/>
  </w:num>
  <w:num w:numId="152">
    <w:abstractNumId w:val="3567793"/>
  </w:num>
  <w:num w:numId="153">
    <w:abstractNumId w:val="3567794"/>
  </w:num>
  <w:num w:numId="154">
    <w:abstractNumId w:val="3567795"/>
  </w:num>
  <w:num w:numId="155">
    <w:abstractNumId w:val="3567796"/>
  </w:num>
  <w:num w:numId="156">
    <w:abstractNumId w:val="3567797"/>
  </w:num>
  <w:num w:numId="157">
    <w:abstractNumId w:val="3567798"/>
  </w:num>
  <w:num w:numId="158">
    <w:abstractNumId w:val="3567799"/>
  </w:num>
  <w:num w:numId="159">
    <w:abstractNumId w:val="3567800"/>
  </w:num>
  <w:num w:numId="160">
    <w:abstractNumId w:val="3567801"/>
  </w:num>
  <w:num w:numId="161">
    <w:abstractNumId w:val="3567802"/>
  </w:num>
  <w:num w:numId="162">
    <w:abstractNumId w:val="3567803"/>
  </w:num>
  <w:num w:numId="163">
    <w:abstractNumId w:val="3567804"/>
  </w:num>
  <w:num w:numId="164">
    <w:abstractNumId w:val="3567805"/>
  </w:num>
  <w:num w:numId="165">
    <w:abstractNumId w:val="3567806"/>
  </w:num>
  <w:num w:numId="166">
    <w:abstractNumId w:val="3567807"/>
  </w:num>
  <w:num w:numId="167">
    <w:abstractNumId w:val="3567808"/>
  </w:num>
  <w:num w:numId="168">
    <w:abstractNumId w:val="3567809"/>
  </w:num>
  <w:num w:numId="169">
    <w:abstractNumId w:val="3567810"/>
  </w:num>
  <w:num w:numId="170">
    <w:abstractNumId w:val="3567811"/>
  </w:num>
  <w:num w:numId="171">
    <w:abstractNumId w:val="3567812"/>
  </w:num>
  <w:num w:numId="172">
    <w:abstractNumId w:val="3567813"/>
  </w:num>
  <w:num w:numId="173">
    <w:abstractNumId w:val="3567814"/>
  </w:num>
  <w:num w:numId="174">
    <w:abstractNumId w:val="3567815"/>
  </w:num>
  <w:num w:numId="175">
    <w:abstractNumId w:val="3567816"/>
  </w:num>
  <w:num w:numId="176">
    <w:abstractNumId w:val="3567817"/>
  </w:num>
  <w:num w:numId="177">
    <w:abstractNumId w:val="3567818"/>
  </w:num>
  <w:num w:numId="178">
    <w:abstractNumId w:val="3567819"/>
  </w:num>
  <w:num w:numId="179">
    <w:abstractNumId w:val="3567820"/>
  </w:num>
  <w:num w:numId="180">
    <w:abstractNumId w:val="3567821"/>
  </w:num>
  <w:num w:numId="181">
    <w:abstractNumId w:val="3567822"/>
  </w:num>
  <w:num w:numId="182">
    <w:abstractNumId w:val="3567823"/>
  </w:num>
  <w:num w:numId="183">
    <w:abstractNumId w:val="3567824"/>
  </w:num>
  <w:num w:numId="184">
    <w:abstractNumId w:val="3567825"/>
  </w:num>
  <w:num w:numId="185">
    <w:abstractNumId w:val="3567826"/>
  </w:num>
  <w:num w:numId="186">
    <w:abstractNumId w:val="3567827"/>
  </w:num>
  <w:num w:numId="187">
    <w:abstractNumId w:val="3567828"/>
  </w:num>
  <w:num w:numId="188">
    <w:abstractNumId w:val="3567829"/>
  </w:num>
  <w:num w:numId="189">
    <w:abstractNumId w:val="3567830"/>
  </w:num>
  <w:num w:numId="190">
    <w:abstractNumId w:val="3567831"/>
  </w:num>
  <w:num w:numId="191">
    <w:abstractNumId w:val="3567832"/>
  </w:num>
  <w:num w:numId="192">
    <w:abstractNumId w:val="3567833"/>
  </w:num>
  <w:num w:numId="193">
    <w:abstractNumId w:val="3567834"/>
  </w:num>
  <w:num w:numId="194">
    <w:abstractNumId w:val="3567835"/>
  </w:num>
  <w:num w:numId="195">
    <w:abstractNumId w:val="3567836"/>
  </w:num>
  <w:num w:numId="196">
    <w:abstractNumId w:val="3567837"/>
  </w:num>
  <w:num w:numId="197">
    <w:abstractNumId w:val="3567838"/>
  </w:num>
  <w:num w:numId="198">
    <w:abstractNumId w:val="3567839"/>
  </w:num>
  <w:num w:numId="199">
    <w:abstractNumId w:val="3567840"/>
  </w:num>
  <w:num w:numId="200">
    <w:abstractNumId w:val="3567841"/>
  </w:num>
  <w:num w:numId="201">
    <w:abstractNumId w:val="3567842"/>
  </w:num>
  <w:num w:numId="202">
    <w:abstractNumId w:val="3567843"/>
  </w:num>
  <w:num w:numId="203">
    <w:abstractNumId w:val="3567844"/>
  </w:num>
  <w:num w:numId="204">
    <w:abstractNumId w:val="3567845"/>
  </w:num>
  <w:num w:numId="205">
    <w:abstractNumId w:val="3567846"/>
  </w:num>
  <w:num w:numId="206">
    <w:abstractNumId w:val="3567847"/>
  </w:num>
  <w:num w:numId="207">
    <w:abstractNumId w:val="3567848"/>
  </w:num>
  <w:num w:numId="208">
    <w:abstractNumId w:val="3567849"/>
  </w:num>
  <w:num w:numId="209">
    <w:abstractNumId w:val="3567850"/>
  </w:num>
  <w:num w:numId="210">
    <w:abstractNumId w:val="3567851"/>
  </w:num>
  <w:num w:numId="211">
    <w:abstractNumId w:val="3567852"/>
  </w:num>
  <w:num w:numId="212">
    <w:abstractNumId w:val="3567853"/>
  </w:num>
  <w:num w:numId="213">
    <w:abstractNumId w:val="3567854"/>
  </w:num>
  <w:num w:numId="214">
    <w:abstractNumId w:val="3567855"/>
  </w:num>
  <w:num w:numId="215">
    <w:abstractNumId w:val="3567856"/>
  </w:num>
  <w:num w:numId="216">
    <w:abstractNumId w:val="3567857"/>
  </w:num>
  <w:num w:numId="217">
    <w:abstractNumId w:val="3567858"/>
  </w:num>
  <w:num w:numId="218">
    <w:abstractNumId w:val="3567859"/>
  </w:num>
  <w:num w:numId="219">
    <w:abstractNumId w:val="3567860"/>
  </w:num>
  <w:num w:numId="220">
    <w:abstractNumId w:val="3567861"/>
  </w:num>
  <w:num w:numId="221">
    <w:abstractNumId w:val="3567862"/>
  </w:num>
  <w:num w:numId="222">
    <w:abstractNumId w:val="3567863"/>
  </w:num>
  <w:num w:numId="223">
    <w:abstractNumId w:val="3567864"/>
  </w:num>
  <w:num w:numId="224">
    <w:abstractNumId w:val="3567865"/>
  </w:num>
  <w:num w:numId="225">
    <w:abstractNumId w:val="3567866"/>
  </w:num>
  <w:num w:numId="226">
    <w:abstractNumId w:val="3567867"/>
  </w:num>
  <w:num w:numId="227">
    <w:abstractNumId w:val="3567868"/>
  </w:num>
  <w:num w:numId="228">
    <w:abstractNumId w:val="3567869"/>
  </w:num>
  <w:num w:numId="229">
    <w:abstractNumId w:val="3567870"/>
  </w:num>
  <w:num w:numId="230">
    <w:abstractNumId w:val="3567871"/>
  </w:num>
  <w:num w:numId="231">
    <w:abstractNumId w:val="3567872"/>
  </w:num>
  <w:num w:numId="232">
    <w:abstractNumId w:val="3567873"/>
  </w:num>
  <w:num w:numId="233">
    <w:abstractNumId w:val="3567874"/>
  </w:num>
  <w:num w:numId="234">
    <w:abstractNumId w:val="3567875"/>
  </w:num>
  <w:num w:numId="235">
    <w:abstractNumId w:val="3567876"/>
  </w:num>
  <w:num w:numId="236">
    <w:abstractNumId w:val="3567877"/>
  </w:num>
  <w:num w:numId="237">
    <w:abstractNumId w:val="3567878"/>
  </w:num>
  <w:num w:numId="238">
    <w:abstractNumId w:val="3567879"/>
  </w:num>
  <w:num w:numId="239">
    <w:abstractNumId w:val="3567880"/>
  </w:num>
  <w:num w:numId="240">
    <w:abstractNumId w:val="3567881"/>
  </w:num>
  <w:num w:numId="241">
    <w:abstractNumId w:val="3567882"/>
  </w:num>
  <w:num w:numId="242">
    <w:abstractNumId w:val="3567883"/>
  </w:num>
  <w:num w:numId="243">
    <w:abstractNumId w:val="3567884"/>
  </w:num>
  <w:num w:numId="244">
    <w:abstractNumId w:val="3567885"/>
  </w:num>
  <w:num w:numId="245">
    <w:abstractNumId w:val="3567886"/>
  </w:num>
  <w:num w:numId="246">
    <w:abstractNumId w:val="3567887"/>
  </w:num>
  <w:num w:numId="247">
    <w:abstractNumId w:val="3567888"/>
  </w:num>
  <w:num w:numId="248">
    <w:abstractNumId w:val="3567889"/>
  </w:num>
  <w:num w:numId="249">
    <w:abstractNumId w:val="3567890"/>
  </w:num>
  <w:num w:numId="250">
    <w:abstractNumId w:val="3567891"/>
  </w:num>
  <w:num w:numId="251">
    <w:abstractNumId w:val="3567892"/>
  </w:num>
  <w:num w:numId="252">
    <w:abstractNumId w:val="3567893"/>
  </w:num>
  <w:num w:numId="253">
    <w:abstractNumId w:val="3567894"/>
  </w:num>
  <w:num w:numId="254">
    <w:abstractNumId w:val="3567895"/>
  </w:num>
  <w:num w:numId="255">
    <w:abstractNumId w:val="3567896"/>
  </w:num>
  <w:num w:numId="256">
    <w:abstractNumId w:val="3567897"/>
  </w:num>
  <w:num w:numId="257">
    <w:abstractNumId w:val="3567898"/>
  </w:num>
  <w:num w:numId="258">
    <w:abstractNumId w:val="3567899"/>
  </w:num>
  <w:num w:numId="259">
    <w:abstractNumId w:val="3567900"/>
  </w:num>
  <w:num w:numId="260">
    <w:abstractNumId w:val="3567901"/>
  </w:num>
  <w:num w:numId="261">
    <w:abstractNumId w:val="3567902"/>
  </w:num>
  <w:num w:numId="262">
    <w:abstractNumId w:val="3567903"/>
  </w:num>
  <w:num w:numId="263">
    <w:abstractNumId w:val="3567904"/>
  </w:num>
  <w:num w:numId="264">
    <w:abstractNumId w:val="3567905"/>
  </w:num>
  <w:num w:numId="265">
    <w:abstractNumId w:val="3567906"/>
  </w:num>
  <w:num w:numId="266">
    <w:abstractNumId w:val="3567907"/>
  </w:num>
  <w:num w:numId="267">
    <w:abstractNumId w:val="3567908"/>
  </w:num>
  <w:num w:numId="268">
    <w:abstractNumId w:val="3567909"/>
  </w:num>
  <w:num w:numId="269">
    <w:abstractNumId w:val="3567910"/>
  </w:num>
  <w:num w:numId="270">
    <w:abstractNumId w:val="3567911"/>
  </w:num>
  <w:num w:numId="271">
    <w:abstractNumId w:val="3567912"/>
  </w:num>
  <w:num w:numId="272">
    <w:abstractNumId w:val="3567913"/>
  </w:num>
  <w:num w:numId="273">
    <w:abstractNumId w:val="3567914"/>
  </w:num>
  <w:num w:numId="274">
    <w:abstractNumId w:val="3567915"/>
  </w:num>
  <w:num w:numId="275">
    <w:abstractNumId w:val="3567916"/>
  </w:num>
  <w:num w:numId="276">
    <w:abstractNumId w:val="3567917"/>
  </w:num>
  <w:num w:numId="277">
    <w:abstractNumId w:val="3567918"/>
  </w:num>
  <w:num w:numId="278">
    <w:abstractNumId w:val="3567919"/>
  </w:num>
  <w:num w:numId="279">
    <w:abstractNumId w:val="3567920"/>
  </w:num>
  <w:num w:numId="280">
    <w:abstractNumId w:val="3567921"/>
  </w:num>
  <w:num w:numId="281">
    <w:abstractNumId w:val="3567922"/>
  </w:num>
  <w:num w:numId="282">
    <w:abstractNumId w:val="3567923"/>
  </w:num>
  <w:num w:numId="283">
    <w:abstractNumId w:val="3567924"/>
  </w:num>
  <w:num w:numId="284">
    <w:abstractNumId w:val="3567925"/>
  </w:num>
  <w:num w:numId="285">
    <w:abstractNumId w:val="3567926"/>
  </w:num>
  <w:num w:numId="286">
    <w:abstractNumId w:val="3567927"/>
  </w:num>
  <w:num w:numId="287">
    <w:abstractNumId w:val="3567928"/>
  </w:num>
  <w:num w:numId="288">
    <w:abstractNumId w:val="3567929"/>
  </w:num>
  <w:num w:numId="289">
    <w:abstractNumId w:val="3567930"/>
  </w:num>
  <w:num w:numId="290">
    <w:abstractNumId w:val="3567931"/>
  </w:num>
  <w:num w:numId="291">
    <w:abstractNumId w:val="3567932"/>
  </w:num>
  <w:num w:numId="292">
    <w:abstractNumId w:val="3567933"/>
  </w:num>
  <w:num w:numId="293">
    <w:abstractNumId w:val="3567934"/>
  </w:num>
  <w:num w:numId="294">
    <w:abstractNumId w:val="3567935"/>
  </w:num>
  <w:num w:numId="295">
    <w:abstractNumId w:val="3567936"/>
  </w:num>
  <w:num w:numId="296">
    <w:abstractNumId w:val="3567937"/>
  </w:num>
  <w:num w:numId="297">
    <w:abstractNumId w:val="3567938"/>
  </w:num>
  <w:num w:numId="298">
    <w:abstractNumId w:val="3567939"/>
  </w:num>
  <w:num w:numId="299">
    <w:abstractNumId w:val="3567940"/>
  </w:num>
  <w:num w:numId="300">
    <w:abstractNumId w:val="3567941"/>
  </w:num>
  <w:num w:numId="301">
    <w:abstractNumId w:val="3567942"/>
  </w:num>
  <w:num w:numId="302">
    <w:abstractNumId w:val="3567943"/>
  </w:num>
  <w:num w:numId="303">
    <w:abstractNumId w:val="3567944"/>
  </w:num>
  <w:num w:numId="304">
    <w:abstractNumId w:val="3567945"/>
  </w:num>
  <w:num w:numId="305">
    <w:abstractNumId w:val="3567946"/>
  </w:num>
  <w:num w:numId="306">
    <w:abstractNumId w:val="3567947"/>
  </w:num>
  <w:num w:numId="307">
    <w:abstractNumId w:val="3567948"/>
  </w:num>
  <w:num w:numId="308">
    <w:abstractNumId w:val="3567949"/>
  </w:num>
  <w:num w:numId="309">
    <w:abstractNumId w:val="3567950"/>
  </w:num>
  <w:num w:numId="310">
    <w:abstractNumId w:val="3567951"/>
  </w:num>
  <w:num w:numId="311">
    <w:abstractNumId w:val="3567952"/>
  </w:num>
  <w:num w:numId="312">
    <w:abstractNumId w:val="3567953"/>
  </w:num>
  <w:num w:numId="313">
    <w:abstractNumId w:val="3567954"/>
  </w:num>
  <w:num w:numId="314">
    <w:abstractNumId w:val="3567955"/>
  </w:num>
  <w:num w:numId="315">
    <w:abstractNumId w:val="3567956"/>
  </w:num>
  <w:num w:numId="316">
    <w:abstractNumId w:val="3567957"/>
  </w:num>
  <w:num w:numId="317">
    <w:abstractNumId w:val="3567958"/>
  </w:num>
  <w:num w:numId="318">
    <w:abstractNumId w:val="3567959"/>
  </w:num>
  <w:num w:numId="319">
    <w:abstractNumId w:val="3567960"/>
  </w:num>
  <w:num w:numId="320">
    <w:abstractNumId w:val="3567961"/>
  </w:num>
  <w:num w:numId="321">
    <w:abstractNumId w:val="3567962"/>
  </w:num>
  <w:num w:numId="322">
    <w:abstractNumId w:val="3567963"/>
  </w:num>
  <w:num w:numId="323">
    <w:abstractNumId w:val="3567964"/>
  </w:num>
  <w:num w:numId="324">
    <w:abstractNumId w:val="3567965"/>
  </w:num>
  <w:num w:numId="325">
    <w:abstractNumId w:val="3567966"/>
  </w:num>
  <w:num w:numId="326">
    <w:abstractNumId w:val="3567967"/>
  </w:num>
  <w:num w:numId="327">
    <w:abstractNumId w:val="3567968"/>
  </w:num>
  <w:num w:numId="328">
    <w:abstractNumId w:val="3567969"/>
  </w:num>
  <w:num w:numId="329">
    <w:abstractNumId w:val="3567970"/>
  </w:num>
  <w:num w:numId="330">
    <w:abstractNumId w:val="3567971"/>
  </w:num>
  <w:num w:numId="331">
    <w:abstractNumId w:val="3567972"/>
  </w:num>
  <w:num w:numId="332">
    <w:abstractNumId w:val="3567973"/>
  </w:num>
  <w:num w:numId="333">
    <w:abstractNumId w:val="3567974"/>
  </w:num>
  <w:num w:numId="334">
    <w:abstractNumId w:val="3567975"/>
  </w:num>
  <w:num w:numId="335">
    <w:abstractNumId w:val="3567976"/>
  </w:num>
  <w:num w:numId="336">
    <w:abstractNumId w:val="3567977"/>
  </w:num>
  <w:num w:numId="337">
    <w:abstractNumId w:val="3567978"/>
  </w:num>
  <w:num w:numId="338">
    <w:abstractNumId w:val="3567979"/>
  </w:num>
  <w:num w:numId="339">
    <w:abstractNumId w:val="3567980"/>
  </w:num>
  <w:num w:numId="340">
    <w:abstractNumId w:val="3567981"/>
  </w:num>
  <w:num w:numId="341">
    <w:abstractNumId w:val="3567982"/>
  </w:num>
  <w:num w:numId="342">
    <w:abstractNumId w:val="3567983"/>
  </w:num>
  <w:num w:numId="343">
    <w:abstractNumId w:val="3567984"/>
  </w:num>
  <w:num w:numId="344">
    <w:abstractNumId w:val="3567985"/>
  </w:num>
  <w:num w:numId="345">
    <w:abstractNumId w:val="3567986"/>
  </w:num>
  <w:num w:numId="346">
    <w:abstractNumId w:val="3567987"/>
  </w:num>
  <w:num w:numId="347">
    <w:abstractNumId w:val="3567988"/>
  </w:num>
  <w:num w:numId="348">
    <w:abstractNumId w:val="3567989"/>
  </w:num>
  <w:num w:numId="349">
    <w:abstractNumId w:val="3567990"/>
  </w:num>
  <w:num w:numId="350">
    <w:abstractNumId w:val="3567991"/>
  </w:num>
  <w:num w:numId="351">
    <w:abstractNumId w:val="3567992"/>
  </w:num>
  <w:num w:numId="352">
    <w:abstractNumId w:val="3567993"/>
  </w:num>
  <w:num w:numId="353">
    <w:abstractNumId w:val="3567994"/>
  </w:num>
  <w:num w:numId="354">
    <w:abstractNumId w:val="3567995"/>
  </w:num>
  <w:num w:numId="355">
    <w:abstractNumId w:val="3567996"/>
  </w:num>
  <w:num w:numId="356">
    <w:abstractNumId w:val="3567997"/>
  </w:num>
  <w:num w:numId="357">
    <w:abstractNumId w:val="3567998"/>
  </w:num>
  <w:num w:numId="358">
    <w:abstractNumId w:val="3567999"/>
  </w:num>
  <w:num w:numId="359">
    <w:abstractNumId w:val="3568000"/>
  </w:num>
  <w:num w:numId="360">
    <w:abstractNumId w:val="3568001"/>
  </w:num>
  <w:num w:numId="361">
    <w:abstractNumId w:val="3568002"/>
  </w:num>
  <w:num w:numId="362">
    <w:abstractNumId w:val="3568003"/>
  </w:num>
  <w:num w:numId="363">
    <w:abstractNumId w:val="3568004"/>
  </w:num>
  <w:num w:numId="364">
    <w:abstractNumId w:val="3568005"/>
  </w:num>
  <w:num w:numId="365">
    <w:abstractNumId w:val="3568006"/>
  </w:num>
  <w:num w:numId="366">
    <w:abstractNumId w:val="3568007"/>
  </w:num>
  <w:num w:numId="367">
    <w:abstractNumId w:val="3568008"/>
  </w:num>
  <w:num w:numId="368">
    <w:abstractNumId w:val="3568009"/>
  </w:num>
  <w:num w:numId="369">
    <w:abstractNumId w:val="3568010"/>
  </w:num>
  <w:num w:numId="370">
    <w:abstractNumId w:val="3568011"/>
  </w:num>
  <w:num w:numId="371">
    <w:abstractNumId w:val="3568012"/>
  </w:num>
  <w:num w:numId="372">
    <w:abstractNumId w:val="3568013"/>
  </w:num>
  <w:num w:numId="373">
    <w:abstractNumId w:val="3568014"/>
  </w:num>
  <w:num w:numId="374">
    <w:abstractNumId w:val="3568015"/>
  </w:num>
  <w:num w:numId="375">
    <w:abstractNumId w:val="3568016"/>
  </w:num>
  <w:num w:numId="376">
    <w:abstractNumId w:val="3568017"/>
  </w:num>
  <w:num w:numId="377">
    <w:abstractNumId w:val="3568018"/>
  </w:num>
  <w:num w:numId="378">
    <w:abstractNumId w:val="3568019"/>
  </w:num>
  <w:num w:numId="379">
    <w:abstractNumId w:val="3568020"/>
  </w:num>
  <w:num w:numId="380">
    <w:abstractNumId w:val="3568021"/>
  </w:num>
  <w:num w:numId="381">
    <w:abstractNumId w:val="3568022"/>
  </w:num>
  <w:num w:numId="382">
    <w:abstractNumId w:val="3568023"/>
  </w:num>
  <w:num w:numId="383">
    <w:abstractNumId w:val="3568024"/>
  </w:num>
  <w:num w:numId="384">
    <w:abstractNumId w:val="3568025"/>
  </w:num>
  <w:num w:numId="385">
    <w:abstractNumId w:val="3568026"/>
  </w:num>
  <w:num w:numId="386">
    <w:abstractNumId w:val="3568027"/>
  </w:num>
  <w:num w:numId="387">
    <w:abstractNumId w:val="3568028"/>
  </w:num>
  <w:num w:numId="388">
    <w:abstractNumId w:val="3568029"/>
  </w:num>
  <w:num w:numId="389">
    <w:abstractNumId w:val="3568030"/>
  </w:num>
  <w:num w:numId="390">
    <w:abstractNumId w:val="3568031"/>
  </w:num>
  <w:num w:numId="391">
    <w:abstractNumId w:val="3568032"/>
  </w:num>
  <w:num w:numId="392">
    <w:abstractNumId w:val="3568033"/>
  </w:num>
  <w:num w:numId="393">
    <w:abstractNumId w:val="3568034"/>
  </w:num>
  <w:num w:numId="394">
    <w:abstractNumId w:val="3568035"/>
  </w:num>
  <w:num w:numId="395">
    <w:abstractNumId w:val="3568036"/>
  </w:num>
  <w:num w:numId="396">
    <w:abstractNumId w:val="3568037"/>
  </w:num>
  <w:num w:numId="397">
    <w:abstractNumId w:val="3568038"/>
  </w:num>
  <w:num w:numId="398">
    <w:abstractNumId w:val="3568039"/>
  </w:num>
  <w:num w:numId="399">
    <w:abstractNumId w:val="3568040"/>
  </w:num>
  <w:num w:numId="400">
    <w:abstractNumId w:val="3568041"/>
  </w:num>
  <w:num w:numId="401">
    <w:abstractNumId w:val="3568042"/>
  </w:num>
  <w:num w:numId="402">
    <w:abstractNumId w:val="3568043"/>
  </w:num>
  <w:num w:numId="403">
    <w:abstractNumId w:val="3568044"/>
  </w:num>
  <w:num w:numId="404">
    <w:abstractNumId w:val="3568045"/>
  </w:num>
  <w:num w:numId="405">
    <w:abstractNumId w:val="3568046"/>
  </w:num>
  <w:num w:numId="406">
    <w:abstractNumId w:val="3568047"/>
  </w:num>
  <w:num w:numId="407">
    <w:abstractNumId w:val="3568048"/>
  </w:num>
  <w:num w:numId="408">
    <w:abstractNumId w:val="3568049"/>
  </w:num>
  <w:num w:numId="409">
    <w:abstractNumId w:val="3568050"/>
  </w:num>
  <w:num w:numId="410">
    <w:abstractNumId w:val="3568051"/>
  </w:num>
  <w:num w:numId="411">
    <w:abstractNumId w:val="3568052"/>
  </w:num>
  <w:num w:numId="412">
    <w:abstractNumId w:val="3568053"/>
  </w:num>
  <w:num w:numId="413">
    <w:abstractNumId w:val="3568054"/>
  </w:num>
  <w:num w:numId="414">
    <w:abstractNumId w:val="3568055"/>
  </w:num>
  <w:num w:numId="415">
    <w:abstractNumId w:val="3568056"/>
  </w:num>
  <w:num w:numId="416">
    <w:abstractNumId w:val="3568057"/>
  </w:num>
  <w:num w:numId="417">
    <w:abstractNumId w:val="3568058"/>
  </w:num>
  <w:num w:numId="418">
    <w:abstractNumId w:val="3568059"/>
  </w:num>
  <w:num w:numId="419">
    <w:abstractNumId w:val="3568060"/>
  </w:num>
  <w:num w:numId="420">
    <w:abstractNumId w:val="3568061"/>
  </w:num>
  <w:num w:numId="421">
    <w:abstractNumId w:val="3568062"/>
  </w:num>
  <w:num w:numId="422">
    <w:abstractNumId w:val="3568063"/>
  </w:num>
  <w:num w:numId="423">
    <w:abstractNumId w:val="3568064"/>
  </w:num>
  <w:num w:numId="424">
    <w:abstractNumId w:val="3568065"/>
  </w:num>
  <w:num w:numId="425">
    <w:abstractNumId w:val="3568066"/>
  </w:num>
  <w:num w:numId="426">
    <w:abstractNumId w:val="3568067"/>
  </w:num>
  <w:num w:numId="427">
    <w:abstractNumId w:val="3568068"/>
  </w:num>
  <w:num w:numId="428">
    <w:abstractNumId w:val="3568069"/>
  </w:num>
  <w:num w:numId="429">
    <w:abstractNumId w:val="3568070"/>
  </w:num>
  <w:num w:numId="430">
    <w:abstractNumId w:val="3568071"/>
  </w:num>
  <w:num w:numId="431">
    <w:abstractNumId w:val="3568072"/>
  </w:num>
  <w:num w:numId="432">
    <w:abstractNumId w:val="3568073"/>
  </w:num>
  <w:num w:numId="433">
    <w:abstractNumId w:val="3568074"/>
  </w:num>
  <w:num w:numId="434">
    <w:abstractNumId w:val="3568075"/>
  </w:num>
  <w:num w:numId="435">
    <w:abstractNumId w:val="3568076"/>
  </w:num>
  <w:num w:numId="436">
    <w:abstractNumId w:val="3568077"/>
  </w:num>
  <w:num w:numId="437">
    <w:abstractNumId w:val="3568078"/>
  </w:num>
  <w:num w:numId="438">
    <w:abstractNumId w:val="3568079"/>
  </w:num>
  <w:num w:numId="439">
    <w:abstractNumId w:val="3568080"/>
  </w:num>
  <w:num w:numId="440">
    <w:abstractNumId w:val="3568081"/>
  </w:num>
  <w:num w:numId="441">
    <w:abstractNumId w:val="3568082"/>
  </w:num>
  <w:num w:numId="442">
    <w:abstractNumId w:val="3568083"/>
  </w:num>
  <w:num w:numId="443">
    <w:abstractNumId w:val="3568084"/>
  </w:num>
  <w:num w:numId="444">
    <w:abstractNumId w:val="3568085"/>
  </w:num>
  <w:num w:numId="445">
    <w:abstractNumId w:val="3568086"/>
  </w:num>
  <w:num w:numId="446">
    <w:abstractNumId w:val="3568087"/>
  </w:num>
  <w:num w:numId="447">
    <w:abstractNumId w:val="3568088"/>
  </w:num>
  <w:num w:numId="448">
    <w:abstractNumId w:val="3568089"/>
  </w:num>
  <w:num w:numId="449">
    <w:abstractNumId w:val="3568090"/>
  </w:num>
  <w:num w:numId="450">
    <w:abstractNumId w:val="3568091"/>
  </w:num>
  <w:num w:numId="451">
    <w:abstractNumId w:val="3568092"/>
  </w:num>
  <w:num w:numId="452">
    <w:abstractNumId w:val="3568093"/>
  </w:num>
  <w:num w:numId="453">
    <w:abstractNumId w:val="3568094"/>
  </w:num>
  <w:num w:numId="454">
    <w:abstractNumId w:val="3568095"/>
  </w:num>
  <w:num w:numId="455">
    <w:abstractNumId w:val="3568096"/>
  </w:num>
  <w:num w:numId="456">
    <w:abstractNumId w:val="3568097"/>
  </w:num>
  <w:num w:numId="457">
    <w:abstractNumId w:val="3568098"/>
  </w:num>
  <w:num w:numId="458">
    <w:abstractNumId w:val="3568099"/>
  </w:num>
  <w:num w:numId="459">
    <w:abstractNumId w:val="3568100"/>
  </w:num>
  <w:num w:numId="460">
    <w:abstractNumId w:val="3568101"/>
  </w:num>
  <w:num w:numId="461">
    <w:abstractNumId w:val="3568102"/>
  </w:num>
  <w:num w:numId="462">
    <w:abstractNumId w:val="3568103"/>
  </w:num>
  <w:num w:numId="463">
    <w:abstractNumId w:val="3568104"/>
  </w:num>
  <w:num w:numId="464">
    <w:abstractNumId w:val="3568105"/>
  </w:num>
  <w:num w:numId="465">
    <w:abstractNumId w:val="3568106"/>
  </w:num>
  <w:num w:numId="466">
    <w:abstractNumId w:val="3568107"/>
  </w:num>
  <w:num w:numId="467">
    <w:abstractNumId w:val="3568108"/>
  </w:num>
  <w:num w:numId="468">
    <w:abstractNumId w:val="3568109"/>
  </w:num>
  <w:num w:numId="469">
    <w:abstractNumId w:val="3568110"/>
  </w:num>
  <w:num w:numId="470">
    <w:abstractNumId w:val="3568111"/>
  </w:num>
  <w:num w:numId="471">
    <w:abstractNumId w:val="3568112"/>
  </w:num>
  <w:num w:numId="472">
    <w:abstractNumId w:val="3568113"/>
  </w:num>
  <w:num w:numId="473">
    <w:abstractNumId w:val="3568114"/>
  </w:num>
  <w:num w:numId="474">
    <w:abstractNumId w:val="3568115"/>
  </w:num>
  <w:num w:numId="475">
    <w:abstractNumId w:val="3568116"/>
  </w:num>
  <w:num w:numId="476">
    <w:abstractNumId w:val="3568117"/>
  </w:num>
  <w:num w:numId="477">
    <w:abstractNumId w:val="3568118"/>
  </w:num>
  <w:num w:numId="478">
    <w:abstractNumId w:val="3568119"/>
  </w:num>
  <w:num w:numId="479">
    <w:abstractNumId w:val="3568120"/>
  </w:num>
  <w:num w:numId="480">
    <w:abstractNumId w:val="3568121"/>
  </w:num>
  <w:num w:numId="481">
    <w:abstractNumId w:val="3568122"/>
  </w:num>
  <w:num w:numId="482">
    <w:abstractNumId w:val="3568123"/>
  </w:num>
  <w:num w:numId="483">
    <w:abstractNumId w:val="3568124"/>
  </w:num>
  <w:num w:numId="484">
    <w:abstractNumId w:val="3568125"/>
  </w:num>
  <w:num w:numId="485">
    <w:abstractNumId w:val="3568126"/>
  </w:num>
  <w:num w:numId="486">
    <w:abstractNumId w:val="3568127"/>
  </w:num>
  <w:num w:numId="487">
    <w:abstractNumId w:val="3568128"/>
  </w:num>
  <w:num w:numId="488">
    <w:abstractNumId w:val="3568129"/>
  </w:num>
  <w:num w:numId="489">
    <w:abstractNumId w:val="3568130"/>
  </w:num>
  <w:num w:numId="490">
    <w:abstractNumId w:val="3568131"/>
  </w:num>
  <w:num w:numId="491">
    <w:abstractNumId w:val="3568132"/>
  </w:num>
  <w:num w:numId="492">
    <w:abstractNumId w:val="3568133"/>
  </w:num>
  <w:num w:numId="493">
    <w:abstractNumId w:val="3568134"/>
  </w:num>
  <w:num w:numId="494">
    <w:abstractNumId w:val="3568135"/>
  </w:num>
  <w:num w:numId="495">
    <w:abstractNumId w:val="3568136"/>
  </w:num>
  <w:num w:numId="496">
    <w:abstractNumId w:val="3568137"/>
  </w:num>
  <w:num w:numId="497">
    <w:abstractNumId w:val="3568138"/>
  </w:num>
  <w:num w:numId="498">
    <w:abstractNumId w:val="3568139"/>
  </w:num>
  <w:num w:numId="499">
    <w:abstractNumId w:val="3568140"/>
  </w:num>
  <w:num w:numId="500">
    <w:abstractNumId w:val="3568141"/>
  </w:num>
  <w:num w:numId="501">
    <w:abstractNumId w:val="3568142"/>
  </w:num>
  <w:num w:numId="502">
    <w:abstractNumId w:val="3568143"/>
  </w:num>
  <w:num w:numId="503">
    <w:abstractNumId w:val="3568144"/>
  </w:num>
  <w:num w:numId="504">
    <w:abstractNumId w:val="3568145"/>
  </w:num>
  <w:num w:numId="505">
    <w:abstractNumId w:val="3568146"/>
  </w:num>
  <w:num w:numId="506">
    <w:abstractNumId w:val="3568147"/>
  </w:num>
  <w:num w:numId="507">
    <w:abstractNumId w:val="3568148"/>
  </w:num>
  <w:num w:numId="508">
    <w:abstractNumId w:val="3568149"/>
  </w:num>
  <w:num w:numId="509">
    <w:abstractNumId w:val="3568150"/>
  </w:num>
  <w:num w:numId="510">
    <w:abstractNumId w:val="3568151"/>
  </w:num>
  <w:num w:numId="511">
    <w:abstractNumId w:val="3568152"/>
  </w:num>
  <w:num w:numId="512">
    <w:abstractNumId w:val="3568153"/>
  </w:num>
  <w:num w:numId="513">
    <w:abstractNumId w:val="3568154"/>
  </w:num>
  <w:num w:numId="514">
    <w:abstractNumId w:val="3568155"/>
  </w:num>
  <w:num w:numId="515">
    <w:abstractNumId w:val="3568156"/>
  </w:num>
  <w:num w:numId="516">
    <w:abstractNumId w:val="3568157"/>
  </w:num>
  <w:num w:numId="517">
    <w:abstractNumId w:val="3568158"/>
  </w:num>
  <w:num w:numId="518">
    <w:abstractNumId w:val="3568159"/>
  </w:num>
  <w:num w:numId="519">
    <w:abstractNumId w:val="3568160"/>
  </w:num>
  <w:num w:numId="520">
    <w:abstractNumId w:val="3568161"/>
  </w:num>
  <w:num w:numId="521">
    <w:abstractNumId w:val="3568162"/>
  </w:num>
  <w:num w:numId="522">
    <w:abstractNumId w:val="3568163"/>
  </w:num>
  <w:num w:numId="523">
    <w:abstractNumId w:val="3568164"/>
  </w:num>
  <w:num w:numId="524">
    <w:abstractNumId w:val="3568165"/>
  </w:num>
  <w:num w:numId="525">
    <w:abstractNumId w:val="3568166"/>
  </w:num>
  <w:num w:numId="526">
    <w:abstractNumId w:val="3568167"/>
  </w:num>
  <w:num w:numId="527">
    <w:abstractNumId w:val="3568168"/>
  </w:num>
  <w:num w:numId="528">
    <w:abstractNumId w:val="3568169"/>
  </w:num>
  <w:num w:numId="529">
    <w:abstractNumId w:val="3568170"/>
  </w:num>
  <w:num w:numId="530">
    <w:abstractNumId w:val="3568171"/>
  </w:num>
  <w:num w:numId="531">
    <w:abstractNumId w:val="3568172"/>
  </w:num>
  <w:num w:numId="532">
    <w:abstractNumId w:val="3568173"/>
  </w:num>
  <w:num w:numId="533">
    <w:abstractNumId w:val="3568174"/>
  </w:num>
  <w:num w:numId="534">
    <w:abstractNumId w:val="3568175"/>
  </w:num>
  <w:num w:numId="535">
    <w:abstractNumId w:val="3568176"/>
  </w:num>
  <w:num w:numId="536">
    <w:abstractNumId w:val="3568177"/>
  </w:num>
  <w:num w:numId="537">
    <w:abstractNumId w:val="3568178"/>
  </w:num>
  <w:num w:numId="538">
    <w:abstractNumId w:val="3568179"/>
  </w:num>
  <w:num w:numId="539">
    <w:abstractNumId w:val="3568180"/>
  </w:num>
  <w:num w:numId="540">
    <w:abstractNumId w:val="3568181"/>
  </w:num>
  <w:num w:numId="541">
    <w:abstractNumId w:val="3568182"/>
  </w:num>
  <w:num w:numId="542">
    <w:abstractNumId w:val="3568183"/>
  </w:num>
  <w:num w:numId="543">
    <w:abstractNumId w:val="3568184"/>
  </w:num>
  <w:num w:numId="544">
    <w:abstractNumId w:val="3568185"/>
  </w:num>
  <w:num w:numId="545">
    <w:abstractNumId w:val="3568186"/>
  </w:num>
  <w:num w:numId="546">
    <w:abstractNumId w:val="3568187"/>
  </w:num>
  <w:num w:numId="547">
    <w:abstractNumId w:val="3568188"/>
  </w:num>
  <w:num w:numId="548">
    <w:abstractNumId w:val="3568189"/>
  </w:num>
  <w:num w:numId="549">
    <w:abstractNumId w:val="3568190"/>
  </w:num>
  <w:num w:numId="550">
    <w:abstractNumId w:val="3568191"/>
  </w:num>
  <w:num w:numId="551">
    <w:abstractNumId w:val="3568192"/>
  </w:num>
  <w:num w:numId="552">
    <w:abstractNumId w:val="3568193"/>
  </w:num>
  <w:num w:numId="553">
    <w:abstractNumId w:val="3568194"/>
  </w:num>
  <w:num w:numId="554">
    <w:abstractNumId w:val="3568195"/>
  </w:num>
  <w:num w:numId="555">
    <w:abstractNumId w:val="3568196"/>
  </w:num>
  <w:num w:numId="556">
    <w:abstractNumId w:val="3568197"/>
  </w:num>
  <w:num w:numId="557">
    <w:abstractNumId w:val="3568198"/>
  </w:num>
  <w:num w:numId="558">
    <w:abstractNumId w:val="3568199"/>
  </w:num>
  <w:num w:numId="559">
    <w:abstractNumId w:val="3568200"/>
  </w:num>
  <w:num w:numId="560">
    <w:abstractNumId w:val="3568201"/>
  </w:num>
  <w:num w:numId="561">
    <w:abstractNumId w:val="3568202"/>
  </w:num>
  <w:num w:numId="562">
    <w:abstractNumId w:val="3568203"/>
  </w:num>
  <w:num w:numId="563">
    <w:abstractNumId w:val="3568204"/>
  </w:num>
  <w:num w:numId="564">
    <w:abstractNumId w:val="3568205"/>
  </w:num>
  <w:num w:numId="565">
    <w:abstractNumId w:val="3568206"/>
  </w:num>
  <w:num w:numId="566">
    <w:abstractNumId w:val="3568207"/>
  </w:num>
  <w:num w:numId="567">
    <w:abstractNumId w:val="3568208"/>
  </w:num>
  <w:num w:numId="568">
    <w:abstractNumId w:val="3568209"/>
  </w:num>
  <w:num w:numId="569">
    <w:abstractNumId w:val="3568210"/>
  </w:num>
  <w:num w:numId="570">
    <w:abstractNumId w:val="3568211"/>
  </w:num>
  <w:num w:numId="571">
    <w:abstractNumId w:val="3568212"/>
  </w:num>
  <w:num w:numId="572">
    <w:abstractNumId w:val="3568213"/>
  </w:num>
  <w:num w:numId="573">
    <w:abstractNumId w:val="3568214"/>
  </w:num>
  <w:num w:numId="574">
    <w:abstractNumId w:val="3568215"/>
  </w:num>
  <w:num w:numId="575">
    <w:abstractNumId w:val="3568216"/>
  </w:num>
  <w:num w:numId="576">
    <w:abstractNumId w:val="3568217"/>
  </w:num>
  <w:num w:numId="577">
    <w:abstractNumId w:val="3568218"/>
  </w:num>
  <w:num w:numId="578">
    <w:abstractNumId w:val="3568219"/>
  </w:num>
  <w:num w:numId="579">
    <w:abstractNumId w:val="3568220"/>
  </w:num>
  <w:num w:numId="580">
    <w:abstractNumId w:val="3568221"/>
  </w:num>
  <w:num w:numId="581">
    <w:abstractNumId w:val="3568222"/>
  </w:num>
  <w:num w:numId="582">
    <w:abstractNumId w:val="3568223"/>
  </w:num>
  <w:num w:numId="583">
    <w:abstractNumId w:val="3568224"/>
  </w:num>
  <w:num w:numId="584">
    <w:abstractNumId w:val="3568225"/>
  </w:num>
  <w:num w:numId="585">
    <w:abstractNumId w:val="3568226"/>
  </w:num>
  <w:num w:numId="586">
    <w:abstractNumId w:val="3568227"/>
  </w:num>
  <w:num w:numId="587">
    <w:abstractNumId w:val="3568228"/>
  </w:num>
  <w:num w:numId="588">
    <w:abstractNumId w:val="3568229"/>
  </w:num>
  <w:num w:numId="589">
    <w:abstractNumId w:val="3568230"/>
  </w:num>
  <w:num w:numId="590">
    <w:abstractNumId w:val="3568231"/>
  </w:num>
  <w:num w:numId="591">
    <w:abstractNumId w:val="3568232"/>
  </w:num>
  <w:num w:numId="592">
    <w:abstractNumId w:val="3568233"/>
  </w:num>
  <w:num w:numId="593">
    <w:abstractNumId w:val="3568234"/>
  </w:num>
  <w:num w:numId="594">
    <w:abstractNumId w:val="3568235"/>
  </w:num>
  <w:num w:numId="595">
    <w:abstractNumId w:val="3568236"/>
  </w:num>
  <w:num w:numId="596">
    <w:abstractNumId w:val="3568237"/>
  </w:num>
  <w:num w:numId="597">
    <w:abstractNumId w:val="3568238"/>
  </w:num>
  <w:num w:numId="598">
    <w:abstractNumId w:val="3568239"/>
  </w:num>
  <w:num w:numId="599">
    <w:abstractNumId w:val="3568240"/>
  </w:num>
  <w:num w:numId="600">
    <w:abstractNumId w:val="3568241"/>
  </w:num>
  <w:num w:numId="601">
    <w:abstractNumId w:val="3568242"/>
  </w:num>
  <w:num w:numId="602">
    <w:abstractNumId w:val="3568243"/>
  </w:num>
  <w:num w:numId="603">
    <w:abstractNumId w:val="3568244"/>
  </w:num>
  <w:num w:numId="604">
    <w:abstractNumId w:val="3568245"/>
  </w:num>
  <w:num w:numId="605">
    <w:abstractNumId w:val="3568246"/>
  </w:num>
  <w:num w:numId="606">
    <w:abstractNumId w:val="3568247"/>
  </w:num>
  <w:num w:numId="607">
    <w:abstractNumId w:val="3568248"/>
  </w:num>
  <w:num w:numId="608">
    <w:abstractNumId w:val="3568249"/>
  </w:num>
  <w:num w:numId="609">
    <w:abstractNumId w:val="3568250"/>
  </w:num>
  <w:num w:numId="610">
    <w:abstractNumId w:val="3568251"/>
  </w:num>
  <w:num w:numId="611">
    <w:abstractNumId w:val="3568252"/>
  </w:num>
  <w:num w:numId="612">
    <w:abstractNumId w:val="3568253"/>
  </w:num>
  <w:num w:numId="613">
    <w:abstractNumId w:val="3568254"/>
  </w:num>
  <w:num w:numId="614">
    <w:abstractNumId w:val="3568255"/>
  </w:num>
  <w:num w:numId="615">
    <w:abstractNumId w:val="3568256"/>
  </w:num>
  <w:num w:numId="616">
    <w:abstractNumId w:val="3568257"/>
  </w:num>
  <w:num w:numId="617">
    <w:abstractNumId w:val="3568258"/>
  </w:num>
  <w:num w:numId="618">
    <w:abstractNumId w:val="3568259"/>
  </w:num>
  <w:num w:numId="619">
    <w:abstractNumId w:val="3568260"/>
  </w:num>
  <w:num w:numId="620">
    <w:abstractNumId w:val="3568261"/>
  </w:num>
  <w:num w:numId="621">
    <w:abstractNumId w:val="3568262"/>
  </w:num>
  <w:num w:numId="622">
    <w:abstractNumId w:val="3568263"/>
  </w:num>
  <w:num w:numId="623">
    <w:abstractNumId w:val="3568264"/>
  </w:num>
  <w:num w:numId="624">
    <w:abstractNumId w:val="3568265"/>
  </w:num>
  <w:num w:numId="625">
    <w:abstractNumId w:val="3568266"/>
  </w:num>
  <w:num w:numId="626">
    <w:abstractNumId w:val="3568267"/>
  </w:num>
  <w:num w:numId="627">
    <w:abstractNumId w:val="3568268"/>
  </w:num>
  <w:num w:numId="628">
    <w:abstractNumId w:val="3568269"/>
  </w:num>
  <w:num w:numId="629">
    <w:abstractNumId w:val="3568270"/>
  </w:num>
  <w:num w:numId="630">
    <w:abstractNumId w:val="3568271"/>
  </w:num>
  <w:num w:numId="631">
    <w:abstractNumId w:val="3568272"/>
  </w:num>
  <w:num w:numId="632">
    <w:abstractNumId w:val="3568273"/>
  </w:num>
  <w:num w:numId="633">
    <w:abstractNumId w:val="3568274"/>
  </w:num>
  <w:num w:numId="634">
    <w:abstractNumId w:val="3568275"/>
  </w:num>
  <w:num w:numId="635">
    <w:abstractNumId w:val="3568276"/>
  </w:num>
  <w:num w:numId="636">
    <w:abstractNumId w:val="3568277"/>
  </w:num>
  <w:num w:numId="637">
    <w:abstractNumId w:val="3568278"/>
  </w:num>
  <w:num w:numId="638">
    <w:abstractNumId w:val="3568279"/>
  </w:num>
  <w:num w:numId="639">
    <w:abstractNumId w:val="3568280"/>
  </w:num>
  <w:num w:numId="640">
    <w:abstractNumId w:val="3568281"/>
  </w:num>
  <w:num w:numId="641">
    <w:abstractNumId w:val="3568282"/>
  </w:num>
  <w:num w:numId="642">
    <w:abstractNumId w:val="3568283"/>
  </w:num>
  <w:num w:numId="643">
    <w:abstractNumId w:val="3568284"/>
  </w:num>
  <w:num w:numId="644">
    <w:abstractNumId w:val="3568285"/>
  </w:num>
  <w:num w:numId="645">
    <w:abstractNumId w:val="3568286"/>
  </w:num>
  <w:num w:numId="646">
    <w:abstractNumId w:val="3568287"/>
  </w:num>
  <w:num w:numId="647">
    <w:abstractNumId w:val="3568288"/>
  </w:num>
  <w:num w:numId="648">
    <w:abstractNumId w:val="3568289"/>
  </w:num>
  <w:num w:numId="649">
    <w:abstractNumId w:val="3568290"/>
  </w:num>
  <w:num w:numId="650">
    <w:abstractNumId w:val="3568291"/>
  </w:num>
  <w:num w:numId="651">
    <w:abstractNumId w:val="3568292"/>
  </w:num>
  <w:num w:numId="652">
    <w:abstractNumId w:val="3568293"/>
  </w:num>
  <w:num w:numId="653">
    <w:abstractNumId w:val="3568294"/>
  </w:num>
  <w:num w:numId="654">
    <w:abstractNumId w:val="3568295"/>
  </w:num>
  <w:num w:numId="655">
    <w:abstractNumId w:val="3568296"/>
  </w:num>
  <w:num w:numId="656">
    <w:abstractNumId w:val="3568297"/>
  </w:num>
  <w:num w:numId="657">
    <w:abstractNumId w:val="3568298"/>
  </w:num>
  <w:num w:numId="658">
    <w:abstractNumId w:val="3568299"/>
  </w:num>
  <w:num w:numId="659">
    <w:abstractNumId w:val="3568300"/>
  </w:num>
  <w:num w:numId="660">
    <w:abstractNumId w:val="3568301"/>
  </w:num>
  <w:num w:numId="661">
    <w:abstractNumId w:val="3568302"/>
  </w:num>
  <w:num w:numId="662">
    <w:abstractNumId w:val="3568303"/>
  </w:num>
  <w:num w:numId="663">
    <w:abstractNumId w:val="3568304"/>
  </w:num>
  <w:num w:numId="664">
    <w:abstractNumId w:val="3568305"/>
  </w:num>
  <w:num w:numId="665">
    <w:abstractNumId w:val="3568306"/>
  </w:num>
  <w:num w:numId="666">
    <w:abstractNumId w:val="3568307"/>
  </w:num>
  <w:num w:numId="667">
    <w:abstractNumId w:val="3568308"/>
  </w:num>
  <w:num w:numId="668">
    <w:abstractNumId w:val="3568309"/>
  </w:num>
  <w:num w:numId="669">
    <w:abstractNumId w:val="3568310"/>
  </w:num>
  <w:num w:numId="670">
    <w:abstractNumId w:val="3568311"/>
  </w:num>
  <w:num w:numId="671">
    <w:abstractNumId w:val="3568312"/>
  </w:num>
  <w:num w:numId="672">
    <w:abstractNumId w:val="3568313"/>
  </w:num>
  <w:num w:numId="673">
    <w:abstractNumId w:val="3568314"/>
  </w:num>
  <w:num w:numId="674">
    <w:abstractNumId w:val="3568315"/>
  </w:num>
  <w:num w:numId="675">
    <w:abstractNumId w:val="3568316"/>
  </w:num>
  <w:num w:numId="676">
    <w:abstractNumId w:val="3568317"/>
  </w:num>
  <w:num w:numId="677">
    <w:abstractNumId w:val="3568318"/>
  </w:num>
  <w:num w:numId="678">
    <w:abstractNumId w:val="3568319"/>
  </w:num>
  <w:num w:numId="679">
    <w:abstractNumId w:val="3568320"/>
  </w:num>
  <w:num w:numId="680">
    <w:abstractNumId w:val="3568321"/>
  </w:num>
  <w:num w:numId="681">
    <w:abstractNumId w:val="3568322"/>
  </w:num>
  <w:num w:numId="682">
    <w:abstractNumId w:val="3568323"/>
  </w:num>
  <w:num w:numId="683">
    <w:abstractNumId w:val="3568324"/>
  </w:num>
  <w:num w:numId="684">
    <w:abstractNumId w:val="3568325"/>
  </w:num>
  <w:num w:numId="685">
    <w:abstractNumId w:val="3568326"/>
  </w:num>
  <w:num w:numId="686">
    <w:abstractNumId w:val="3568327"/>
  </w:num>
  <w:num w:numId="687">
    <w:abstractNumId w:val="3568328"/>
  </w:num>
  <w:num w:numId="688">
    <w:abstractNumId w:val="3568329"/>
  </w:num>
  <w:num w:numId="689">
    <w:abstractNumId w:val="3568330"/>
  </w:num>
  <w:num w:numId="690">
    <w:abstractNumId w:val="3568331"/>
  </w:num>
  <w:num w:numId="691">
    <w:abstractNumId w:val="3568332"/>
  </w:num>
  <w:num w:numId="692">
    <w:abstractNumId w:val="3568333"/>
  </w:num>
  <w:num w:numId="693">
    <w:abstractNumId w:val="3568334"/>
  </w:num>
  <w:num w:numId="694">
    <w:abstractNumId w:val="3568335"/>
  </w:num>
  <w:num w:numId="695">
    <w:abstractNumId w:val="3568336"/>
  </w:num>
  <w:num w:numId="696">
    <w:abstractNumId w:val="3568337"/>
  </w:num>
  <w:num w:numId="697">
    <w:abstractNumId w:val="3568338"/>
  </w:num>
  <w:num w:numId="698">
    <w:abstractNumId w:val="3568339"/>
  </w:num>
  <w:num w:numId="699">
    <w:abstractNumId w:val="3568340"/>
  </w:num>
  <w:num w:numId="700">
    <w:abstractNumId w:val="3568341"/>
  </w:num>
  <w:num w:numId="701">
    <w:abstractNumId w:val="3568342"/>
  </w:num>
  <w:num w:numId="702">
    <w:abstractNumId w:val="3568343"/>
  </w:num>
  <w:num w:numId="703">
    <w:abstractNumId w:val="3568344"/>
  </w:num>
  <w:num w:numId="704">
    <w:abstractNumId w:val="3568345"/>
  </w:num>
  <w:num w:numId="705">
    <w:abstractNumId w:val="3568346"/>
  </w:num>
  <w:num w:numId="706">
    <w:abstractNumId w:val="3568347"/>
  </w:num>
  <w:num w:numId="707">
    <w:abstractNumId w:val="3568348"/>
  </w:num>
  <w:num w:numId="708">
    <w:abstractNumId w:val="3568349"/>
  </w:num>
  <w:num w:numId="709">
    <w:abstractNumId w:val="3568350"/>
  </w:num>
  <w:num w:numId="710">
    <w:abstractNumId w:val="3568351"/>
  </w:num>
  <w:num w:numId="711">
    <w:abstractNumId w:val="3568352"/>
  </w:num>
  <w:num w:numId="712">
    <w:abstractNumId w:val="3568353"/>
  </w:num>
  <w:num w:numId="713">
    <w:abstractNumId w:val="3568354"/>
  </w:num>
  <w:num w:numId="714">
    <w:abstractNumId w:val="3568355"/>
  </w:num>
  <w:num w:numId="715">
    <w:abstractNumId w:val="3568356"/>
  </w:num>
  <w:num w:numId="716">
    <w:abstractNumId w:val="3568357"/>
  </w:num>
  <w:num w:numId="717">
    <w:abstractNumId w:val="3568358"/>
  </w:num>
  <w:num w:numId="718">
    <w:abstractNumId w:val="3568359"/>
  </w:num>
  <w:num w:numId="719">
    <w:abstractNumId w:val="3568360"/>
  </w:num>
  <w:num w:numId="720">
    <w:abstractNumId w:val="3568361"/>
  </w:num>
  <w:num w:numId="721">
    <w:abstractNumId w:val="3568362"/>
  </w:num>
  <w:num w:numId="722">
    <w:abstractNumId w:val="3568363"/>
  </w:num>
  <w:num w:numId="723">
    <w:abstractNumId w:val="3568364"/>
  </w:num>
  <w:num w:numId="724">
    <w:abstractNumId w:val="3568365"/>
  </w:num>
  <w:num w:numId="725">
    <w:abstractNumId w:val="3568366"/>
  </w:num>
  <w:num w:numId="726">
    <w:abstractNumId w:val="3568367"/>
  </w:num>
  <w:num w:numId="727">
    <w:abstractNumId w:val="3568368"/>
  </w:num>
  <w:num w:numId="728">
    <w:abstractNumId w:val="3568369"/>
  </w:num>
  <w:num w:numId="729">
    <w:abstractNumId w:val="3568370"/>
  </w:num>
  <w:num w:numId="730">
    <w:abstractNumId w:val="3568371"/>
  </w:num>
  <w:num w:numId="731">
    <w:abstractNumId w:val="3568372"/>
  </w:num>
  <w:num w:numId="732">
    <w:abstractNumId w:val="3568373"/>
  </w:num>
  <w:num w:numId="733">
    <w:abstractNumId w:val="3568374"/>
  </w:num>
  <w:num w:numId="734">
    <w:abstractNumId w:val="3568375"/>
  </w:num>
  <w:num w:numId="735">
    <w:abstractNumId w:val="3568376"/>
  </w:num>
  <w:num w:numId="736">
    <w:abstractNumId w:val="3568377"/>
  </w:num>
  <w:num w:numId="737">
    <w:abstractNumId w:val="3568378"/>
  </w:num>
  <w:num w:numId="738">
    <w:abstractNumId w:val="3568379"/>
  </w:num>
  <w:num w:numId="739">
    <w:abstractNumId w:val="3568380"/>
  </w:num>
  <w:num w:numId="740">
    <w:abstractNumId w:val="3568381"/>
  </w:num>
  <w:num w:numId="741">
    <w:abstractNumId w:val="3568382"/>
  </w:num>
  <w:num w:numId="742">
    <w:abstractNumId w:val="3568383"/>
  </w:num>
  <w:num w:numId="743">
    <w:abstractNumId w:val="3568384"/>
  </w:num>
  <w:num w:numId="744">
    <w:abstractNumId w:val="3568385"/>
  </w:num>
  <w:num w:numId="745">
    <w:abstractNumId w:val="3568386"/>
  </w:num>
  <w:num w:numId="746">
    <w:abstractNumId w:val="3568387"/>
  </w:num>
  <w:num w:numId="747">
    <w:abstractNumId w:val="3568388"/>
  </w:num>
  <w:num w:numId="748">
    <w:abstractNumId w:val="3568389"/>
  </w:num>
  <w:num w:numId="749">
    <w:abstractNumId w:val="3568390"/>
  </w:num>
  <w:num w:numId="750">
    <w:abstractNumId w:val="3568391"/>
  </w:num>
  <w:num w:numId="751">
    <w:abstractNumId w:val="3568392"/>
  </w:num>
  <w:num w:numId="752">
    <w:abstractNumId w:val="3568393"/>
  </w:num>
  <w:num w:numId="753">
    <w:abstractNumId w:val="3568394"/>
  </w:num>
  <w:num w:numId="754">
    <w:abstractNumId w:val="3568395"/>
  </w:num>
  <w:num w:numId="755">
    <w:abstractNumId w:val="3568396"/>
  </w:num>
  <w:num w:numId="756">
    <w:abstractNumId w:val="3568397"/>
  </w:num>
  <w:num w:numId="757">
    <w:abstractNumId w:val="3568398"/>
  </w:num>
  <w:num w:numId="758">
    <w:abstractNumId w:val="3568399"/>
  </w:num>
  <w:num w:numId="759">
    <w:abstractNumId w:val="3568400"/>
  </w:num>
  <w:num w:numId="760">
    <w:abstractNumId w:val="3568401"/>
  </w:num>
  <w:num w:numId="761">
    <w:abstractNumId w:val="3568402"/>
  </w:num>
  <w:num w:numId="762">
    <w:abstractNumId w:val="3568403"/>
  </w:num>
  <w:num w:numId="763">
    <w:abstractNumId w:val="3568404"/>
  </w:num>
  <w:num w:numId="764">
    <w:abstractNumId w:val="3568405"/>
  </w:num>
  <w:num w:numId="765">
    <w:abstractNumId w:val="3568406"/>
  </w:num>
  <w:num w:numId="766">
    <w:abstractNumId w:val="3568407"/>
  </w:num>
  <w:num w:numId="767">
    <w:abstractNumId w:val="3568408"/>
  </w:num>
  <w:num w:numId="768">
    <w:abstractNumId w:val="3568409"/>
  </w:num>
  <w:num w:numId="769">
    <w:abstractNumId w:val="3568410"/>
  </w:num>
  <w:num w:numId="770">
    <w:abstractNumId w:val="3568411"/>
  </w:num>
  <w:num w:numId="771">
    <w:abstractNumId w:val="3568412"/>
  </w:num>
  <w:num w:numId="772">
    <w:abstractNumId w:val="3568413"/>
  </w:num>
  <w:num w:numId="773">
    <w:abstractNumId w:val="3568414"/>
  </w:num>
  <w:num w:numId="774">
    <w:abstractNumId w:val="3568415"/>
  </w:num>
  <w:num w:numId="775">
    <w:abstractNumId w:val="3568416"/>
  </w:num>
  <w:num w:numId="776">
    <w:abstractNumId w:val="3568417"/>
  </w:num>
  <w:num w:numId="777">
    <w:abstractNumId w:val="3568418"/>
  </w:num>
  <w:num w:numId="778">
    <w:abstractNumId w:val="3568419"/>
  </w:num>
  <w:num w:numId="779">
    <w:abstractNumId w:val="3568420"/>
  </w:num>
  <w:num w:numId="780">
    <w:abstractNumId w:val="3568421"/>
  </w:num>
  <w:num w:numId="781">
    <w:abstractNumId w:val="3568422"/>
  </w:num>
  <w:num w:numId="782">
    <w:abstractNumId w:val="3568423"/>
  </w:num>
  <w:num w:numId="783">
    <w:abstractNumId w:val="3568424"/>
  </w:num>
  <w:num w:numId="784">
    <w:abstractNumId w:val="3568425"/>
  </w:num>
  <w:num w:numId="785">
    <w:abstractNumId w:val="3568426"/>
  </w:num>
  <w:num w:numId="786">
    <w:abstractNumId w:val="3568427"/>
  </w:num>
  <w:num w:numId="787">
    <w:abstractNumId w:val="3568428"/>
  </w:num>
  <w:num w:numId="788">
    <w:abstractNumId w:val="3568429"/>
  </w:num>
  <w:num w:numId="789">
    <w:abstractNumId w:val="3568430"/>
  </w:num>
  <w:num w:numId="790">
    <w:abstractNumId w:val="3568431"/>
  </w:num>
  <w:num w:numId="791">
    <w:abstractNumId w:val="3568432"/>
  </w:num>
  <w:num w:numId="792">
    <w:abstractNumId w:val="3568433"/>
  </w:num>
  <w:num w:numId="793">
    <w:abstractNumId w:val="3568434"/>
  </w:num>
  <w:num w:numId="794">
    <w:abstractNumId w:val="3568435"/>
  </w:num>
  <w:num w:numId="795">
    <w:abstractNumId w:val="3568436"/>
  </w:num>
  <w:num w:numId="796">
    <w:abstractNumId w:val="3568437"/>
  </w:num>
  <w:num w:numId="797">
    <w:abstractNumId w:val="3568438"/>
  </w:num>
  <w:num w:numId="798">
    <w:abstractNumId w:val="3568439"/>
  </w:num>
  <w:num w:numId="799">
    <w:abstractNumId w:val="3568440"/>
  </w:num>
  <w:num w:numId="800">
    <w:abstractNumId w:val="3568441"/>
  </w:num>
  <w:num w:numId="801">
    <w:abstractNumId w:val="3568442"/>
  </w:num>
  <w:num w:numId="802">
    <w:abstractNumId w:val="3568443"/>
  </w:num>
  <w:num w:numId="803">
    <w:abstractNumId w:val="3568444"/>
  </w:num>
  <w:num w:numId="804">
    <w:abstractNumId w:val="3568445"/>
  </w:num>
  <w:num w:numId="805">
    <w:abstractNumId w:val="3568446"/>
  </w:num>
  <w:num w:numId="806">
    <w:abstractNumId w:val="3568447"/>
  </w:num>
  <w:num w:numId="807">
    <w:abstractNumId w:val="3568448"/>
  </w:num>
  <w:num w:numId="808">
    <w:abstractNumId w:val="3568449"/>
  </w:num>
  <w:num w:numId="809">
    <w:abstractNumId w:val="3568450"/>
  </w:num>
  <w:num w:numId="810">
    <w:abstractNumId w:val="3568451"/>
  </w:num>
  <w:num w:numId="811">
    <w:abstractNumId w:val="3568452"/>
  </w:num>
  <w:num w:numId="812">
    <w:abstractNumId w:val="3568453"/>
  </w:num>
  <w:num w:numId="813">
    <w:abstractNumId w:val="3568454"/>
  </w:num>
  <w:num w:numId="814">
    <w:abstractNumId w:val="3568455"/>
  </w:num>
  <w:num w:numId="815">
    <w:abstractNumId w:val="3568456"/>
  </w:num>
  <w:num w:numId="816">
    <w:abstractNumId w:val="3568457"/>
  </w:num>
  <w:num w:numId="817">
    <w:abstractNumId w:val="3568458"/>
  </w:num>
  <w:num w:numId="818">
    <w:abstractNumId w:val="3568459"/>
  </w:num>
  <w:num w:numId="819">
    <w:abstractNumId w:val="3568460"/>
  </w:num>
  <w:num w:numId="820">
    <w:abstractNumId w:val="3568461"/>
  </w:num>
  <w:num w:numId="821">
    <w:abstractNumId w:val="3568462"/>
  </w:num>
  <w:num w:numId="822">
    <w:abstractNumId w:val="3568463"/>
  </w:num>
  <w:num w:numId="823">
    <w:abstractNumId w:val="3568464"/>
  </w:num>
  <w:num w:numId="824">
    <w:abstractNumId w:val="3568465"/>
  </w:num>
  <w:num w:numId="825">
    <w:abstractNumId w:val="3568466"/>
  </w:num>
  <w:num w:numId="826">
    <w:abstractNumId w:val="3568467"/>
  </w:num>
  <w:num w:numId="827">
    <w:abstractNumId w:val="3568468"/>
  </w:num>
  <w:num w:numId="828">
    <w:abstractNumId w:val="3568469"/>
  </w:num>
  <w:num w:numId="829">
    <w:abstractNumId w:val="3568470"/>
  </w:num>
  <w:num w:numId="830">
    <w:abstractNumId w:val="3568471"/>
  </w:num>
  <w:num w:numId="831">
    <w:abstractNumId w:val="3568472"/>
  </w:num>
  <w:num w:numId="832">
    <w:abstractNumId w:val="3568473"/>
  </w:num>
  <w:num w:numId="833">
    <w:abstractNumId w:val="3568474"/>
  </w:num>
  <w:num w:numId="834">
    <w:abstractNumId w:val="3568475"/>
  </w:num>
  <w:num w:numId="835">
    <w:abstractNumId w:val="3568476"/>
  </w:num>
  <w:num w:numId="836">
    <w:abstractNumId w:val="3568477"/>
  </w:num>
  <w:num w:numId="837">
    <w:abstractNumId w:val="3568478"/>
  </w:num>
  <w:num w:numId="838">
    <w:abstractNumId w:val="3568479"/>
  </w:num>
  <w:num w:numId="839">
    <w:abstractNumId w:val="3568480"/>
  </w:num>
  <w:num w:numId="840">
    <w:abstractNumId w:val="3568481"/>
  </w:num>
  <w:num w:numId="841">
    <w:abstractNumId w:val="3568482"/>
  </w:num>
  <w:num w:numId="842">
    <w:abstractNumId w:val="3568483"/>
  </w:num>
  <w:num w:numId="843">
    <w:abstractNumId w:val="3568484"/>
  </w:num>
  <w:num w:numId="844">
    <w:abstractNumId w:val="3568485"/>
  </w:num>
  <w:num w:numId="845">
    <w:abstractNumId w:val="3568486"/>
  </w:num>
  <w:num w:numId="846">
    <w:abstractNumId w:val="3568487"/>
  </w:num>
  <w:num w:numId="847">
    <w:abstractNumId w:val="3568488"/>
  </w:num>
  <w:num w:numId="848">
    <w:abstractNumId w:val="3568489"/>
  </w:num>
  <w:num w:numId="849">
    <w:abstractNumId w:val="3568490"/>
  </w:num>
  <w:num w:numId="850">
    <w:abstractNumId w:val="3568491"/>
  </w:num>
  <w:num w:numId="851">
    <w:abstractNumId w:val="3568492"/>
  </w:num>
  <w:num w:numId="852">
    <w:abstractNumId w:val="3568493"/>
  </w:num>
  <w:num w:numId="853">
    <w:abstractNumId w:val="3568494"/>
  </w:num>
  <w:num w:numId="854">
    <w:abstractNumId w:val="3568495"/>
  </w:num>
  <w:num w:numId="855">
    <w:abstractNumId w:val="3568496"/>
  </w:num>
  <w:num w:numId="856">
    <w:abstractNumId w:val="3568497"/>
  </w:num>
  <w:num w:numId="857">
    <w:abstractNumId w:val="3568498"/>
  </w:num>
  <w:num w:numId="858">
    <w:abstractNumId w:val="3568499"/>
  </w:num>
  <w:num w:numId="859">
    <w:abstractNumId w:val="3568500"/>
  </w:num>
  <w:num w:numId="860">
    <w:abstractNumId w:val="3568501"/>
  </w:num>
  <w:num w:numId="861">
    <w:abstractNumId w:val="3568502"/>
  </w:num>
  <w:num w:numId="862">
    <w:abstractNumId w:val="3568503"/>
  </w:num>
  <w:num w:numId="863">
    <w:abstractNumId w:val="3568504"/>
  </w:num>
  <w:num w:numId="864">
    <w:abstractNumId w:val="3568505"/>
  </w:num>
  <w:num w:numId="865">
    <w:abstractNumId w:val="3568506"/>
  </w:num>
  <w:num w:numId="866">
    <w:abstractNumId w:val="3568507"/>
  </w:num>
  <w:num w:numId="867">
    <w:abstractNumId w:val="3568508"/>
  </w:num>
  <w:num w:numId="868">
    <w:abstractNumId w:val="3568509"/>
  </w:num>
  <w:num w:numId="869">
    <w:abstractNumId w:val="3568510"/>
  </w:num>
  <w:num w:numId="870">
    <w:abstractNumId w:val="3568511"/>
  </w:num>
  <w:num w:numId="871">
    <w:abstractNumId w:val="3568512"/>
  </w:num>
  <w:num w:numId="872">
    <w:abstractNumId w:val="3568513"/>
  </w:num>
  <w:num w:numId="873">
    <w:abstractNumId w:val="3568514"/>
  </w:num>
  <w:num w:numId="874">
    <w:abstractNumId w:val="3568515"/>
  </w:num>
  <w:num w:numId="875">
    <w:abstractNumId w:val="356851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dcnowjzu9ea7.feishu.cn/wiki/Rr0OwvgLRiYjjakKr95c4ew5nXc#share-A3frddDH4ow79fxCshgcnPEPnlb" TargetMode="External" Type="http://schemas.openxmlformats.org/officeDocument/2006/relationships/hyperlink"/><Relationship Id="rId100" Target="media/image46.png" Type="http://schemas.openxmlformats.org/officeDocument/2006/relationships/image"/><Relationship Id="rId101" Target="embeddings/Microsoft_Excel_Worksheet40.xlsx" Type="http://schemas.openxmlformats.org/officeDocument/2006/relationships/package"/><Relationship Id="rId102" Target="media/image47.png" Type="http://schemas.openxmlformats.org/officeDocument/2006/relationships/image"/><Relationship Id="rId103" Target="embeddings/Microsoft_Excel_Worksheet41.xlsx" Type="http://schemas.openxmlformats.org/officeDocument/2006/relationships/package"/><Relationship Id="rId104" Target="media/image48.png" Type="http://schemas.openxmlformats.org/officeDocument/2006/relationships/image"/><Relationship Id="rId105" Target="embeddings/Microsoft_Excel_Worksheet42.xlsx" Type="http://schemas.openxmlformats.org/officeDocument/2006/relationships/package"/><Relationship Id="rId106" Target="media/image49.png" Type="http://schemas.openxmlformats.org/officeDocument/2006/relationships/image"/><Relationship Id="rId107" Target="embeddings/Microsoft_Excel_Worksheet43.xlsx" Type="http://schemas.openxmlformats.org/officeDocument/2006/relationships/package"/><Relationship Id="rId108" Target="media/image50.png" Type="http://schemas.openxmlformats.org/officeDocument/2006/relationships/image"/><Relationship Id="rId109" Target="embeddings/Microsoft_Excel_Worksheet44.xlsx" Type="http://schemas.openxmlformats.org/officeDocument/2006/relationships/package"/><Relationship Id="rId11" Target="https://dcnowjzu9ea7.feishu.cn/wiki/Rr0OwvgLRiYjjakKr95c4ew5nXc#share-QgrWdEuz4oPbAFxkMx3cJuAknxg" TargetMode="External" Type="http://schemas.openxmlformats.org/officeDocument/2006/relationships/hyperlink"/><Relationship Id="rId110" Target="media/image51.png" Type="http://schemas.openxmlformats.org/officeDocument/2006/relationships/image"/><Relationship Id="rId111" Target="embeddings/Microsoft_Excel_Worksheet45.xlsx" Type="http://schemas.openxmlformats.org/officeDocument/2006/relationships/package"/><Relationship Id="rId112" Target="media/image52.png" Type="http://schemas.openxmlformats.org/officeDocument/2006/relationships/image"/><Relationship Id="rId113" Target="embeddings/Microsoft_Excel_Worksheet46.xlsx" Type="http://schemas.openxmlformats.org/officeDocument/2006/relationships/package"/><Relationship Id="rId114" Target="media/image53.png" Type="http://schemas.openxmlformats.org/officeDocument/2006/relationships/image"/><Relationship Id="rId115" Target="embeddings/Microsoft_Excel_Worksheet47.xlsx" Type="http://schemas.openxmlformats.org/officeDocument/2006/relationships/package"/><Relationship Id="rId116" Target="media/image54.png" Type="http://schemas.openxmlformats.org/officeDocument/2006/relationships/image"/><Relationship Id="rId117" Target="embeddings/Microsoft_Excel_Worksheet48.xlsx" Type="http://schemas.openxmlformats.org/officeDocument/2006/relationships/package"/><Relationship Id="rId118" Target="media/image55.png" Type="http://schemas.openxmlformats.org/officeDocument/2006/relationships/image"/><Relationship Id="rId119" Target="media/image56.png" Type="http://schemas.openxmlformats.org/officeDocument/2006/relationships/image"/><Relationship Id="rId12" Target="https://dcnowjzu9ea7.feishu.cn/wiki/Rr0OwvgLRiYjjakKr95c4ew5nXc#share-WDUodhK3eo9urRxuVIec0PIHnof" TargetMode="External" Type="http://schemas.openxmlformats.org/officeDocument/2006/relationships/hyperlink"/><Relationship Id="rId120" Target="embeddings/Microsoft_Excel_Worksheet49.xlsx" Type="http://schemas.openxmlformats.org/officeDocument/2006/relationships/package"/><Relationship Id="rId121" Target="media/image57.png" Type="http://schemas.openxmlformats.org/officeDocument/2006/relationships/image"/><Relationship Id="rId122" Target="embeddings/Microsoft_Excel_Worksheet50.xlsx" Type="http://schemas.openxmlformats.org/officeDocument/2006/relationships/package"/><Relationship Id="rId123" Target="media/image58.png" Type="http://schemas.openxmlformats.org/officeDocument/2006/relationships/image"/><Relationship Id="rId124" Target="embeddings/Microsoft_Excel_Worksheet51.xlsx" Type="http://schemas.openxmlformats.org/officeDocument/2006/relationships/package"/><Relationship Id="rId125" Target="media/image59.png" Type="http://schemas.openxmlformats.org/officeDocument/2006/relationships/image"/><Relationship Id="rId126" Target="embeddings/Microsoft_Excel_Worksheet52.xlsx" Type="http://schemas.openxmlformats.org/officeDocument/2006/relationships/package"/><Relationship Id="rId127" Target="media/image60.png" Type="http://schemas.openxmlformats.org/officeDocument/2006/relationships/image"/><Relationship Id="rId128" Target="embeddings/Microsoft_Excel_Worksheet53.xlsx" Type="http://schemas.openxmlformats.org/officeDocument/2006/relationships/package"/><Relationship Id="rId129" Target="media/image61.png" Type="http://schemas.openxmlformats.org/officeDocument/2006/relationships/image"/><Relationship Id="rId13" Target="embeddings/Microsoft_Excel_Worksheet2.xlsx" Type="http://schemas.openxmlformats.org/officeDocument/2006/relationships/package"/><Relationship Id="rId130" Target="embeddings/Microsoft_Excel_Worksheet54.xlsx" Type="http://schemas.openxmlformats.org/officeDocument/2006/relationships/package"/><Relationship Id="rId131" Target="media/image62.png" Type="http://schemas.openxmlformats.org/officeDocument/2006/relationships/image"/><Relationship Id="rId132" Target="embeddings/Microsoft_Excel_Worksheet55.xlsx" Type="http://schemas.openxmlformats.org/officeDocument/2006/relationships/package"/><Relationship Id="rId133" Target="media/image63.png" Type="http://schemas.openxmlformats.org/officeDocument/2006/relationships/image"/><Relationship Id="rId134" Target="embeddings/Microsoft_Excel_Worksheet56.xlsx" Type="http://schemas.openxmlformats.org/officeDocument/2006/relationships/package"/><Relationship Id="rId135" Target="media/image64.png" Type="http://schemas.openxmlformats.org/officeDocument/2006/relationships/image"/><Relationship Id="rId136" Target="embeddings/Microsoft_Excel_Worksheet57.xlsx" Type="http://schemas.openxmlformats.org/officeDocument/2006/relationships/package"/><Relationship Id="rId137" Target="media/image65.png" Type="http://schemas.openxmlformats.org/officeDocument/2006/relationships/image"/><Relationship Id="rId138" Target="embeddings/Microsoft_Excel_Worksheet58.xlsx" Type="http://schemas.openxmlformats.org/officeDocument/2006/relationships/package"/><Relationship Id="rId139" Target="media/image66.png" Type="http://schemas.openxmlformats.org/officeDocument/2006/relationships/image"/><Relationship Id="rId14" Target="media/image5.png" Type="http://schemas.openxmlformats.org/officeDocument/2006/relationships/image"/><Relationship Id="rId140" Target="embeddings/Microsoft_Excel_Worksheet59.xlsx" Type="http://schemas.openxmlformats.org/officeDocument/2006/relationships/package"/><Relationship Id="rId141" Target="media/image67.png" Type="http://schemas.openxmlformats.org/officeDocument/2006/relationships/image"/><Relationship Id="rId142" Target="embeddings/Microsoft_Excel_Worksheet60.xlsx" Type="http://schemas.openxmlformats.org/officeDocument/2006/relationships/package"/><Relationship Id="rId143" Target="media/image68.png" Type="http://schemas.openxmlformats.org/officeDocument/2006/relationships/image"/><Relationship Id="rId144" Target="embeddings/Microsoft_Excel_Worksheet61.xlsx" Type="http://schemas.openxmlformats.org/officeDocument/2006/relationships/package"/><Relationship Id="rId145" Target="media/image69.png" Type="http://schemas.openxmlformats.org/officeDocument/2006/relationships/image"/><Relationship Id="rId146" Target="embeddings/Microsoft_Excel_Worksheet62.xlsx" Type="http://schemas.openxmlformats.org/officeDocument/2006/relationships/package"/><Relationship Id="rId147" Target="media/image70.png" Type="http://schemas.openxmlformats.org/officeDocument/2006/relationships/image"/><Relationship Id="rId148" Target="embeddings/Microsoft_Excel_Worksheet63.xlsx" Type="http://schemas.openxmlformats.org/officeDocument/2006/relationships/package"/><Relationship Id="rId149" Target="media/image71.png" Type="http://schemas.openxmlformats.org/officeDocument/2006/relationships/image"/><Relationship Id="rId15" Target="embeddings/Microsoft_Excel_Worksheet3.xlsx" Type="http://schemas.openxmlformats.org/officeDocument/2006/relationships/package"/><Relationship Id="rId150" Target="embeddings/Microsoft_Excel_Worksheet64.xlsx" Type="http://schemas.openxmlformats.org/officeDocument/2006/relationships/package"/><Relationship Id="rId151" Target="media/image72.png" Type="http://schemas.openxmlformats.org/officeDocument/2006/relationships/image"/><Relationship Id="rId152" Target="embeddings/Microsoft_Excel_Worksheet65.xlsx" Type="http://schemas.openxmlformats.org/officeDocument/2006/relationships/package"/><Relationship Id="rId153" Target="media/image73.png" Type="http://schemas.openxmlformats.org/officeDocument/2006/relationships/image"/><Relationship Id="rId154" Target="embeddings/Microsoft_Excel_Worksheet66.xlsx" Type="http://schemas.openxmlformats.org/officeDocument/2006/relationships/package"/><Relationship Id="rId155" Target="media/image74.png" Type="http://schemas.openxmlformats.org/officeDocument/2006/relationships/image"/><Relationship Id="rId156" Target="embeddings/Microsoft_Excel_Worksheet67.xlsx" Type="http://schemas.openxmlformats.org/officeDocument/2006/relationships/package"/><Relationship Id="rId157" Target="media/image75.png" Type="http://schemas.openxmlformats.org/officeDocument/2006/relationships/image"/><Relationship Id="rId158" Target="embeddings/Microsoft_Excel_Worksheet68.xlsx" Type="http://schemas.openxmlformats.org/officeDocument/2006/relationships/package"/><Relationship Id="rId159" Target="media/image76.png" Type="http://schemas.openxmlformats.org/officeDocument/2006/relationships/image"/><Relationship Id="rId16" Target="media/image6.png" Type="http://schemas.openxmlformats.org/officeDocument/2006/relationships/image"/><Relationship Id="rId160" Target="embeddings/Microsoft_Excel_Worksheet69.xlsx" Type="http://schemas.openxmlformats.org/officeDocument/2006/relationships/package"/><Relationship Id="rId161" Target="media/image77.png" Type="http://schemas.openxmlformats.org/officeDocument/2006/relationships/image"/><Relationship Id="rId162" Target="embeddings/Microsoft_Excel_Worksheet70.xlsx" Type="http://schemas.openxmlformats.org/officeDocument/2006/relationships/package"/><Relationship Id="rId163" Target="media/image78.png" Type="http://schemas.openxmlformats.org/officeDocument/2006/relationships/image"/><Relationship Id="rId164" Target="embeddings/Microsoft_Excel_Worksheet71.xlsx" Type="http://schemas.openxmlformats.org/officeDocument/2006/relationships/package"/><Relationship Id="rId165" Target="media/image79.png" Type="http://schemas.openxmlformats.org/officeDocument/2006/relationships/image"/><Relationship Id="rId166" Target="embeddings/Microsoft_Excel_Worksheet72.xlsx" Type="http://schemas.openxmlformats.org/officeDocument/2006/relationships/package"/><Relationship Id="rId167" Target="media/image80.png" Type="http://schemas.openxmlformats.org/officeDocument/2006/relationships/image"/><Relationship Id="rId168" Target="embeddings/Microsoft_Excel_Worksheet73.xlsx" Type="http://schemas.openxmlformats.org/officeDocument/2006/relationships/package"/><Relationship Id="rId169" Target="media/image81.png" Type="http://schemas.openxmlformats.org/officeDocument/2006/relationships/image"/><Relationship Id="rId17" Target="embeddings/Microsoft_Excel_Worksheet4.xlsx" Type="http://schemas.openxmlformats.org/officeDocument/2006/relationships/package"/><Relationship Id="rId170" Target="embeddings/Microsoft_Excel_Worksheet74.xlsx" Type="http://schemas.openxmlformats.org/officeDocument/2006/relationships/package"/><Relationship Id="rId171" Target="media/image82.png" Type="http://schemas.openxmlformats.org/officeDocument/2006/relationships/image"/><Relationship Id="rId172" Target="embeddings/Microsoft_Excel_Worksheet75.xlsx" Type="http://schemas.openxmlformats.org/officeDocument/2006/relationships/package"/><Relationship Id="rId173" Target="media/image83.png" Type="http://schemas.openxmlformats.org/officeDocument/2006/relationships/image"/><Relationship Id="rId174" Target="embeddings/Microsoft_Excel_Worksheet76.xlsx" Type="http://schemas.openxmlformats.org/officeDocument/2006/relationships/package"/><Relationship Id="rId175" Target="media/image84.png" Type="http://schemas.openxmlformats.org/officeDocument/2006/relationships/image"/><Relationship Id="rId176" Target="embeddings/Microsoft_Excel_Worksheet77.xlsx" Type="http://schemas.openxmlformats.org/officeDocument/2006/relationships/package"/><Relationship Id="rId177" Target="media/image85.png" Type="http://schemas.openxmlformats.org/officeDocument/2006/relationships/image"/><Relationship Id="rId178" Target="embeddings/Microsoft_Excel_Worksheet78.xlsx" Type="http://schemas.openxmlformats.org/officeDocument/2006/relationships/package"/><Relationship Id="rId179" Target="media/image86.png" Type="http://schemas.openxmlformats.org/officeDocument/2006/relationships/image"/><Relationship Id="rId18" Target="media/image7.png" Type="http://schemas.openxmlformats.org/officeDocument/2006/relationships/image"/><Relationship Id="rId180" Target="embeddings/Microsoft_Excel_Worksheet79.xlsx" Type="http://schemas.openxmlformats.org/officeDocument/2006/relationships/package"/><Relationship Id="rId181" Target="media/image87.png" Type="http://schemas.openxmlformats.org/officeDocument/2006/relationships/image"/><Relationship Id="rId182" Target="embeddings/Microsoft_Excel_Worksheet80.xlsx" Type="http://schemas.openxmlformats.org/officeDocument/2006/relationships/package"/><Relationship Id="rId183" Target="media/image88.png" Type="http://schemas.openxmlformats.org/officeDocument/2006/relationships/image"/><Relationship Id="rId184" Target="embeddings/Microsoft_Excel_Worksheet81.xlsx" Type="http://schemas.openxmlformats.org/officeDocument/2006/relationships/package"/><Relationship Id="rId185" Target="media/image89.png" Type="http://schemas.openxmlformats.org/officeDocument/2006/relationships/image"/><Relationship Id="rId186" Target="embeddings/Microsoft_Excel_Worksheet82.xlsx" Type="http://schemas.openxmlformats.org/officeDocument/2006/relationships/package"/><Relationship Id="rId187" Target="media/image90.png" Type="http://schemas.openxmlformats.org/officeDocument/2006/relationships/image"/><Relationship Id="rId188" Target="embeddings/Microsoft_Excel_Worksheet83.xlsx" Type="http://schemas.openxmlformats.org/officeDocument/2006/relationships/package"/><Relationship Id="rId189" Target="media/image91.png" Type="http://schemas.openxmlformats.org/officeDocument/2006/relationships/image"/><Relationship Id="rId19" Target="embeddings/Microsoft_Excel_Worksheet5.xlsx" Type="http://schemas.openxmlformats.org/officeDocument/2006/relationships/package"/><Relationship Id="rId190" Target="embeddings/Microsoft_Excel_Worksheet84.xlsx" Type="http://schemas.openxmlformats.org/officeDocument/2006/relationships/package"/><Relationship Id="rId191" Target="media/image92.png" Type="http://schemas.openxmlformats.org/officeDocument/2006/relationships/image"/><Relationship Id="rId192" Target="embeddings/Microsoft_Excel_Worksheet85.xlsx" Type="http://schemas.openxmlformats.org/officeDocument/2006/relationships/package"/><Relationship Id="rId193" Target="media/image93.png" Type="http://schemas.openxmlformats.org/officeDocument/2006/relationships/image"/><Relationship Id="rId194" Target="embeddings/Microsoft_Excel_Worksheet86.xlsx" Type="http://schemas.openxmlformats.org/officeDocument/2006/relationships/package"/><Relationship Id="rId195" Target="media/image94.png" Type="http://schemas.openxmlformats.org/officeDocument/2006/relationships/image"/><Relationship Id="rId196" Target="media/image95.png" Type="http://schemas.openxmlformats.org/officeDocument/2006/relationships/image"/><Relationship Id="rId197" Target="embeddings/Microsoft_Excel_Worksheet87.xlsx" Type="http://schemas.openxmlformats.org/officeDocument/2006/relationships/package"/><Relationship Id="rId198" Target="media/image96.png" Type="http://schemas.openxmlformats.org/officeDocument/2006/relationships/image"/><Relationship Id="rId199" Target="embeddings/Microsoft_Excel_Worksheet88.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00" Target="media/image97.png" Type="http://schemas.openxmlformats.org/officeDocument/2006/relationships/image"/><Relationship Id="rId201" Target="embeddings/Microsoft_Excel_Worksheet89.xlsx" Type="http://schemas.openxmlformats.org/officeDocument/2006/relationships/package"/><Relationship Id="rId202" Target="media/image98.png" Type="http://schemas.openxmlformats.org/officeDocument/2006/relationships/image"/><Relationship Id="rId203" Target="embeddings/Microsoft_Excel_Worksheet90.xlsx" Type="http://schemas.openxmlformats.org/officeDocument/2006/relationships/package"/><Relationship Id="rId204" Target="media/image99.png" Type="http://schemas.openxmlformats.org/officeDocument/2006/relationships/image"/><Relationship Id="rId205" Target="embeddings/Microsoft_Excel_Worksheet91.xlsx" Type="http://schemas.openxmlformats.org/officeDocument/2006/relationships/package"/><Relationship Id="rId206" Target="media/image100.png" Type="http://schemas.openxmlformats.org/officeDocument/2006/relationships/image"/><Relationship Id="rId207" Target="embeddings/Microsoft_Excel_Worksheet92.xlsx" Type="http://schemas.openxmlformats.org/officeDocument/2006/relationships/package"/><Relationship Id="rId208" Target="media/image101.png" Type="http://schemas.openxmlformats.org/officeDocument/2006/relationships/image"/><Relationship Id="rId209" Target="embeddings/Microsoft_Excel_Worksheet93.xlsx" Type="http://schemas.openxmlformats.org/officeDocument/2006/relationships/package"/><Relationship Id="rId21" Target="embeddings/Microsoft_Excel_Worksheet6.xlsx" Type="http://schemas.openxmlformats.org/officeDocument/2006/relationships/package"/><Relationship Id="rId210" Target="media/image102.png" Type="http://schemas.openxmlformats.org/officeDocument/2006/relationships/image"/><Relationship Id="rId211" Target="embeddings/Microsoft_Excel_Worksheet94.xlsx" Type="http://schemas.openxmlformats.org/officeDocument/2006/relationships/package"/><Relationship Id="rId212" Target="media/image103.png" Type="http://schemas.openxmlformats.org/officeDocument/2006/relationships/image"/><Relationship Id="rId213" Target="embeddings/Microsoft_Excel_Worksheet95.xlsx" Type="http://schemas.openxmlformats.org/officeDocument/2006/relationships/package"/><Relationship Id="rId214" Target="media/image104.png" Type="http://schemas.openxmlformats.org/officeDocument/2006/relationships/image"/><Relationship Id="rId215" Target="header1.xml" Type="http://schemas.openxmlformats.org/officeDocument/2006/relationships/header"/><Relationship Id="rId22" Target="media/image9.png" Type="http://schemas.openxmlformats.org/officeDocument/2006/relationships/image"/><Relationship Id="rId23" Target="embeddings/Microsoft_Excel_Worksheet7.xlsx" Type="http://schemas.openxmlformats.org/officeDocument/2006/relationships/package"/><Relationship Id="rId24" Target="media/image10.png" Type="http://schemas.openxmlformats.org/officeDocument/2006/relationships/image"/><Relationship Id="rId25" Target="media/image11.png" Type="http://schemas.openxmlformats.org/officeDocument/2006/relationships/image"/><Relationship Id="rId26" Target="https://dcnowjzu9ea7.feishu.cn/wiki/Rr0OwvgLRiYjjakKr95c4ew5nXc#share-JbrsdolMBoItTBxga0xc6PpqnSc" TargetMode="External" Type="http://schemas.openxmlformats.org/officeDocument/2006/relationships/hyperlink"/><Relationship Id="rId27" Target="embeddings/Microsoft_Excel_Worksheet8.xlsx" Type="http://schemas.openxmlformats.org/officeDocument/2006/relationships/package"/><Relationship Id="rId28" Target="media/image12.png" Type="http://schemas.openxmlformats.org/officeDocument/2006/relationships/image"/><Relationship Id="rId29" Target="embeddings/Microsoft_Excel_Worksheet9.xlsx" Type="http://schemas.openxmlformats.org/officeDocument/2006/relationships/package"/><Relationship Id="rId3" Target="footer1.xml" Type="http://schemas.openxmlformats.org/officeDocument/2006/relationships/footer"/><Relationship Id="rId30" Target="media/image13.png" Type="http://schemas.openxmlformats.org/officeDocument/2006/relationships/image"/><Relationship Id="rId31" Target="embeddings/Microsoft_Excel_Worksheet10.xlsx" Type="http://schemas.openxmlformats.org/officeDocument/2006/relationships/package"/><Relationship Id="rId32" Target="media/image14.png" Type="http://schemas.openxmlformats.org/officeDocument/2006/relationships/image"/><Relationship Id="rId33" Target="embeddings/Microsoft_Excel_Worksheet11.xlsx" Type="http://schemas.openxmlformats.org/officeDocument/2006/relationships/package"/><Relationship Id="rId34" Target="media/image15.png" Type="http://schemas.openxmlformats.org/officeDocument/2006/relationships/image"/><Relationship Id="rId35" Target="embeddings/Microsoft_Excel_Worksheet12.xlsx" Type="http://schemas.openxmlformats.org/officeDocument/2006/relationships/package"/><Relationship Id="rId36" Target="media/image16.png" Type="http://schemas.openxmlformats.org/officeDocument/2006/relationships/image"/><Relationship Id="rId37" Target="embeddings/Microsoft_Excel_Worksheet13.xlsx" Type="http://schemas.openxmlformats.org/officeDocument/2006/relationships/package"/><Relationship Id="rId38" Target="media/image17.png" Type="http://schemas.openxmlformats.org/officeDocument/2006/relationships/image"/><Relationship Id="rId39" Target="media/image18.png" Type="http://schemas.openxmlformats.org/officeDocument/2006/relationships/image"/><Relationship Id="rId4" Target="numbering.xml" Type="http://schemas.openxmlformats.org/officeDocument/2006/relationships/numbering"/><Relationship Id="rId40" Target="https://dcnowjzu9ea7.feishu.cn/wiki/Rr0OwvgLRiYjjakKr95c4ew5nXc#share-Blk9daePGowdHLxLeGPcRPwEn6g" TargetMode="External" Type="http://schemas.openxmlformats.org/officeDocument/2006/relationships/hyperlink"/><Relationship Id="rId41" Target="https://dcnowjzu9ea7.feishu.cn/wiki/Rr0OwvgLRiYjjakKr95c4ew5nXc#share-EYDadFWxgohSIMxtCxZcvxT6nEc" TargetMode="External" Type="http://schemas.openxmlformats.org/officeDocument/2006/relationships/hyperlink"/><Relationship Id="rId42" Target="embeddings/Microsoft_Excel_Worksheet14.xlsx" Type="http://schemas.openxmlformats.org/officeDocument/2006/relationships/package"/><Relationship Id="rId43" Target="media/image19.png" Type="http://schemas.openxmlformats.org/officeDocument/2006/relationships/image"/><Relationship Id="rId44" Target="embeddings/Microsoft_Excel_Worksheet15.xlsx" Type="http://schemas.openxmlformats.org/officeDocument/2006/relationships/package"/><Relationship Id="rId45" Target="media/image20.png" Type="http://schemas.openxmlformats.org/officeDocument/2006/relationships/image"/><Relationship Id="rId46" Target="embeddings/Microsoft_Excel_Worksheet16.xlsx" Type="http://schemas.openxmlformats.org/officeDocument/2006/relationships/package"/><Relationship Id="rId47" Target="media/image21.png" Type="http://schemas.openxmlformats.org/officeDocument/2006/relationships/image"/><Relationship Id="rId48" Target="embeddings/Microsoft_Excel_Worksheet17.xlsx" Type="http://schemas.openxmlformats.org/officeDocument/2006/relationships/package"/><Relationship Id="rId49" Target="media/image22.png" Type="http://schemas.openxmlformats.org/officeDocument/2006/relationships/image"/><Relationship Id="rId5" Target="media/image1.png" Type="http://schemas.openxmlformats.org/officeDocument/2006/relationships/image"/><Relationship Id="rId50" Target="embeddings/Microsoft_Excel_Worksheet18.xlsx" Type="http://schemas.openxmlformats.org/officeDocument/2006/relationships/package"/><Relationship Id="rId51" Target="media/image23.png" Type="http://schemas.openxmlformats.org/officeDocument/2006/relationships/image"/><Relationship Id="rId52" Target="embeddings/Microsoft_Excel_Worksheet19.xlsx" Type="http://schemas.openxmlformats.org/officeDocument/2006/relationships/package"/><Relationship Id="rId53" Target="media/image24.png" Type="http://schemas.openxmlformats.org/officeDocument/2006/relationships/image"/><Relationship Id="rId54" Target="media/image25.png" Type="http://schemas.openxmlformats.org/officeDocument/2006/relationships/image"/><Relationship Id="rId55" Target="https://dcnowjzu9ea7.feishu.cn/wiki/Rr0OwvgLRiYjjakKr95c4ew5nXc#share-P5t3dHyyWoOvk7xWtUZcNF8Znhq" TargetMode="External" Type="http://schemas.openxmlformats.org/officeDocument/2006/relationships/hyperlink"/><Relationship Id="rId56" Target="https://dcnowjzu9ea7.feishu.cn/wiki/Rr0OwvgLRiYjjakKr95c4ew5nXc#share-P5t3dHyyWoOvk7xWtUZcNF8Znhq" TargetMode="External" Type="http://schemas.openxmlformats.org/officeDocument/2006/relationships/hyperlink"/><Relationship Id="rId57" Target="https://dcnowjzu9ea7.feishu.cn/wiki/Rr0OwvgLRiYjjakKr95c4ew5nXc#share-P5t3dHyyWoOvk7xWtUZcNF8Znhq" TargetMode="External" Type="http://schemas.openxmlformats.org/officeDocument/2006/relationships/hyperlink"/><Relationship Id="rId58" Target="media/image26.png" Type="http://schemas.openxmlformats.org/officeDocument/2006/relationships/image"/><Relationship Id="rId59" Target="embeddings/Microsoft_Excel_Worksheet20.xlsx" Type="http://schemas.openxmlformats.org/officeDocument/2006/relationships/package"/><Relationship Id="rId6" Target="media/image2.jpeg" Type="http://schemas.openxmlformats.org/officeDocument/2006/relationships/image"/><Relationship Id="rId60" Target="media/image27.png" Type="http://schemas.openxmlformats.org/officeDocument/2006/relationships/image"/><Relationship Id="rId61" Target="https://dcnowjzu9ea7.feishu.cn/wiki/Rr0OwvgLRiYjjakKr95c4ew5nXc#share-OSiqdlKIooWdx6xDb7lcyWdwnBc" TargetMode="External" Type="http://schemas.openxmlformats.org/officeDocument/2006/relationships/hyperlink"/><Relationship Id="rId62" Target="embeddings/Microsoft_Excel_Worksheet21.xlsx" Type="http://schemas.openxmlformats.org/officeDocument/2006/relationships/package"/><Relationship Id="rId63" Target="media/image28.png" Type="http://schemas.openxmlformats.org/officeDocument/2006/relationships/image"/><Relationship Id="rId64" Target="embeddings/Microsoft_Excel_Worksheet22.xlsx" Type="http://schemas.openxmlformats.org/officeDocument/2006/relationships/package"/><Relationship Id="rId65" Target="media/image29.png" Type="http://schemas.openxmlformats.org/officeDocument/2006/relationships/image"/><Relationship Id="rId66" Target="embeddings/Microsoft_Excel_Worksheet23.xlsx" Type="http://schemas.openxmlformats.org/officeDocument/2006/relationships/package"/><Relationship Id="rId67" Target="media/image30.png" Type="http://schemas.openxmlformats.org/officeDocument/2006/relationships/image"/><Relationship Id="rId68" Target="https://dcnowjzu9ea7.feishu.cn/wiki/Rr0OwvgLRiYjjakKr95c4ew5nXc#share-EqEWduGwnoL4p4xtW60clYY9nN0" TargetMode="External" Type="http://schemas.openxmlformats.org/officeDocument/2006/relationships/hyperlink"/><Relationship Id="rId69" Target="embeddings/Microsoft_Excel_Worksheet24.xlsx" Type="http://schemas.openxmlformats.org/officeDocument/2006/relationships/package"/><Relationship Id="rId7" Target="embeddings/Microsoft_Excel_Worksheet1.xlsx" Type="http://schemas.openxmlformats.org/officeDocument/2006/relationships/package"/><Relationship Id="rId70" Target="media/image31.png" Type="http://schemas.openxmlformats.org/officeDocument/2006/relationships/image"/><Relationship Id="rId71" Target="embeddings/Microsoft_Excel_Worksheet25.xlsx" Type="http://schemas.openxmlformats.org/officeDocument/2006/relationships/package"/><Relationship Id="rId72" Target="media/image32.png" Type="http://schemas.openxmlformats.org/officeDocument/2006/relationships/image"/><Relationship Id="rId73" Target="embeddings/Microsoft_Excel_Worksheet26.xlsx" Type="http://schemas.openxmlformats.org/officeDocument/2006/relationships/package"/><Relationship Id="rId74" Target="media/image33.png" Type="http://schemas.openxmlformats.org/officeDocument/2006/relationships/image"/><Relationship Id="rId75" Target="embeddings/Microsoft_Excel_Worksheet27.xlsx" Type="http://schemas.openxmlformats.org/officeDocument/2006/relationships/package"/><Relationship Id="rId76" Target="media/image34.png" Type="http://schemas.openxmlformats.org/officeDocument/2006/relationships/image"/><Relationship Id="rId77" Target="embeddings/Microsoft_Excel_Worksheet28.xlsx" Type="http://schemas.openxmlformats.org/officeDocument/2006/relationships/package"/><Relationship Id="rId78" Target="media/image35.png" Type="http://schemas.openxmlformats.org/officeDocument/2006/relationships/image"/><Relationship Id="rId79" Target="embeddings/Microsoft_Excel_Worksheet29.xlsx" Type="http://schemas.openxmlformats.org/officeDocument/2006/relationships/package"/><Relationship Id="rId8" Target="media/image3.png" Type="http://schemas.openxmlformats.org/officeDocument/2006/relationships/image"/><Relationship Id="rId80" Target="media/image36.png" Type="http://schemas.openxmlformats.org/officeDocument/2006/relationships/image"/><Relationship Id="rId81" Target="embeddings/Microsoft_Excel_Worksheet30.xlsx" Type="http://schemas.openxmlformats.org/officeDocument/2006/relationships/package"/><Relationship Id="rId82" Target="media/image37.png" Type="http://schemas.openxmlformats.org/officeDocument/2006/relationships/image"/><Relationship Id="rId83" Target="embeddings/Microsoft_Excel_Worksheet31.xlsx" Type="http://schemas.openxmlformats.org/officeDocument/2006/relationships/package"/><Relationship Id="rId84" Target="media/image38.png" Type="http://schemas.openxmlformats.org/officeDocument/2006/relationships/image"/><Relationship Id="rId85" Target="embeddings/Microsoft_Excel_Worksheet32.xlsx" Type="http://schemas.openxmlformats.org/officeDocument/2006/relationships/package"/><Relationship Id="rId86" Target="media/image39.png" Type="http://schemas.openxmlformats.org/officeDocument/2006/relationships/image"/><Relationship Id="rId87" Target="embeddings/Microsoft_Excel_Worksheet33.xlsx" Type="http://schemas.openxmlformats.org/officeDocument/2006/relationships/package"/><Relationship Id="rId88" Target="media/image40.png" Type="http://schemas.openxmlformats.org/officeDocument/2006/relationships/image"/><Relationship Id="rId89" Target="embeddings/Microsoft_Excel_Worksheet34.xlsx" Type="http://schemas.openxmlformats.org/officeDocument/2006/relationships/package"/><Relationship Id="rId9" Target="media/image4.png" Type="http://schemas.openxmlformats.org/officeDocument/2006/relationships/image"/><Relationship Id="rId90" Target="media/image41.png" Type="http://schemas.openxmlformats.org/officeDocument/2006/relationships/image"/><Relationship Id="rId91" Target="embeddings/Microsoft_Excel_Worksheet35.xlsx" Type="http://schemas.openxmlformats.org/officeDocument/2006/relationships/package"/><Relationship Id="rId92" Target="media/image42.png" Type="http://schemas.openxmlformats.org/officeDocument/2006/relationships/image"/><Relationship Id="rId93" Target="embeddings/Microsoft_Excel_Worksheet36.xlsx" Type="http://schemas.openxmlformats.org/officeDocument/2006/relationships/package"/><Relationship Id="rId94" Target="media/image43.png" Type="http://schemas.openxmlformats.org/officeDocument/2006/relationships/image"/><Relationship Id="rId95" Target="embeddings/Microsoft_Excel_Worksheet37.xlsx" Type="http://schemas.openxmlformats.org/officeDocument/2006/relationships/package"/><Relationship Id="rId96" Target="media/image44.png" Type="http://schemas.openxmlformats.org/officeDocument/2006/relationships/image"/><Relationship Id="rId97" Target="embeddings/Microsoft_Excel_Worksheet38.xlsx" Type="http://schemas.openxmlformats.org/officeDocument/2006/relationships/package"/><Relationship Id="rId98" Target="media/image45.png" Type="http://schemas.openxmlformats.org/officeDocument/2006/relationships/image"/><Relationship Id="rId99" Target="embeddings/Microsoft_Excel_Worksheet39.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2026-01-06T02:14:26Z</dcterms:created>
  <dc:creator>Apache POI</dc:creator>
</cp:coreProperties>
</file>