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1040" w:line="240" w:lineRule="auto"/>
        <w:jc w:val="center"/>
      </w:pPr>
      <w:r>
        <w:rPr>
          <w:rFonts w:ascii="Arial Unicode MS" w:hAnsi="Arial Unicode MS" w:eastAsia="Arial Unicode MS"/>
          <w:b/>
          <w:i w:val="0"/>
          <w:color w:val="666666"/>
          <w:sz w:val="24"/>
        </w:rPr>
        <w:t>招商银行杭州高新支行</w:t>
      </w:r>
    </w:p>
    <w:p>
      <w:pPr>
        <w:spacing w:before="0" w:after="160" w:line="240" w:lineRule="auto"/>
        <w:jc w:val="center"/>
      </w:pPr>
      <w:r>
        <w:rPr>
          <w:rFonts w:ascii="Arial Unicode MS" w:hAnsi="Arial Unicode MS" w:eastAsia="Arial Unicode MS"/>
          <w:b/>
          <w:i w:val="0"/>
          <w:color w:val="B51E2E"/>
          <w:sz w:val="60"/>
        </w:rPr>
        <w:t>“智晓通”</w:t>
      </w:r>
    </w:p>
    <w:p>
      <w:pPr>
        <w:spacing w:before="0" w:after="200" w:line="276" w:lineRule="auto"/>
        <w:jc w:val="center"/>
      </w:pPr>
      <w:r>
        <w:rPr>
          <w:rFonts w:ascii="Arial Unicode MS" w:hAnsi="Arial Unicode MS" w:eastAsia="Arial Unicode MS"/>
          <w:b/>
          <w:i w:val="0"/>
          <w:color w:val="0B2545"/>
          <w:sz w:val="40"/>
        </w:rPr>
        <w:t>对公业务可信多模态智能填单助手</w:t>
      </w:r>
    </w:p>
    <w:p>
      <w:pPr>
        <w:spacing w:before="0" w:after="1000" w:line="276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666666"/>
          <w:sz w:val="25"/>
        </w:rPr>
        <w:t>——让AI可用、可控、可核验地进入柜面运营流程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4" w:color="CBD5E1"/>
            </w:tcBorders>
            <w:shd w:fill="F4F6F9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参赛赛道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4" w:color="CBD5E1"/>
            </w:tcBorders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color w:val="0B2545"/>
                <w:sz w:val="21"/>
              </w:rPr>
              <w:t>AI+运营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4" w:color="CBD5E1"/>
            </w:tcBorders>
            <w:shd w:fill="F4F6F9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报送单位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4" w:color="CBD5E1"/>
            </w:tcBorders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color w:val="0B2545"/>
                <w:sz w:val="21"/>
              </w:rPr>
              <w:t>招商银行杭州高新支行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4" w:color="CBD5E1"/>
            </w:tcBorders>
            <w:shd w:fill="F4F6F9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参赛成员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4" w:color="CBD5E1"/>
            </w:tcBorders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color w:val="0B2545"/>
                <w:sz w:val="21"/>
              </w:rPr>
              <w:t>周苏卿 等（待核实）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4" w:color="CBD5E1"/>
            </w:tcBorders>
            <w:shd w:fill="F4F6F9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联系方式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4" w:color="CBD5E1"/>
            </w:tcBorders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color w:val="0B2545"/>
                <w:sz w:val="21"/>
              </w:rPr>
              <w:t>待补充</w:t>
            </w:r>
          </w:p>
        </w:tc>
      </w:tr>
    </w:tbl>
    <w:p>
      <w:pPr>
        <w:spacing w:before="1160" w:after="40" w:line="240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666666"/>
          <w:sz w:val="21"/>
        </w:rPr>
        <w:t>第五届创造力大赛参赛方案｜2026年7月</w:t>
      </w:r>
    </w:p>
    <w:p>
      <w:r>
        <w:br w:type="page"/>
      </w:r>
    </w:p>
    <w:p>
      <w:pPr>
        <w:pStyle w:val="Heading1"/>
      </w:pPr>
      <w:r>
        <w:t>申报摘要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color="CBD5E1"/>
              <w:start w:val="single" w:sz="16" w:color="1F4D78"/>
              <w:bottom w:val="single" w:sz="6" w:color="CBD5E1"/>
              <w:end w:val="single" w:sz="6" w:color="CBD5E1"/>
            </w:tcBorders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 xml:space="preserve">项目定位 </w:t>
            </w:r>
            <w:r>
              <w:rPr>
                <w:rFonts w:ascii="Arial Unicode MS" w:hAnsi="Arial Unicode MS" w:eastAsia="Arial Unicode MS"/>
                <w:color w:val="0B2545"/>
                <w:sz w:val="21"/>
              </w:rPr>
              <w:t>“智晓通”不是替代柜员作出业务判断的自动办理系统，而是一套面向对公柜面的可信辅助工具：AI负责理解和建议，规则引擎负责校验，柜员保留最终确认与提交权。</w:t>
            </w:r>
          </w:p>
        </w:tc>
      </w:tr>
    </w:tbl>
    <w:p>
      <w:pPr>
        <w:spacing w:after="40"/>
      </w:pP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sz w:val="22"/>
        </w:rPr>
        <w:t>项目聚焦对公账户销户、网银管理员变更等资料多、字段长、重复录入多的场景，通过语音识别、证件OCR、结构化字段提取和业务规则校验，将客户证件、柜员语音及行内主数据汇聚为可追溯的“字段证据链”，实现从资料采集、智能预填、冲突提示到柜员确认的闭环。</w:t>
      </w:r>
    </w:p>
    <w:p>
      <w:pPr>
        <w:pStyle w:val="Heading2"/>
      </w:pPr>
      <w:r>
        <w:t>核心价值主张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0B2545"/>
          <w:sz w:val="22"/>
        </w:rPr>
        <w:t>提效：</w:t>
      </w:r>
      <w:r>
        <w:rPr>
          <w:rFonts w:ascii="Arial Unicode MS" w:hAnsi="Arial Unicode MS" w:eastAsia="Arial Unicode MS"/>
          <w:sz w:val="22"/>
        </w:rPr>
        <w:t>减少企业名称、证件号码、地址等字段的重复抄录，缩短柜面资料录入及复核时间。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0B2545"/>
          <w:sz w:val="22"/>
        </w:rPr>
        <w:t>控错：</w:t>
      </w:r>
      <w:r>
        <w:rPr>
          <w:rFonts w:ascii="Arial Unicode MS" w:hAnsi="Arial Unicode MS" w:eastAsia="Arial Unicode MS"/>
          <w:sz w:val="22"/>
        </w:rPr>
        <w:t>对统一社会信用代码、身份证号码、证件有效期和户名一致性执行确定性校验。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0B2545"/>
          <w:sz w:val="22"/>
        </w:rPr>
        <w:t>可信：</w:t>
      </w:r>
      <w:r>
        <w:rPr>
          <w:rFonts w:ascii="Arial Unicode MS" w:hAnsi="Arial Unicode MS" w:eastAsia="Arial Unicode MS"/>
          <w:sz w:val="22"/>
        </w:rPr>
        <w:t>每个字段均保留来源、置信度、原始证据、校验结果和人工修改记录。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0B2545"/>
          <w:sz w:val="22"/>
        </w:rPr>
        <w:t>可推广：</w:t>
      </w:r>
      <w:r>
        <w:rPr>
          <w:rFonts w:ascii="Arial Unicode MS" w:hAnsi="Arial Unicode MS" w:eastAsia="Arial Unicode MS"/>
          <w:sz w:val="22"/>
        </w:rPr>
        <w:t>通过“业务模板+字段字典+规则包+系统适配器”扩展到更多对公运营场景。</w:t>
      </w:r>
    </w:p>
    <w:p>
      <w:pPr>
        <w:pStyle w:val="Heading2"/>
      </w:pPr>
      <w:r>
        <w:t>申报信息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项目要素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申报内容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项目名称</w:t>
            </w:r>
          </w:p>
        </w:tc>
        <w:tc>
          <w:tcPr>
            <w:tcW w:type="dxa" w:w="72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“智晓通”对公业务可信多模态智能填单助手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首期场景</w:t>
            </w:r>
          </w:p>
        </w:tc>
        <w:tc>
          <w:tcPr>
            <w:tcW w:type="dxa" w:w="72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对公账户销户申请辅助填单（生产试点阶段仅预填与校验）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扩展场景</w:t>
            </w:r>
          </w:p>
        </w:tc>
        <w:tc>
          <w:tcPr>
            <w:tcW w:type="dxa" w:w="72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网银管理员变更、单位证件更新、账户信息维护、印鉴变更等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部署原则</w:t>
            </w:r>
          </w:p>
        </w:tc>
        <w:tc>
          <w:tcPr>
            <w:tcW w:type="dxa" w:w="72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行内或经审批的专有环境部署；客户数据不进入公共模型服务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责任边界</w:t>
            </w:r>
          </w:p>
        </w:tc>
        <w:tc>
          <w:tcPr>
            <w:tcW w:type="dxa" w:w="72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系统提供辅助建议；柜员负责身份核实、业务审核与最终提交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D"/>
            <w:tcBorders>
              <w:top w:val="single" w:sz="6" w:color="CBD5E1"/>
              <w:start w:val="single" w:sz="16" w:color="7A5A00"/>
              <w:bottom w:val="single" w:sz="6" w:color="CBD5E1"/>
              <w:end w:val="single" w:sz="6" w:color="CBD5E1"/>
            </w:tcBorders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 xml:space="preserve">数据说明 </w:t>
            </w:r>
            <w:r>
              <w:rPr>
                <w:rFonts w:ascii="Arial Unicode MS" w:hAnsi="Arial Unicode MS" w:eastAsia="Arial Unicode MS"/>
                <w:color w:val="0B2545"/>
                <w:sz w:val="21"/>
              </w:rPr>
              <w:t>本文中的业务量、耗时、差错率和收益数据均为便于申报论证而设置的“测算值（待核实）”，不代表招商银行杭州高新支行真实经营数据。提交前应以支行抽样记录和系统统计进行替换。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一、项目背景与问题定义</w:t>
      </w:r>
    </w:p>
    <w:p>
      <w:pPr>
        <w:pStyle w:val="Heading2"/>
      </w:pPr>
      <w:r>
        <w:t>（一）场景背景</w:t>
      </w: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sz w:val="22"/>
        </w:rPr>
        <w:t>杭州高新技术产业集聚区内科创企业数量多、企业信息变更频繁，对公客户对办理效率和数字化体验具有较高期待。支行在服务企业客户时，对公账户销户、网银管理员变更、证件更新等业务仍存在资料反复核对、相同字段多次录入、长字符易错等共性问题。</w:t>
      </w: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sz w:val="22"/>
        </w:rPr>
        <w:t>传统模式下，柜员需要在客户提交的营业执照、身份证件、申请书及行内系统之间反复切换，手工录入企业名称、统一社会信用代码、账号、法定代表人和经办人信息。业务高峰期，重复录入不仅延长客户等待时间，也占用柜员开展业务咨询和客户经营的时间。</w:t>
      </w:r>
    </w:p>
    <w:p>
      <w:pPr>
        <w:pStyle w:val="Heading2"/>
      </w:pPr>
      <w:r>
        <w:t>（二）现状测算与核实口径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460"/>
        <w:gridCol w:w="51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建议测算值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正式核实方法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相关业务量</w:t>
            </w:r>
          </w:p>
        </w:tc>
        <w:tc>
          <w:tcPr>
            <w:tcW w:type="dxa" w:w="24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8～15笔/工作日（待核实）</w:t>
            </w:r>
          </w:p>
        </w:tc>
        <w:tc>
          <w:tcPr>
            <w:tcW w:type="dxa" w:w="51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抽取连续4周柜面流水，按业务类型分组统计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单笔资料录入与复核</w:t>
            </w:r>
          </w:p>
        </w:tc>
        <w:tc>
          <w:tcPr>
            <w:tcW w:type="dxa" w:w="24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12～18分钟（待核实）</w:t>
            </w:r>
          </w:p>
        </w:tc>
        <w:tc>
          <w:tcPr>
            <w:tcW w:type="dxa" w:w="51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至少采样30笔，记录开始、预填完成、提交三个时间点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重复录入字段</w:t>
            </w:r>
          </w:p>
        </w:tc>
        <w:tc>
          <w:tcPr>
            <w:tcW w:type="dxa" w:w="24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15～30个/笔（待核实）</w:t>
            </w:r>
          </w:p>
        </w:tc>
        <w:tc>
          <w:tcPr>
            <w:tcW w:type="dxa" w:w="51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对照申请书、影像系统和柜面系统字段清单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人工修改/返工率</w:t>
            </w:r>
          </w:p>
        </w:tc>
        <w:tc>
          <w:tcPr>
            <w:tcW w:type="dxa" w:w="24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2%～5%（待核实）</w:t>
            </w:r>
          </w:p>
        </w:tc>
        <w:tc>
          <w:tcPr>
            <w:tcW w:type="dxa" w:w="51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统计退回、补录、二次修改及内部差错登记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高峰期客户等待</w:t>
            </w:r>
          </w:p>
        </w:tc>
        <w:tc>
          <w:tcPr>
            <w:tcW w:type="dxa" w:w="24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20～40分钟（待核实）</w:t>
            </w:r>
          </w:p>
        </w:tc>
        <w:tc>
          <w:tcPr>
            <w:tcW w:type="dxa" w:w="51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按时段抽取叫号及业务受理数据</w:t>
            </w:r>
          </w:p>
        </w:tc>
      </w:tr>
    </w:tbl>
    <w:p>
      <w:pPr>
        <w:spacing w:after="40"/>
      </w:pPr>
    </w:p>
    <w:p>
      <w:pPr>
        <w:pStyle w:val="Heading2"/>
      </w:pPr>
      <w:r>
        <w:t>（三）需要解决的核心问题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0B2545"/>
          <w:sz w:val="22"/>
        </w:rPr>
        <w:t>效率问题：</w:t>
      </w:r>
      <w:r>
        <w:rPr>
          <w:rFonts w:ascii="Arial Unicode MS" w:hAnsi="Arial Unicode MS" w:eastAsia="Arial Unicode MS"/>
          <w:sz w:val="22"/>
        </w:rPr>
        <w:t>多个系统和纸质材料之间重复读取、抄录和复核。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0B2545"/>
          <w:sz w:val="22"/>
        </w:rPr>
        <w:t>质量问题：</w:t>
      </w:r>
      <w:r>
        <w:rPr>
          <w:rFonts w:ascii="Arial Unicode MS" w:hAnsi="Arial Unicode MS" w:eastAsia="Arial Unicode MS"/>
          <w:sz w:val="22"/>
        </w:rPr>
        <w:t>证件号码、账号、企业名称等长字段人工录入易出现形近字和漏位。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0B2545"/>
          <w:sz w:val="22"/>
        </w:rPr>
        <w:t>体验问题：</w:t>
      </w:r>
      <w:r>
        <w:rPr>
          <w:rFonts w:ascii="Arial Unicode MS" w:hAnsi="Arial Unicode MS" w:eastAsia="Arial Unicode MS"/>
          <w:sz w:val="22"/>
        </w:rPr>
        <w:t>客户无法感知内部录入过程，等待时间长且需多次确认。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0B2545"/>
          <w:sz w:val="22"/>
        </w:rPr>
        <w:t>治理问题：</w:t>
      </w:r>
      <w:r>
        <w:rPr>
          <w:rFonts w:ascii="Arial Unicode MS" w:hAnsi="Arial Unicode MS" w:eastAsia="Arial Unicode MS"/>
          <w:sz w:val="22"/>
        </w:rPr>
        <w:t>现有录入过程对字段来源、修改原因和识别质量缺少统一量化记录。</w:t>
      </w:r>
    </w:p>
    <w:p>
      <w:pPr>
        <w:pStyle w:val="Heading2"/>
      </w:pPr>
      <w:r>
        <w:t>（四）项目目标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color="CBD5E1"/>
              <w:start w:val="single" w:sz="16" w:color="1F4D78"/>
              <w:bottom w:val="single" w:sz="6" w:color="CBD5E1"/>
              <w:end w:val="single" w:sz="6" w:color="CBD5E1"/>
            </w:tcBorders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 xml:space="preserve">建设目标 </w:t>
            </w:r>
            <w:r>
              <w:rPr>
                <w:rFonts w:ascii="Arial Unicode MS" w:hAnsi="Arial Unicode MS" w:eastAsia="Arial Unicode MS"/>
                <w:color w:val="0B2545"/>
                <w:sz w:val="21"/>
              </w:rPr>
              <w:t>构建“感知采集—结构化理解—规则校验—人工确认—受控写入—全程审计”的可信闭环，在不改变柜员审核责任的前提下，提升对公柜面资料录入效率与质量。</w:t>
            </w:r>
          </w:p>
        </w:tc>
      </w:tr>
    </w:tbl>
    <w:p>
      <w:pPr>
        <w:spacing w:after="40"/>
      </w:pPr>
    </w:p>
    <w:p>
      <w:pPr>
        <w:pStyle w:val="Heading1"/>
      </w:pPr>
      <w:r>
        <w:t>二、总体解决方案</w:t>
      </w:r>
    </w:p>
    <w:p>
      <w:pPr>
        <w:pStyle w:val="Heading2"/>
      </w:pPr>
      <w:r>
        <w:t>（一）设计原则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原则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落地要求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人机协同</w:t>
            </w:r>
          </w:p>
        </w:tc>
        <w:tc>
          <w:tcPr>
            <w:tcW w:type="dxa" w:w="76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AI只提供预填和提示；关键字段由柜员确认，禁止AI自主提交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数据分源</w:t>
            </w:r>
          </w:p>
        </w:tc>
        <w:tc>
          <w:tcPr>
            <w:tcW w:type="dxa" w:w="76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证件字段优先来自OCR，账户字段优先来自行内主数据，原因类字段可由语音采集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规则兜底</w:t>
            </w:r>
          </w:p>
        </w:tc>
        <w:tc>
          <w:tcPr>
            <w:tcW w:type="dxa" w:w="76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格式、一致性、必填项和业务准入由确定性规则执行，不交由大模型自由判断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证据可溯</w:t>
            </w:r>
          </w:p>
        </w:tc>
        <w:tc>
          <w:tcPr>
            <w:tcW w:type="dxa" w:w="76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字段保留来源、证据、置信度、校验结果、修改记录及确认人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渐进接入</w:t>
            </w:r>
          </w:p>
        </w:tc>
        <w:tc>
          <w:tcPr>
            <w:tcW w:type="dxa" w:w="76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先实现表单预填与模拟提交，再根据接口条件逐步接入业务系统</w:t>
            </w:r>
          </w:p>
        </w:tc>
      </w:tr>
    </w:tbl>
    <w:p>
      <w:pPr>
        <w:spacing w:after="40"/>
      </w:pPr>
    </w:p>
    <w:p>
      <w:pPr>
        <w:pStyle w:val="Heading2"/>
      </w:pPr>
      <w:r>
        <w:t>（二）端到端业务流程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sz w:val="22"/>
        </w:rPr>
        <w:t>柜员选择业务场景并建立一次性业务会话。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sz w:val="22"/>
        </w:rPr>
        <w:t>高拍仪采集营业执照、身份证等材料，系统完成图像质量检测、证件分类和OCR。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sz w:val="22"/>
        </w:rPr>
        <w:t>柜员通过按键说话方式补充业务类型、办理原因及其他非证件字段。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sz w:val="22"/>
        </w:rPr>
        <w:t>系统将OCR、语音和行内主数据映射至统一字段模型。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sz w:val="22"/>
        </w:rPr>
        <w:t>规则引擎执行格式校验、跨来源一致性校验、必填项校验和风险提示。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sz w:val="22"/>
        </w:rPr>
        <w:t>柜员在证据对照界面查看低置信度、冲突和缺失字段并修正。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sz w:val="22"/>
        </w:rPr>
        <w:t>柜员确认后生成待提交表单或标准业务报文；首期原型采用模拟提交。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sz w:val="22"/>
        </w:rPr>
        <w:t>系统记录识别、修改、确认和提交结果，形成可审计、可评估的数据闭环。</w:t>
      </w:r>
    </w:p>
    <w:p>
      <w:pPr>
        <w:pStyle w:val="Heading2"/>
      </w:pPr>
      <w:r>
        <w:t>（三）柜员交互设计</w:t>
      </w: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sz w:val="22"/>
        </w:rPr>
        <w:t>工作台采用“左证据、右表单、上状态、下操作”的布局：左侧展示证件原图及识别区域，右侧展示业务表单；字段以绿色、黄色、红色分别表示已通过、待确认和冲突；柜员可点击任一字段回看来源。语音功能采用按键触发，避免持续监听及多人声音串扰。</w:t>
      </w:r>
    </w:p>
    <w:p>
      <w:pPr>
        <w:pStyle w:val="Heading1"/>
      </w:pPr>
      <w:r>
        <w:t>三、技术架构设计</w:t>
      </w:r>
    </w:p>
    <w:p>
      <w:pPr>
        <w:pStyle w:val="Heading2"/>
      </w:pPr>
      <w:r>
        <w:t>（一）总体架构</w:t>
      </w: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sz w:val="22"/>
        </w:rPr>
        <w:t>系统采用前后端分离、模型服务解耦、规则配置化和集成适配器隔离的架构。AI能力与核心业务系统之间设置可信控制层，任何模型输出均不能绕过校验与人工确认直接进入核心系统。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420"/>
        <w:gridCol w:w="2420"/>
        <w:gridCol w:w="242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接入与体验层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智能能力层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可信控制层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集成与治理层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柜员工作台</w:t>
              <w:br/>
              <w:t>高拍仪/扫描仪</w:t>
              <w:br/>
              <w:t>定向麦克风</w:t>
            </w:r>
          </w:p>
        </w:tc>
        <w:tc>
          <w:tcPr>
            <w:tcW w:type="dxa" w:w="24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ASR语音识别</w:t>
              <w:br/>
              <w:t>证件分类与OCR</w:t>
              <w:br/>
              <w:t>结构化字段提取</w:t>
            </w:r>
          </w:p>
        </w:tc>
        <w:tc>
          <w:tcPr>
            <w:tcW w:type="dxa" w:w="24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统一字段模型</w:t>
              <w:br/>
              <w:t>规则引擎</w:t>
              <w:br/>
              <w:t>置信度与冲突检测</w:t>
            </w:r>
          </w:p>
        </w:tc>
        <w:tc>
          <w:tcPr>
            <w:tcW w:type="dxa" w:w="24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客户/账户查询</w:t>
              <w:br/>
              <w:t>表单与业务适配器</w:t>
              <w:br/>
              <w:t>审计、监控与密钥管理</w:t>
            </w:r>
          </w:p>
        </w:tc>
      </w:tr>
    </w:tbl>
    <w:p>
      <w:pPr>
        <w:spacing w:after="40"/>
      </w:pPr>
    </w:p>
    <w:p>
      <w:pPr>
        <w:pStyle w:val="Heading2"/>
      </w:pPr>
      <w:r>
        <w:t>（二）核心组件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920"/>
        <w:gridCol w:w="294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组件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主要职责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关键控制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会话与流程编排</w:t>
            </w:r>
          </w:p>
        </w:tc>
        <w:tc>
          <w:tcPr>
            <w:tcW w:type="dxa" w:w="49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维护一次业务会话、材料状态、字段状态和流程节点</w:t>
            </w:r>
          </w:p>
        </w:tc>
        <w:tc>
          <w:tcPr>
            <w:tcW w:type="dxa" w:w="29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会话超时、幂等标识、异常恢复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ASR与语义提取</w:t>
            </w:r>
          </w:p>
        </w:tc>
        <w:tc>
          <w:tcPr>
            <w:tcW w:type="dxa" w:w="49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将柜员语音转换为业务意图及标准字段</w:t>
            </w:r>
          </w:p>
        </w:tc>
        <w:tc>
          <w:tcPr>
            <w:tcW w:type="dxa" w:w="29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按键说话、结构化输出、低置信度不自动接受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OCR与证件解析</w:t>
            </w:r>
          </w:p>
        </w:tc>
        <w:tc>
          <w:tcPr>
            <w:tcW w:type="dxa" w:w="49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图像质检、证件分类、文字识别和版面字段抽取</w:t>
            </w:r>
          </w:p>
        </w:tc>
        <w:tc>
          <w:tcPr>
            <w:tcW w:type="dxa" w:w="29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反光/模糊提示、证件规则校验、证据区域回显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统一字段模型</w:t>
            </w:r>
          </w:p>
        </w:tc>
        <w:tc>
          <w:tcPr>
            <w:tcW w:type="dxa" w:w="49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汇聚语音、OCR、主数据和人工录入结果</w:t>
            </w:r>
          </w:p>
        </w:tc>
        <w:tc>
          <w:tcPr>
            <w:tcW w:type="dxa" w:w="29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保存字段来源、置信度、证据与修改记录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规则引擎</w:t>
            </w:r>
          </w:p>
        </w:tc>
        <w:tc>
          <w:tcPr>
            <w:tcW w:type="dxa" w:w="49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执行格式、跨源一致性、必填、业务和风险规则</w:t>
            </w:r>
          </w:p>
        </w:tc>
        <w:tc>
          <w:tcPr>
            <w:tcW w:type="dxa" w:w="29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规则版本化、可配置、命中原因可解释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表单与集成适配器</w:t>
            </w:r>
          </w:p>
        </w:tc>
        <w:tc>
          <w:tcPr>
            <w:tcW w:type="dxa" w:w="49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将标准字段映射为申请表或业务接口报文</w:t>
            </w:r>
          </w:p>
        </w:tc>
        <w:tc>
          <w:tcPr>
            <w:tcW w:type="dxa" w:w="29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字段白名单、人工确认、幂等和结果回查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审计与运营分析</w:t>
            </w:r>
          </w:p>
        </w:tc>
        <w:tc>
          <w:tcPr>
            <w:tcW w:type="dxa" w:w="49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记录全链路事件并生成效率、质量和模型指标</w:t>
            </w:r>
          </w:p>
        </w:tc>
        <w:tc>
          <w:tcPr>
            <w:tcW w:type="dxa" w:w="29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日志脱敏、权限隔离、留存周期配置</w:t>
            </w:r>
          </w:p>
        </w:tc>
      </w:tr>
    </w:tbl>
    <w:p>
      <w:pPr>
        <w:spacing w:after="40"/>
      </w:pPr>
    </w:p>
    <w:p>
      <w:pPr>
        <w:pStyle w:val="Heading2"/>
      </w:pPr>
      <w:r>
        <w:t>（三）推荐部署形态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0B2545"/>
          <w:sz w:val="22"/>
        </w:rPr>
        <w:t>行内部署：</w:t>
      </w:r>
      <w:r>
        <w:rPr>
          <w:rFonts w:ascii="Arial Unicode MS" w:hAnsi="Arial Unicode MS" w:eastAsia="Arial Unicode MS"/>
          <w:sz w:val="22"/>
        </w:rPr>
        <w:t>工作台、业务服务、规则引擎、模型网关和审计服务部署在行内或经审批的专有环境。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0B2545"/>
          <w:sz w:val="22"/>
        </w:rPr>
        <w:t>模型隔离：</w:t>
      </w:r>
      <w:r>
        <w:rPr>
          <w:rFonts w:ascii="Arial Unicode MS" w:hAnsi="Arial Unicode MS" w:eastAsia="Arial Unicode MS"/>
          <w:sz w:val="22"/>
        </w:rPr>
        <w:t>通过统一模型网关调用经审批的ASR、OCR和语言模型服务，禁止业务应用直接访问公共模型。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0B2545"/>
          <w:sz w:val="22"/>
        </w:rPr>
        <w:t>数据最小化：</w:t>
      </w:r>
      <w:r>
        <w:rPr>
          <w:rFonts w:ascii="Arial Unicode MS" w:hAnsi="Arial Unicode MS" w:eastAsia="Arial Unicode MS"/>
          <w:sz w:val="22"/>
        </w:rPr>
        <w:t>原始音频默认实时处理后删除；证件影像复用现有影像管理策略，避免形成额外副本。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0B2545"/>
          <w:sz w:val="22"/>
        </w:rPr>
        <w:t>高可用与降级：</w:t>
      </w:r>
      <w:r>
        <w:rPr>
          <w:rFonts w:ascii="Arial Unicode MS" w:hAnsi="Arial Unicode MS" w:eastAsia="Arial Unicode MS"/>
          <w:sz w:val="22"/>
        </w:rPr>
        <w:t>模型服务不可用时保留人工录入通道，不影响柜面基本业务连续性。</w:t>
      </w:r>
    </w:p>
    <w:p>
      <w:pPr>
        <w:pStyle w:val="Heading1"/>
      </w:pPr>
      <w:r>
        <w:t>四、可信字段模型与智能处理方案</w:t>
      </w:r>
    </w:p>
    <w:p>
      <w:pPr>
        <w:pStyle w:val="Heading2"/>
      </w:pPr>
      <w:r>
        <w:t>（一）字段证据链</w:t>
      </w: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sz w:val="22"/>
        </w:rPr>
        <w:t>系统不把“识别结果”简单等同于“业务事实”。每个字段均形成独立证据对象，至少包含字段值、数据来源、原始证据定位、识别置信度、规则校验结果、人工修改前后值、确认人员和时间。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2430"/>
        <w:gridCol w:w="3000"/>
        <w:gridCol w:w="228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字段示例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首选来源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校验方式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确认策略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企业名称</w:t>
            </w:r>
          </w:p>
        </w:tc>
        <w:tc>
          <w:tcPr>
            <w:tcW w:type="dxa" w:w="243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营业执照OCR+行内客户主数据</w:t>
            </w:r>
          </w:p>
        </w:tc>
        <w:tc>
          <w:tcPr>
            <w:tcW w:type="dxa" w:w="30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名称标准化后跨源比对</w:t>
            </w:r>
          </w:p>
        </w:tc>
        <w:tc>
          <w:tcPr>
            <w:tcW w:type="dxa" w:w="22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不一致时强制人工确认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统一社会信用代码</w:t>
            </w:r>
          </w:p>
        </w:tc>
        <w:tc>
          <w:tcPr>
            <w:tcW w:type="dxa" w:w="243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营业执照OCR</w:t>
            </w:r>
          </w:p>
        </w:tc>
        <w:tc>
          <w:tcPr>
            <w:tcW w:type="dxa" w:w="30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长度、字符集、校验位、主数据一致性</w:t>
            </w:r>
          </w:p>
        </w:tc>
        <w:tc>
          <w:tcPr>
            <w:tcW w:type="dxa" w:w="22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校验全部通过方可自动预填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对公账号</w:t>
            </w:r>
          </w:p>
        </w:tc>
        <w:tc>
          <w:tcPr>
            <w:tcW w:type="dxa" w:w="243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行内账户查询</w:t>
            </w:r>
          </w:p>
        </w:tc>
        <w:tc>
          <w:tcPr>
            <w:tcW w:type="dxa" w:w="30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账号存在性、户名、账户类型和状态</w:t>
            </w:r>
          </w:p>
        </w:tc>
        <w:tc>
          <w:tcPr>
            <w:tcW w:type="dxa" w:w="22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不得仅由语音或OCR确认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法定代表人证件号</w:t>
            </w:r>
          </w:p>
        </w:tc>
        <w:tc>
          <w:tcPr>
            <w:tcW w:type="dxa" w:w="243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身份证OCR+客户档案</w:t>
            </w:r>
          </w:p>
        </w:tc>
        <w:tc>
          <w:tcPr>
            <w:tcW w:type="dxa" w:w="30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身份证校验位、有效期、档案一致性</w:t>
            </w:r>
          </w:p>
        </w:tc>
        <w:tc>
          <w:tcPr>
            <w:tcW w:type="dxa" w:w="22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掩码展示，关键字段人工确认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办理原因</w:t>
            </w:r>
          </w:p>
        </w:tc>
        <w:tc>
          <w:tcPr>
            <w:tcW w:type="dxa" w:w="243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柜员语音或人工选择</w:t>
            </w:r>
          </w:p>
        </w:tc>
        <w:tc>
          <w:tcPr>
            <w:tcW w:type="dxa" w:w="30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同义词映射至标准字典</w:t>
            </w:r>
          </w:p>
        </w:tc>
        <w:tc>
          <w:tcPr>
            <w:tcW w:type="dxa" w:w="22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低置信度改为下拉选择</w:t>
            </w:r>
          </w:p>
        </w:tc>
      </w:tr>
    </w:tbl>
    <w:p>
      <w:pPr>
        <w:spacing w:after="40"/>
      </w:pPr>
    </w:p>
    <w:p>
      <w:pPr>
        <w:pStyle w:val="Heading2"/>
      </w:pPr>
      <w:r>
        <w:t>（二）置信度与人工兜底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460"/>
        <w:gridCol w:w="51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建议阈值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系统行为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高置信度</w:t>
            </w:r>
          </w:p>
        </w:tc>
        <w:tc>
          <w:tcPr>
            <w:tcW w:type="dxa" w:w="24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≥0.95且规则全部通过</w:t>
            </w:r>
          </w:p>
        </w:tc>
        <w:tc>
          <w:tcPr>
            <w:tcW w:type="dxa" w:w="51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自动预填，仍在提交前统一确认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中置信度</w:t>
            </w:r>
          </w:p>
        </w:tc>
        <w:tc>
          <w:tcPr>
            <w:tcW w:type="dxa" w:w="24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0.80～0.95或存在轻微差异</w:t>
            </w:r>
          </w:p>
        </w:tc>
        <w:tc>
          <w:tcPr>
            <w:tcW w:type="dxa" w:w="51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黄色提示，要求逐项核对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低置信度</w:t>
            </w:r>
          </w:p>
        </w:tc>
        <w:tc>
          <w:tcPr>
            <w:tcW w:type="dxa" w:w="24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&lt;0.80或存在关键冲突</w:t>
            </w:r>
          </w:p>
        </w:tc>
        <w:tc>
          <w:tcPr>
            <w:tcW w:type="dxa" w:w="51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不自动接受，要求重新采集或手工录入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禁止自动确认</w:t>
            </w:r>
          </w:p>
        </w:tc>
        <w:tc>
          <w:tcPr>
            <w:tcW w:type="dxa" w:w="24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账号、证件号、客户身份等关键字段</w:t>
            </w:r>
          </w:p>
        </w:tc>
        <w:tc>
          <w:tcPr>
            <w:tcW w:type="dxa" w:w="51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无论置信度高低，均保留人工确认</w:t>
            </w:r>
          </w:p>
        </w:tc>
      </w:tr>
    </w:tbl>
    <w:p>
      <w:pPr>
        <w:spacing w:after="40"/>
      </w:pPr>
    </w:p>
    <w:p>
      <w:pPr>
        <w:pStyle w:val="Heading2"/>
      </w:pPr>
      <w:r>
        <w:t>（三）语音处理策略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语音主要采集业务类型、办理原因、说明性内容和柜员操作指令。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企业名称、证件号码、账号等长字符串优先来自OCR或行内主数据。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语言模型必须按预定义JSON结构返回字段，不允许自由生成业务报文。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同义词、简称和口语表达通过业务词典标准化，例如“一般户”映射为“一般存款账户”。</w:t>
      </w:r>
    </w:p>
    <w:p>
      <w:pPr>
        <w:pStyle w:val="Heading2"/>
      </w:pPr>
      <w:r>
        <w:t>（四）OCR处理策略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先质检再识别：检测模糊、反光、遮挡、缺角和方向错误。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先分类再抽取：根据营业执照、身份证等不同版式使用对应字段模板。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先校验再预填：证件号、有效期及统一社会信用代码通过规则后进入表单。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保留证据定位：柜员点击字段可回看证件中对应区域。</w:t>
      </w:r>
    </w:p>
    <w:p>
      <w:pPr>
        <w:pStyle w:val="Heading1"/>
      </w:pPr>
      <w:r>
        <w:t>五、系统接入与业务边界</w:t>
      </w:r>
    </w:p>
    <w:p>
      <w:pPr>
        <w:pStyle w:val="Heading2"/>
      </w:pPr>
      <w:r>
        <w:t>（一）核心系统接入策略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750"/>
        <w:gridCol w:w="1650"/>
        <w:gridCol w:w="411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接入方式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适用阶段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评价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</w:t>
            </w:r>
          </w:p>
        </w:tc>
        <w:tc>
          <w:tcPr>
            <w:tcW w:type="dxa" w:w="27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标准业务API或服务总线</w:t>
            </w:r>
          </w:p>
        </w:tc>
        <w:tc>
          <w:tcPr>
            <w:tcW w:type="dxa" w:w="16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生产建设</w:t>
            </w:r>
          </w:p>
        </w:tc>
        <w:tc>
          <w:tcPr>
            <w:tcW w:type="dxa" w:w="411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接口稳定、审计清晰，为首选方式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</w:t>
            </w:r>
          </w:p>
        </w:tc>
        <w:tc>
          <w:tcPr>
            <w:tcW w:type="dxa" w:w="27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柜面系统预填或插件机制</w:t>
            </w:r>
          </w:p>
        </w:tc>
        <w:tc>
          <w:tcPr>
            <w:tcW w:type="dxa" w:w="16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试点/生产</w:t>
            </w:r>
          </w:p>
        </w:tc>
        <w:tc>
          <w:tcPr>
            <w:tcW w:type="dxa" w:w="411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对现有操作习惯影响小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</w:t>
            </w:r>
          </w:p>
        </w:tc>
        <w:tc>
          <w:tcPr>
            <w:tcW w:type="dxa" w:w="27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结构化报文或文件导入</w:t>
            </w:r>
          </w:p>
        </w:tc>
        <w:tc>
          <w:tcPr>
            <w:tcW w:type="dxa" w:w="16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试点</w:t>
            </w:r>
          </w:p>
        </w:tc>
        <w:tc>
          <w:tcPr>
            <w:tcW w:type="dxa" w:w="411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便于隔离，但需控制格式与重复导入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</w:t>
            </w:r>
          </w:p>
        </w:tc>
        <w:tc>
          <w:tcPr>
            <w:tcW w:type="dxa" w:w="27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表单预览与模拟提交</w:t>
            </w:r>
          </w:p>
        </w:tc>
        <w:tc>
          <w:tcPr>
            <w:tcW w:type="dxa" w:w="16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比赛原型</w:t>
            </w:r>
          </w:p>
        </w:tc>
        <w:tc>
          <w:tcPr>
            <w:tcW w:type="dxa" w:w="411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无需改造核心，适合快速验证价值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</w:t>
            </w:r>
          </w:p>
        </w:tc>
        <w:tc>
          <w:tcPr>
            <w:tcW w:type="dxa" w:w="27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RPA模拟录入</w:t>
            </w:r>
          </w:p>
        </w:tc>
        <w:tc>
          <w:tcPr>
            <w:tcW w:type="dxa" w:w="16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短期过渡</w:t>
            </w:r>
          </w:p>
        </w:tc>
        <w:tc>
          <w:tcPr>
            <w:tcW w:type="dxa" w:w="411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页面变化敏感，不建议作为长期架构</w:t>
            </w:r>
          </w:p>
        </w:tc>
      </w:tr>
    </w:tbl>
    <w:p>
      <w:pPr>
        <w:spacing w:after="40"/>
      </w:pPr>
    </w:p>
    <w:p>
      <w:pPr>
        <w:pStyle w:val="Heading2"/>
      </w:pPr>
      <w:r>
        <w:t>（二）业务责任边界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  <w:tcBorders>
              <w:top w:val="single" w:sz="6" w:color="CBD5E1"/>
              <w:start w:val="single" w:sz="16" w:color="9B1C1C"/>
              <w:bottom w:val="single" w:sz="6" w:color="CBD5E1"/>
              <w:end w:val="single" w:sz="6" w:color="CBD5E1"/>
            </w:tcBorders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  <w:b/>
                <w:color w:val="9B1C1C"/>
                <w:sz w:val="21"/>
              </w:rPr>
              <w:t xml:space="preserve">硬性边界 </w:t>
            </w:r>
            <w:r>
              <w:rPr>
                <w:rFonts w:ascii="Arial Unicode MS" w:hAnsi="Arial Unicode MS" w:eastAsia="Arial Unicode MS"/>
                <w:color w:val="0B2545"/>
                <w:sz w:val="21"/>
              </w:rPr>
              <w:t>“智晓通”不替代客户身份核实、业务准入判断、授权审批和柜员审核，不直接操作核心数据库，不在未经人工确认的情况下提交任何业务。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AI模块输出只能进入统一字段模型，不能直连核心系统。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规则引擎负责确定性校验，但不替代现行业务制度及授权流程。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柜员在提交前必须完成关键字段确认，系统记录确认人和确认时间。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电子签名、电子凭证和无纸化归档属于二期范围，需独立完成制度及技术评审。</w:t>
      </w:r>
    </w:p>
    <w:p>
      <w:pPr>
        <w:pStyle w:val="Heading2"/>
      </w:pPr>
      <w:r>
        <w:t>（三）异常与降级流程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20"/>
        <w:gridCol w:w="4080"/>
        <w:gridCol w:w="3360"/>
      </w:tblGrid>
      <w:tr>
        <w:trPr>
          <w:tblHeader w:val="true"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异常场景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系统处置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柜员动作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证件反光或模糊</w:t>
            </w:r>
          </w:p>
        </w:tc>
        <w:tc>
          <w:tcPr>
            <w:tcW w:type="dxa" w:w="40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停止字段接受并提示重新采集</w:t>
            </w:r>
          </w:p>
        </w:tc>
        <w:tc>
          <w:tcPr>
            <w:tcW w:type="dxa" w:w="33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调整角度或改用人工录入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OCR与主数据冲突</w:t>
            </w:r>
          </w:p>
        </w:tc>
        <w:tc>
          <w:tcPr>
            <w:tcW w:type="dxa" w:w="40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标红冲突字段并展示双方证据</w:t>
            </w:r>
          </w:p>
        </w:tc>
        <w:tc>
          <w:tcPr>
            <w:tcW w:type="dxa" w:w="33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核实原件和客户档案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语音识别不确定</w:t>
            </w:r>
          </w:p>
        </w:tc>
        <w:tc>
          <w:tcPr>
            <w:tcW w:type="dxa" w:w="40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保留转写并弹出标准选项</w:t>
            </w:r>
          </w:p>
        </w:tc>
        <w:tc>
          <w:tcPr>
            <w:tcW w:type="dxa" w:w="33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选择或手工修正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模型服务超时</w:t>
            </w:r>
          </w:p>
        </w:tc>
        <w:tc>
          <w:tcPr>
            <w:tcW w:type="dxa" w:w="40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结束智能处理但保留已采集材料</w:t>
            </w:r>
          </w:p>
        </w:tc>
        <w:tc>
          <w:tcPr>
            <w:tcW w:type="dxa" w:w="33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切回传统人工流程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业务接口失败</w:t>
            </w:r>
          </w:p>
        </w:tc>
        <w:tc>
          <w:tcPr>
            <w:tcW w:type="dxa" w:w="40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不重复提交，记录幂等号并查询结果</w:t>
            </w:r>
          </w:p>
        </w:tc>
        <w:tc>
          <w:tcPr>
            <w:tcW w:type="dxa" w:w="33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根据回查结果继续或转人工</w:t>
            </w:r>
          </w:p>
        </w:tc>
      </w:tr>
    </w:tbl>
    <w:p>
      <w:pPr>
        <w:spacing w:after="40"/>
      </w:pPr>
    </w:p>
    <w:p>
      <w:pPr>
        <w:pStyle w:val="Heading1"/>
      </w:pPr>
      <w:r>
        <w:t>六、安全、合规与审计设计</w:t>
      </w:r>
    </w:p>
    <w:p>
      <w:pPr>
        <w:pStyle w:val="Heading2"/>
      </w:pPr>
      <w:r>
        <w:t>（一）数据安全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部署环境：客户信息仅在行内网络或经审批的专有环境内处理。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传输与存储：全链路加密，敏感字段按分类分级要求加密或脱敏。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数据最小化：仅采集当前业务所需字段，原始音频默认不长期保留。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训练隔离：生产客户数据不得未经审批用于模型训练；测试优先使用脱敏或合成数据。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日志保护：应用日志不得记录完整账号、证件号、客户姓名或原始模型提示内容。</w:t>
      </w:r>
    </w:p>
    <w:p>
      <w:pPr>
        <w:pStyle w:val="Heading2"/>
      </w:pPr>
      <w:r>
        <w:t>（二）访问控制与审计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40"/>
        <w:gridCol w:w="4320"/>
        <w:gridCol w:w="3300"/>
      </w:tblGrid>
      <w:tr>
        <w:trPr>
          <w:tblHeader w:val="true"/>
        </w:trP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控制域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控制措施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留痕内容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身份与权限</w:t>
            </w:r>
          </w:p>
        </w:tc>
        <w:tc>
          <w:tcPr>
            <w:tcW w:type="dxa" w:w="43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接入柜员统一认证，按岗位、机构、业务场景最小授权</w:t>
            </w:r>
          </w:p>
        </w:tc>
        <w:tc>
          <w:tcPr>
            <w:tcW w:type="dxa" w:w="33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登录、查询、采集、修改、确认、提交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字段操作</w:t>
            </w:r>
          </w:p>
        </w:tc>
        <w:tc>
          <w:tcPr>
            <w:tcW w:type="dxa" w:w="43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关键字段掩码展示，查看完整信息需满足业务权限</w:t>
            </w:r>
          </w:p>
        </w:tc>
        <w:tc>
          <w:tcPr>
            <w:tcW w:type="dxa" w:w="33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原值摘要、修改后值、修改原因、操作人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模型调用</w:t>
            </w:r>
          </w:p>
        </w:tc>
        <w:tc>
          <w:tcPr>
            <w:tcW w:type="dxa" w:w="43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经模型网关统一路由、限流和策略控制</w:t>
            </w:r>
          </w:p>
        </w:tc>
        <w:tc>
          <w:tcPr>
            <w:tcW w:type="dxa" w:w="33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模型版本、请求类型、耗时、置信度、错误码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规则执行</w:t>
            </w:r>
          </w:p>
        </w:tc>
        <w:tc>
          <w:tcPr>
            <w:tcW w:type="dxa" w:w="43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规则版本化发布，可追溯命中原因</w:t>
            </w:r>
          </w:p>
        </w:tc>
        <w:tc>
          <w:tcPr>
            <w:tcW w:type="dxa" w:w="33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规则编号、版本、输入摘要、执行结果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业务提交</w:t>
            </w:r>
          </w:p>
        </w:tc>
        <w:tc>
          <w:tcPr>
            <w:tcW w:type="dxa" w:w="43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双重校验、幂等控制、结果回查</w:t>
            </w:r>
          </w:p>
        </w:tc>
        <w:tc>
          <w:tcPr>
            <w:tcW w:type="dxa" w:w="33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业务流水号、提交人、时间、返回状态</w:t>
            </w:r>
          </w:p>
        </w:tc>
      </w:tr>
    </w:tbl>
    <w:p>
      <w:pPr>
        <w:spacing w:after="40"/>
      </w:pPr>
    </w:p>
    <w:p>
      <w:pPr>
        <w:pStyle w:val="Heading2"/>
      </w:pPr>
      <w:r>
        <w:t>（三）模型风险控制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输出约束：限定业务意图和字段枚举，采用结构化模式校验。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事实校验：模型不得自行推断缺失的证件号、账号、日期或客户身份信息。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版本治理：模型和提示模板变更须经过离线回归测试和灰度验证。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持续监控：按业务、证件类型、字段类别统计准确率、人工修改率和漂移情况。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人工可撤销：柜员可拒绝全部AI结果并立即切换为传统流程。</w:t>
      </w:r>
    </w:p>
    <w:p>
      <w:pPr>
        <w:pStyle w:val="Heading1"/>
      </w:pPr>
      <w:r>
        <w:t>七、MVP实施方案与推广路径</w:t>
      </w:r>
    </w:p>
    <w:p>
      <w:pPr>
        <w:pStyle w:val="Heading2"/>
      </w:pPr>
      <w:r>
        <w:t>（一）比赛原型范围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color="CBD5E1"/>
              <w:start w:val="single" w:sz="16" w:color="1F4D78"/>
              <w:bottom w:val="single" w:sz="6" w:color="CBD5E1"/>
              <w:end w:val="single" w:sz="6" w:color="CBD5E1"/>
            </w:tcBorders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 xml:space="preserve">首期场景 </w:t>
            </w:r>
            <w:r>
              <w:rPr>
                <w:rFonts w:ascii="Arial Unicode MS" w:hAnsi="Arial Unicode MS" w:eastAsia="Arial Unicode MS"/>
                <w:color w:val="0B2545"/>
                <w:sz w:val="21"/>
              </w:rPr>
              <w:t>选取“对公账户销户申请辅助填单”作为比赛演示场景，完成资料采集、语音补充、智能预填、规则校验、证据回看、柜员确认、模拟提交和指标看板。生产试点阶段仅承担资料预填与校验，不替代销户资格判断或核心记账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纳入范围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暂不纳入范围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营业执照、身份证OCR及图像质检</w:t>
            </w:r>
          </w:p>
        </w:tc>
        <w:tc>
          <w:tcPr>
            <w:tcW w:type="dxa" w:w="46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销户资格的自动审批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业务类型、账户类型、办理原因的语音提取</w:t>
            </w:r>
          </w:p>
        </w:tc>
        <w:tc>
          <w:tcPr>
            <w:tcW w:type="dxa" w:w="46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AI自主提交或直接写入核心数据库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统一字段模型、规则校验和证据回看</w:t>
            </w:r>
          </w:p>
        </w:tc>
        <w:tc>
          <w:tcPr>
            <w:tcW w:type="dxa" w:w="46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电子签名及全流程无纸化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柜员确认、表单生成和模拟提交</w:t>
            </w:r>
          </w:p>
        </w:tc>
        <w:tc>
          <w:tcPr>
            <w:tcW w:type="dxa" w:w="46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跨机构大规模推广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效率、准确率、人工修改率看板</w:t>
            </w:r>
          </w:p>
        </w:tc>
        <w:tc>
          <w:tcPr>
            <w:tcW w:type="dxa" w:w="46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使用真实客户数据进行开放式模型训练</w:t>
            </w:r>
          </w:p>
        </w:tc>
      </w:tr>
    </w:tbl>
    <w:p>
      <w:pPr>
        <w:spacing w:after="40"/>
      </w:pPr>
    </w:p>
    <w:p>
      <w:pPr>
        <w:pStyle w:val="Heading2"/>
      </w:pPr>
      <w:r>
        <w:t>（二）实施阶段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350"/>
        <w:gridCol w:w="3900"/>
        <w:gridCol w:w="276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周期建议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主要工作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关键产出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0.业务梳理</w:t>
            </w:r>
          </w:p>
        </w:tc>
        <w:tc>
          <w:tcPr>
            <w:tcW w:type="dxa" w:w="13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1～2周</w:t>
            </w:r>
          </w:p>
        </w:tc>
        <w:tc>
          <w:tcPr>
            <w:tcW w:type="dxa" w:w="39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字段清单、流程、样本、规则和数据口径</w:t>
            </w:r>
          </w:p>
        </w:tc>
        <w:tc>
          <w:tcPr>
            <w:tcW w:type="dxa" w:w="27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业务蓝图、字段字典、样本集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1.原型开发</w:t>
            </w:r>
          </w:p>
        </w:tc>
        <w:tc>
          <w:tcPr>
            <w:tcW w:type="dxa" w:w="13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4～6周</w:t>
            </w:r>
          </w:p>
        </w:tc>
        <w:tc>
          <w:tcPr>
            <w:tcW w:type="dxa" w:w="39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OCR、语音、预填、校验、确认和模拟提交</w:t>
            </w:r>
          </w:p>
        </w:tc>
        <w:tc>
          <w:tcPr>
            <w:tcW w:type="dxa" w:w="27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可演示MVP、离线测试报告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2.联调试点</w:t>
            </w:r>
          </w:p>
        </w:tc>
        <w:tc>
          <w:tcPr>
            <w:tcW w:type="dxa" w:w="13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6～8周</w:t>
            </w:r>
          </w:p>
        </w:tc>
        <w:tc>
          <w:tcPr>
            <w:tcW w:type="dxa" w:w="39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身份、主数据、影像或业务接口接入</w:t>
            </w:r>
          </w:p>
        </w:tc>
        <w:tc>
          <w:tcPr>
            <w:tcW w:type="dxa" w:w="27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试点版本、安全与审计方案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3.灰度运营</w:t>
            </w:r>
          </w:p>
        </w:tc>
        <w:tc>
          <w:tcPr>
            <w:tcW w:type="dxa" w:w="135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4～8周</w:t>
            </w:r>
          </w:p>
        </w:tc>
        <w:tc>
          <w:tcPr>
            <w:tcW w:type="dxa" w:w="39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1～2个网点试运行、A/B对比、问题整改</w:t>
            </w:r>
          </w:p>
        </w:tc>
        <w:tc>
          <w:tcPr>
            <w:tcW w:type="dxa" w:w="27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试点评估报告、推广决策</w:t>
            </w:r>
          </w:p>
        </w:tc>
      </w:tr>
    </w:tbl>
    <w:p>
      <w:pPr>
        <w:spacing w:after="40"/>
      </w:pPr>
    </w:p>
    <w:p>
      <w:pPr>
        <w:pStyle w:val="Heading2"/>
      </w:pPr>
      <w:r>
        <w:t>（三）项目团队建议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1620"/>
        <w:gridCol w:w="540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建议投入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业务负责人/产品经理</w:t>
            </w:r>
          </w:p>
        </w:tc>
        <w:tc>
          <w:tcPr>
            <w:tcW w:type="dxa" w:w="16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1人</w:t>
            </w:r>
          </w:p>
        </w:tc>
        <w:tc>
          <w:tcPr>
            <w:tcW w:type="dxa" w:w="54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业务边界、流程、字段规则和试点协调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前端工程师</w:t>
            </w:r>
          </w:p>
        </w:tc>
        <w:tc>
          <w:tcPr>
            <w:tcW w:type="dxa" w:w="16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1人</w:t>
            </w:r>
          </w:p>
        </w:tc>
        <w:tc>
          <w:tcPr>
            <w:tcW w:type="dxa" w:w="54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柜员工作台、设备交互、证据对照界面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后端工程师</w:t>
            </w:r>
          </w:p>
        </w:tc>
        <w:tc>
          <w:tcPr>
            <w:tcW w:type="dxa" w:w="16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1～2人</w:t>
            </w:r>
          </w:p>
        </w:tc>
        <w:tc>
          <w:tcPr>
            <w:tcW w:type="dxa" w:w="54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流程编排、规则、数据模型、接口和审计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AI/OCR工程师</w:t>
            </w:r>
          </w:p>
        </w:tc>
        <w:tc>
          <w:tcPr>
            <w:tcW w:type="dxa" w:w="16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1人</w:t>
            </w:r>
          </w:p>
        </w:tc>
        <w:tc>
          <w:tcPr>
            <w:tcW w:type="dxa" w:w="54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ASR、OCR、结构化提取及评测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测试工程师</w:t>
            </w:r>
          </w:p>
        </w:tc>
        <w:tc>
          <w:tcPr>
            <w:tcW w:type="dxa" w:w="16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1人</w:t>
            </w:r>
          </w:p>
        </w:tc>
        <w:tc>
          <w:tcPr>
            <w:tcW w:type="dxa" w:w="54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功能、回归、性能、异常与业务验收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安全/运维/核心系统人员</w:t>
            </w:r>
          </w:p>
        </w:tc>
        <w:tc>
          <w:tcPr>
            <w:tcW w:type="dxa" w:w="162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按阶段参与</w:t>
            </w:r>
          </w:p>
        </w:tc>
        <w:tc>
          <w:tcPr>
            <w:tcW w:type="dxa" w:w="54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合规评审、环境、监控和系统联调</w:t>
            </w:r>
          </w:p>
        </w:tc>
      </w:tr>
    </w:tbl>
    <w:p>
      <w:pPr>
        <w:spacing w:after="40"/>
      </w:pPr>
    </w:p>
    <w:p>
      <w:pPr>
        <w:pStyle w:val="Heading1"/>
      </w:pPr>
      <w:r>
        <w:t>八、试点指标与效益测算</w:t>
      </w:r>
    </w:p>
    <w:p>
      <w:pPr>
        <w:pStyle w:val="Heading2"/>
      </w:pPr>
      <w:r>
        <w:t>（一）验收指标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160"/>
        <w:gridCol w:w="460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建议目标值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统计口径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单笔资料录入与复核时间</w:t>
            </w:r>
          </w:p>
        </w:tc>
        <w:tc>
          <w:tcPr>
            <w:tcW w:type="dxa" w:w="21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较基线降低≥30%</w:t>
            </w:r>
          </w:p>
        </w:tc>
        <w:tc>
          <w:tcPr>
            <w:tcW w:type="dxa" w:w="46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同类业务、同等材料完整度的前后对比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高置信度字段自动填充覆盖率</w:t>
            </w:r>
          </w:p>
        </w:tc>
        <w:tc>
          <w:tcPr>
            <w:tcW w:type="dxa" w:w="21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≥80%</w:t>
            </w:r>
          </w:p>
        </w:tc>
        <w:tc>
          <w:tcPr>
            <w:tcW w:type="dxa" w:w="46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满足阈值且规则通过的预填字段/全部可预填字段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自动接受字段准确率</w:t>
            </w:r>
          </w:p>
        </w:tc>
        <w:tc>
          <w:tcPr>
            <w:tcW w:type="dxa" w:w="21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≥99%</w:t>
            </w:r>
          </w:p>
        </w:tc>
        <w:tc>
          <w:tcPr>
            <w:tcW w:type="dxa" w:w="46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无需人工修改的自动接受字段/自动接受字段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关键字段人工确认率</w:t>
            </w:r>
          </w:p>
        </w:tc>
        <w:tc>
          <w:tcPr>
            <w:tcW w:type="dxa" w:w="21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100%</w:t>
            </w:r>
          </w:p>
        </w:tc>
        <w:tc>
          <w:tcPr>
            <w:tcW w:type="dxa" w:w="46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已人工确认关键字段/全部关键字段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字段规则校验执行率</w:t>
            </w:r>
          </w:p>
        </w:tc>
        <w:tc>
          <w:tcPr>
            <w:tcW w:type="dxa" w:w="21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100%</w:t>
            </w:r>
          </w:p>
        </w:tc>
        <w:tc>
          <w:tcPr>
            <w:tcW w:type="dxa" w:w="46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已执行规则的适用字段/全部适用字段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表单退回或补录率</w:t>
            </w:r>
          </w:p>
        </w:tc>
        <w:tc>
          <w:tcPr>
            <w:tcW w:type="dxa" w:w="21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较基线降低≥30%</w:t>
            </w:r>
          </w:p>
        </w:tc>
        <w:tc>
          <w:tcPr>
            <w:tcW w:type="dxa" w:w="46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因录入或材料问题发生的退回、补录业务占比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OCR单份证件处理时间</w:t>
            </w:r>
          </w:p>
        </w:tc>
        <w:tc>
          <w:tcPr>
            <w:tcW w:type="dxa" w:w="21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≤3秒</w:t>
            </w:r>
          </w:p>
        </w:tc>
        <w:tc>
          <w:tcPr>
            <w:tcW w:type="dxa" w:w="46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图像上传完成至结构化字段返回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语音结束至字段呈现时间</w:t>
            </w:r>
          </w:p>
        </w:tc>
        <w:tc>
          <w:tcPr>
            <w:tcW w:type="dxa" w:w="21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≤2秒</w:t>
            </w:r>
          </w:p>
        </w:tc>
        <w:tc>
          <w:tcPr>
            <w:tcW w:type="dxa" w:w="46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结束说话至结构化字段展示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AI自主提交率</w:t>
            </w:r>
          </w:p>
        </w:tc>
        <w:tc>
          <w:tcPr>
            <w:tcW w:type="dxa" w:w="21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0%</w:t>
            </w:r>
          </w:p>
        </w:tc>
        <w:tc>
          <w:tcPr>
            <w:tcW w:type="dxa" w:w="46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未经柜员确认直接提交的业务数量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全流程可追溯率</w:t>
            </w:r>
          </w:p>
        </w:tc>
        <w:tc>
          <w:tcPr>
            <w:tcW w:type="dxa" w:w="21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100%</w:t>
            </w:r>
          </w:p>
        </w:tc>
        <w:tc>
          <w:tcPr>
            <w:tcW w:type="dxa" w:w="46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具备完整操作与字段证据日志的业务占比</w:t>
            </w:r>
          </w:p>
        </w:tc>
      </w:tr>
    </w:tbl>
    <w:p>
      <w:pPr>
        <w:spacing w:after="40"/>
      </w:pPr>
    </w:p>
    <w:p>
      <w:pPr>
        <w:pStyle w:val="Heading2"/>
      </w:pPr>
      <w:r>
        <w:t>（二）支行级年度效益测算示例</w:t>
      </w: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sz w:val="22"/>
        </w:rPr>
        <w:t>以下仅用于展示测算方法，正式申报时应替换为支行核实数据。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468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测算项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示例值（待核实）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计算说明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相关业务量</w:t>
            </w:r>
          </w:p>
        </w:tc>
        <w:tc>
          <w:tcPr>
            <w:tcW w:type="dxa" w:w="23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10笔/工作日</w:t>
            </w:r>
          </w:p>
        </w:tc>
        <w:tc>
          <w:tcPr>
            <w:tcW w:type="dxa" w:w="46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销户、网银管理员变更、证件更新等合计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年工作日</w:t>
            </w:r>
          </w:p>
        </w:tc>
        <w:tc>
          <w:tcPr>
            <w:tcW w:type="dxa" w:w="23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250日</w:t>
            </w:r>
          </w:p>
        </w:tc>
        <w:tc>
          <w:tcPr>
            <w:tcW w:type="dxa" w:w="46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按实际营业安排调整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单笔节省时间</w:t>
            </w:r>
          </w:p>
        </w:tc>
        <w:tc>
          <w:tcPr>
            <w:tcW w:type="dxa" w:w="23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6分钟</w:t>
            </w:r>
          </w:p>
        </w:tc>
        <w:tc>
          <w:tcPr>
            <w:tcW w:type="dxa" w:w="46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基线15分钟，试点后9分钟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年度节省柜员工时</w:t>
            </w:r>
          </w:p>
        </w:tc>
        <w:tc>
          <w:tcPr>
            <w:tcW w:type="dxa" w:w="23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约250小时</w:t>
            </w:r>
          </w:p>
        </w:tc>
        <w:tc>
          <w:tcPr>
            <w:tcW w:type="dxa" w:w="46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10×250×6÷60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相当于释放工作量</w:t>
            </w:r>
          </w:p>
        </w:tc>
        <w:tc>
          <w:tcPr>
            <w:tcW w:type="dxa" w:w="23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约31个工作日</w:t>
            </w:r>
          </w:p>
        </w:tc>
        <w:tc>
          <w:tcPr>
            <w:tcW w:type="dxa" w:w="46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按8小时/工作日折算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质量收益</w:t>
            </w:r>
          </w:p>
        </w:tc>
        <w:tc>
          <w:tcPr>
            <w:tcW w:type="dxa" w:w="234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暂不折算金额</w:t>
            </w:r>
          </w:p>
        </w:tc>
        <w:tc>
          <w:tcPr>
            <w:tcW w:type="dxa" w:w="468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以补录率、退回率和差错整改工时衡量</w:t>
            </w:r>
          </w:p>
        </w:tc>
      </w:tr>
    </w:tbl>
    <w:p>
      <w:pPr>
        <w:spacing w:after="40"/>
      </w:pPr>
    </w:p>
    <w:p>
      <w:pPr>
        <w:pStyle w:val="Heading2"/>
      </w:pPr>
      <w:r>
        <w:t>（三）评估设计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基线期：连续采集至少2周传统流程数据。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试点期：在相同业务类型和材料完整度条件下采集至少4周数据。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样本量：每个首期场景建议不少于100笔有效业务或脱敏回放样本。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分层分析：分别统计证件类型、字段类型、柜员熟练度和高峰/非高峰时段。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主观评价：收集柜员易用性、客户等待感知和异常处置便利度。</w:t>
      </w:r>
    </w:p>
    <w:p>
      <w:pPr>
        <w:pStyle w:val="Heading1"/>
      </w:pPr>
      <w:r>
        <w:t>九、创新性、独特价值与赛事契合</w:t>
      </w:r>
    </w:p>
    <w:p>
      <w:pPr>
        <w:pStyle w:val="Heading2"/>
      </w:pPr>
      <w:r>
        <w:t>（一）项目创新点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创新点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区别于普通OCR填单的价值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多模态字段分源</w:t>
            </w:r>
          </w:p>
        </w:tc>
        <w:tc>
          <w:tcPr>
            <w:tcW w:type="dxa" w:w="70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根据字段风险选择OCR、语音、主数据或人工作为首选来源，而非“一种模型填全部”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字段级证据链</w:t>
            </w:r>
          </w:p>
        </w:tc>
        <w:tc>
          <w:tcPr>
            <w:tcW w:type="dxa" w:w="70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每个字段均可回看来源、原始证据、置信度和修改记录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AI与规则双引擎</w:t>
            </w:r>
          </w:p>
        </w:tc>
        <w:tc>
          <w:tcPr>
            <w:tcW w:type="dxa" w:w="70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AI负责理解非结构化内容，规则负责确定性校验和风险拦截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人在回路</w:t>
            </w:r>
          </w:p>
        </w:tc>
        <w:tc>
          <w:tcPr>
            <w:tcW w:type="dxa" w:w="70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关键字段强制人工确认，AI不自主办理、不自主提交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模板化推广</w:t>
            </w:r>
          </w:p>
        </w:tc>
        <w:tc>
          <w:tcPr>
            <w:tcW w:type="dxa" w:w="70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通过字段字典、规则包和适配器扩展业务，而非为每个场景重建系统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运营数据闭环</w:t>
            </w:r>
          </w:p>
        </w:tc>
        <w:tc>
          <w:tcPr>
            <w:tcW w:type="dxa" w:w="70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识别质量、人工修改和流程耗时可量化，为运营优化提供依据</w:t>
            </w:r>
          </w:p>
        </w:tc>
      </w:tr>
    </w:tbl>
    <w:p>
      <w:pPr>
        <w:spacing w:after="40"/>
      </w:pPr>
    </w:p>
    <w:p>
      <w:pPr>
        <w:pStyle w:val="Heading2"/>
      </w:pPr>
      <w:r>
        <w:t>（二）与“AI+运营”赛道的结合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AI+交互：通过ASR和结构化语义提取降低柜员操作负担。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AI+识别：通过证件OCR和图像质量检测减少人工抄录。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AI+流程：将资料采集、预填、核验和提交组织为可控闭环。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AI+风控：以规则、置信度、证据回看和人工确认约束模型风险。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AI+运营分析：基于流程和字段日志识别效率瓶颈及差错热点。</w:t>
      </w:r>
    </w:p>
    <w:p>
      <w:pPr>
        <w:pStyle w:val="Heading2"/>
      </w:pPr>
      <w:r>
        <w:t>（三）推广价值</w:t>
      </w: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sz w:val="22"/>
        </w:rPr>
        <w:t>项目一旦形成统一字段模型和可信控制底座，新场景主要通过配置业务模板、字段映射和规则包完成扩展，可由单一支行试点逐步推广至更多网点。高新支行兼具科创企业客户集中、客户数字化体验要求高和业务变化较快等特点，具备较好的先行验证价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color="CBD5E1"/>
              <w:start w:val="single" w:sz="16" w:color="1F4D78"/>
              <w:bottom w:val="single" w:sz="6" w:color="CBD5E1"/>
              <w:end w:val="single" w:sz="6" w:color="CBD5E1"/>
            </w:tcBorders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 xml:space="preserve">项目差异化表述 </w:t>
            </w:r>
            <w:r>
              <w:rPr>
                <w:rFonts w:ascii="Arial Unicode MS" w:hAnsi="Arial Unicode MS" w:eastAsia="Arial Unicode MS"/>
                <w:color w:val="0B2545"/>
                <w:sz w:val="21"/>
              </w:rPr>
              <w:t>“智晓通”构建的不是单一语音或OCR工具，而是一套具备字段证据、置信度、业务规则校验和人工确认机制的可信多模态填单体系。</w:t>
            </w:r>
          </w:p>
        </w:tc>
      </w:tr>
    </w:tbl>
    <w:p>
      <w:pPr>
        <w:spacing w:after="40"/>
      </w:pPr>
    </w:p>
    <w:p>
      <w:pPr>
        <w:pStyle w:val="Heading1"/>
      </w:pPr>
      <w:r>
        <w:t>十、主要风险与应对措施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4200"/>
        <w:gridCol w:w="15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风险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影响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应对措施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责任建议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核心系统接口暂不可用</w:t>
            </w:r>
          </w:p>
        </w:tc>
        <w:tc>
          <w:tcPr>
            <w:tcW w:type="dxa" w:w="21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无法形成真实提交闭环</w:t>
            </w:r>
          </w:p>
        </w:tc>
        <w:tc>
          <w:tcPr>
            <w:tcW w:type="dxa" w:w="42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原型采用模拟提交；同步申请标准接口或预填机制</w:t>
            </w:r>
          </w:p>
        </w:tc>
        <w:tc>
          <w:tcPr>
            <w:tcW w:type="dxa" w:w="15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业务与科技联合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柜面噪声影响ASR</w:t>
            </w:r>
          </w:p>
        </w:tc>
        <w:tc>
          <w:tcPr>
            <w:tcW w:type="dxa" w:w="21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语音转写错误或体验下降</w:t>
            </w:r>
          </w:p>
        </w:tc>
        <w:tc>
          <w:tcPr>
            <w:tcW w:type="dxa" w:w="42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按键说话、定向麦克风、业务词典、下拉兜底</w:t>
            </w:r>
          </w:p>
        </w:tc>
        <w:tc>
          <w:tcPr>
            <w:tcW w:type="dxa" w:w="15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AI与前端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证件图像质量不稳定</w:t>
            </w:r>
          </w:p>
        </w:tc>
        <w:tc>
          <w:tcPr>
            <w:tcW w:type="dxa" w:w="21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OCR错误或字段缺失</w:t>
            </w:r>
          </w:p>
        </w:tc>
        <w:tc>
          <w:tcPr>
            <w:tcW w:type="dxa" w:w="42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图像质检前置、重拍提示、证据对照</w:t>
            </w:r>
          </w:p>
        </w:tc>
        <w:tc>
          <w:tcPr>
            <w:tcW w:type="dxa" w:w="15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AI与业务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数据与隐私风险</w:t>
            </w:r>
          </w:p>
        </w:tc>
        <w:tc>
          <w:tcPr>
            <w:tcW w:type="dxa" w:w="21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客户信息泄露或不当留存</w:t>
            </w:r>
          </w:p>
        </w:tc>
        <w:tc>
          <w:tcPr>
            <w:tcW w:type="dxa" w:w="42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行内部署、加密脱敏、最小化采集、明确留存周期</w:t>
            </w:r>
          </w:p>
        </w:tc>
        <w:tc>
          <w:tcPr>
            <w:tcW w:type="dxa" w:w="15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安全与运维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模型版本漂移</w:t>
            </w:r>
          </w:p>
        </w:tc>
        <w:tc>
          <w:tcPr>
            <w:tcW w:type="dxa" w:w="21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准确率下降或输出结构变化</w:t>
            </w:r>
          </w:p>
        </w:tc>
        <w:tc>
          <w:tcPr>
            <w:tcW w:type="dxa" w:w="42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固定版本、回归样本、灰度发布、指标监控</w:t>
            </w:r>
          </w:p>
        </w:tc>
        <w:tc>
          <w:tcPr>
            <w:tcW w:type="dxa" w:w="15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AI与测试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柜员过度依赖AI</w:t>
            </w:r>
          </w:p>
        </w:tc>
        <w:tc>
          <w:tcPr>
            <w:tcW w:type="dxa" w:w="21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核验责任弱化</w:t>
            </w:r>
          </w:p>
        </w:tc>
        <w:tc>
          <w:tcPr>
            <w:tcW w:type="dxa" w:w="42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关键字段强制确认、培训、抽检和责任提示</w:t>
            </w:r>
          </w:p>
        </w:tc>
        <w:tc>
          <w:tcPr>
            <w:tcW w:type="dxa" w:w="15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业务管理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收益难以证明</w:t>
            </w:r>
          </w:p>
        </w:tc>
        <w:tc>
          <w:tcPr>
            <w:tcW w:type="dxa" w:w="21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比赛或推广说服力不足</w:t>
            </w:r>
          </w:p>
        </w:tc>
        <w:tc>
          <w:tcPr>
            <w:tcW w:type="dxa" w:w="42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提前定义基线、采样方法和A/B评估口径</w:t>
            </w:r>
          </w:p>
        </w:tc>
        <w:tc>
          <w:tcPr>
            <w:tcW w:type="dxa" w:w="15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产品与运营</w:t>
            </w:r>
          </w:p>
        </w:tc>
      </w:tr>
    </w:tbl>
    <w:p>
      <w:pPr>
        <w:spacing w:after="40"/>
      </w:pPr>
    </w:p>
    <w:p>
      <w:pPr>
        <w:pStyle w:val="Heading1"/>
      </w:pPr>
      <w:r>
        <w:t>十一、结论与申报建议</w:t>
      </w: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sz w:val="22"/>
        </w:rPr>
        <w:t>“智晓通”立足对公柜面真实痛点，将语音识别、证件OCR和结构化理解能力嵌入现有运营流程，并通过规则校验、字段证据链和柜员确认机制解决AI在银行生产场景中的可信使用问题。项目首期范围清晰、演示闭环完整、技术路径可行，具备从支行原型向网点试点和多业务复制推广的潜力。</w:t>
      </w: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sz w:val="22"/>
        </w:rPr>
        <w:t>建议以“表单预填与可信校验”为首期建设边界，以“对公账户销户申请辅助填单”为比赛展示场景，在完成真实数据核实、接口可行性评估和安全评审后，逐步扩展至网银管理员变更、证件更新和账户信息维护等场景。</w:t>
      </w:r>
    </w:p>
    <w:p>
      <w:pPr>
        <w:pStyle w:val="Heading1"/>
      </w:pPr>
      <w:r>
        <w:t>附录A：提交前待核实材料清单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000"/>
        <w:gridCol w:w="1800"/>
        <w:gridCol w:w="286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序号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待核实材料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建议责任人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1</w:t>
            </w:r>
          </w:p>
        </w:tc>
        <w:tc>
          <w:tcPr>
            <w:tcW w:type="dxa" w:w="40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近4周相关业务量及业务类型分布</w:t>
            </w:r>
          </w:p>
        </w:tc>
        <w:tc>
          <w:tcPr>
            <w:tcW w:type="dxa" w:w="18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运营主管</w:t>
            </w:r>
          </w:p>
        </w:tc>
        <w:tc>
          <w:tcPr>
            <w:tcW w:type="dxa" w:w="28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确定场景规模和年度收益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2</w:t>
            </w:r>
          </w:p>
        </w:tc>
        <w:tc>
          <w:tcPr>
            <w:tcW w:type="dxa" w:w="40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至少30笔业务的录入、复核和总办理时长</w:t>
            </w:r>
          </w:p>
        </w:tc>
        <w:tc>
          <w:tcPr>
            <w:tcW w:type="dxa" w:w="18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柜面业务人员</w:t>
            </w:r>
          </w:p>
        </w:tc>
        <w:tc>
          <w:tcPr>
            <w:tcW w:type="dxa" w:w="28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建立效率基线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3</w:t>
            </w:r>
          </w:p>
        </w:tc>
        <w:tc>
          <w:tcPr>
            <w:tcW w:type="dxa" w:w="40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退回、补录、二次修改及内部差错记录</w:t>
            </w:r>
          </w:p>
        </w:tc>
        <w:tc>
          <w:tcPr>
            <w:tcW w:type="dxa" w:w="18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运营主管</w:t>
            </w:r>
          </w:p>
        </w:tc>
        <w:tc>
          <w:tcPr>
            <w:tcW w:type="dxa" w:w="28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建立质量基线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</w:t>
            </w:r>
          </w:p>
        </w:tc>
        <w:tc>
          <w:tcPr>
            <w:tcW w:type="dxa" w:w="40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两类首期业务的完整表单与字段清单</w:t>
            </w:r>
          </w:p>
        </w:tc>
        <w:tc>
          <w:tcPr>
            <w:tcW w:type="dxa" w:w="18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业务专家</w:t>
            </w:r>
          </w:p>
        </w:tc>
        <w:tc>
          <w:tcPr>
            <w:tcW w:type="dxa" w:w="28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形成字段字典和表单模板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5</w:t>
            </w:r>
          </w:p>
        </w:tc>
        <w:tc>
          <w:tcPr>
            <w:tcW w:type="dxa" w:w="40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脱敏证件与语音样本各100份以上</w:t>
            </w:r>
          </w:p>
        </w:tc>
        <w:tc>
          <w:tcPr>
            <w:tcW w:type="dxa" w:w="18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业务/科技</w:t>
            </w:r>
          </w:p>
        </w:tc>
        <w:tc>
          <w:tcPr>
            <w:tcW w:type="dxa" w:w="28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开展离线识别评测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6</w:t>
            </w:r>
          </w:p>
        </w:tc>
        <w:tc>
          <w:tcPr>
            <w:tcW w:type="dxa" w:w="40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客户、账户、影像及柜面系统接口清单</w:t>
            </w:r>
          </w:p>
        </w:tc>
        <w:tc>
          <w:tcPr>
            <w:tcW w:type="dxa" w:w="18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科技联系人</w:t>
            </w:r>
          </w:p>
        </w:tc>
        <w:tc>
          <w:tcPr>
            <w:tcW w:type="dxa" w:w="28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确认接入路径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7</w:t>
            </w:r>
          </w:p>
        </w:tc>
        <w:tc>
          <w:tcPr>
            <w:tcW w:type="dxa" w:w="40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数据分类分级、留存及日志脱敏要求</w:t>
            </w:r>
          </w:p>
        </w:tc>
        <w:tc>
          <w:tcPr>
            <w:tcW w:type="dxa" w:w="18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安全合规人员</w:t>
            </w:r>
          </w:p>
        </w:tc>
        <w:tc>
          <w:tcPr>
            <w:tcW w:type="dxa" w:w="28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完成安全设计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8</w:t>
            </w:r>
          </w:p>
        </w:tc>
        <w:tc>
          <w:tcPr>
            <w:tcW w:type="dxa" w:w="40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参赛成员、联系方式、赛制字数和附件要求</w:t>
            </w:r>
          </w:p>
        </w:tc>
        <w:tc>
          <w:tcPr>
            <w:tcW w:type="dxa" w:w="180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项目负责人</w:t>
            </w:r>
          </w:p>
        </w:tc>
        <w:tc>
          <w:tcPr>
            <w:tcW w:type="dxa" w:w="2860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完成最终报送</w:t>
            </w:r>
          </w:p>
        </w:tc>
      </w:tr>
    </w:tbl>
    <w:p>
      <w:pPr>
        <w:spacing w:after="40"/>
      </w:pPr>
    </w:p>
    <w:p>
      <w:pPr>
        <w:pStyle w:val="Heading1"/>
      </w:pPr>
      <w:r>
        <w:t>附录B：比赛演示脚本建议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sz w:val="22"/>
        </w:rPr>
        <w:t>展示传统痛点：柜员需要在营业执照、身份证、申请书和系统间反复切换。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sz w:val="22"/>
        </w:rPr>
        <w:t>扫描营业执照和身份证，系统显示图像质检及OCR字段。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sz w:val="22"/>
        </w:rPr>
        <w:t>柜员说：“办理一般户销户，原因是企业迁址。”系统提取标准业务字段。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sz w:val="22"/>
        </w:rPr>
        <w:t>系统从行内模拟主数据读取账户信息，并对企业名称和证件信息进行交叉校验。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sz w:val="22"/>
        </w:rPr>
        <w:t>故意设置一处证件信息冲突，展示红色提示、证据回看和人工修正。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sz w:val="22"/>
        </w:rPr>
        <w:t>柜员确认表单并执行模拟提交，系统生成电子申请表及审计记录。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sz w:val="22"/>
        </w:rPr>
        <w:t>看板展示单笔耗时、自动填充率、人工修改率和规则拦截情况。</w:t>
      </w:r>
    </w:p>
    <w:p>
      <w:pPr>
        <w:pStyle w:val="Heading1"/>
      </w:pPr>
      <w:r>
        <w:t>附录C：建议用于最终申报的关键表述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color="CBD5E1"/>
              <w:start w:val="single" w:sz="16" w:color="1F4D78"/>
              <w:bottom w:val="single" w:sz="6" w:color="CBD5E1"/>
              <w:end w:val="single" w:sz="6" w:color="CBD5E1"/>
            </w:tcBorders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 xml:space="preserve">一句话介绍 </w:t>
            </w:r>
            <w:r>
              <w:rPr>
                <w:rFonts w:ascii="Arial Unicode MS" w:hAnsi="Arial Unicode MS" w:eastAsia="Arial Unicode MS"/>
                <w:color w:val="0B2545"/>
                <w:sz w:val="21"/>
              </w:rPr>
              <w:t>“智晓通”是一套面向对公柜面的可信多模态智能填单助手，通过语音、OCR和行内主数据协同采集信息，以规则校验、字段证据链和柜员确认保障AI结果可用、可控、可核验。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color="CBD5E1"/>
              <w:start w:val="single" w:sz="16" w:color="1F4D78"/>
              <w:bottom w:val="single" w:sz="6" w:color="CBD5E1"/>
              <w:end w:val="single" w:sz="6" w:color="CBD5E1"/>
            </w:tcBorders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 xml:space="preserve">核心边界 </w:t>
            </w:r>
            <w:r>
              <w:rPr>
                <w:rFonts w:ascii="Arial Unicode MS" w:hAnsi="Arial Unicode MS" w:eastAsia="Arial Unicode MS"/>
                <w:color w:val="0B2545"/>
                <w:sz w:val="21"/>
              </w:rPr>
              <w:t>AI负责理解与建议，规则引擎负责校验，柜员保留最终确认与提交权。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color="CBD5E1"/>
              <w:start w:val="single" w:sz="16" w:color="1F4D78"/>
              <w:bottom w:val="single" w:sz="6" w:color="CBD5E1"/>
              <w:end w:val="single" w:sz="6" w:color="CBD5E1"/>
            </w:tcBorders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 xml:space="preserve">推广模式 </w:t>
            </w:r>
            <w:r>
              <w:rPr>
                <w:rFonts w:ascii="Arial Unicode MS" w:hAnsi="Arial Unicode MS" w:eastAsia="Arial Unicode MS"/>
                <w:color w:val="0B2545"/>
                <w:sz w:val="21"/>
              </w:rPr>
              <w:t>沉淀统一字段模型、业务模板、规则包和系统适配器，由单场景验证逐步扩展至多业务、多网点。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6666"/>
        <w:sz w:val="18"/>
      </w:rPr>
      <w:t xml:space="preserve">第 </w:t>
    </w:r>
    <w:fldSimple w:instr="PAGE"/>
    <w:r>
      <w:rPr>
        <w:rFonts w:ascii="Arial Unicode MS" w:hAnsi="Arial Unicode MS" w:eastAsia="Arial Unicode MS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color w:val="666666"/>
        <w:sz w:val="18"/>
      </w:rPr>
      <w:t>智晓通｜AI+运营参赛申报方案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before="0" w:after="40" w:line="276" w:lineRule="auto"/>
    </w:pPr>
    <w:rPr>
      <w:rFonts w:ascii="Arial Unicode MS" w:hAnsi="Arial Unicode MS" w:eastAsia="Arial Unicode M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“智晓通”对公业务可信多模态智能填单助手参赛申报方案</dc:title>
  <dc:subject>第五届创造力大赛 AI+运营赛道</dc:subject>
  <dc:creator>招商银行杭州高新支行项目组</dc:creator>
  <cp:keywords>智晓通, AI+运营, 对公业务, OCR, 语音识别, 智能填单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