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/home/cserv1_a/soc_msc/ml16m6y/Downloads/schooling_S4.py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4309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2902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17954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2218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3304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23887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1326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3819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47676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24503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4007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17577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2087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40016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21737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3827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2897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2652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17377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30320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3671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5217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18294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3549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9381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13012.4963719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2323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28752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16209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20097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4086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1743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2123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9024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2704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4158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3380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27348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6693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2283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44646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1889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9278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2747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10060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44711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2819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3855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19895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2599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1273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1341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3222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8592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4146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12334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16762.4150693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2796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5173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22082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7757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7054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2365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2816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1795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10132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2243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3448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4578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3814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3307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5482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6128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4413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4482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6182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3673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1777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4504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26352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1691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32434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1920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1265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21783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2577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6538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3946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9363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4189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2002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4897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1975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4141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3927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2935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3567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2736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2994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12774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4235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4412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2789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30248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15367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48257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3601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6807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10574.6973929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2199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1259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1947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3228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5520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3620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1554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2606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5124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3461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4195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19099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2556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4217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2253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5931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3642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23415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4666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5009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21634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3412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9004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20723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1851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1668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2692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5865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17144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4968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5007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3713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1700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4883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20038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4315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24910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5438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5947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2846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1054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3267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2039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1778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5207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7415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7038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46710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2367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9903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5265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5629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7319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2641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9784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15012.5241034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7908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5499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7264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6334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6285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2907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13208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3183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1907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13644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20302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23612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2563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3112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11257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14010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24693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2948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3584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2212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7599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6429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9897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4553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4826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1267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2182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2120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13799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27397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1737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3628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3095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3117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3909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11834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4234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3036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6579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4399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3822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2554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1853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1691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7395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5206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10236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3119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4157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4667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2983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1628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9853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9779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14523.559103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