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/home/cserv1_a/soc_msc/ml16m6y/Downloads/schooling_S5.py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3648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8152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7325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4342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7495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3609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7977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13984.9818552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1568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4812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1433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45009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3328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3462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6409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3148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4028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8479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6221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4088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18039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2041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18923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1698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43414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4159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20103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7507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11683.59795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9875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2679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5774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7065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27713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8566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4422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36399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1867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6415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4949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6577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4512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24782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4233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43208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14692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2733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7219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4454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2565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6447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26894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14884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3921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2269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2123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3587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6478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13455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9218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14667.0878255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6713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3457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4745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9536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4151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6176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4643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1329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6203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2068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29620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3989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16558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5825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5543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3717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3445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11078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4224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3403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2272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6091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3617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7537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11762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8013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13320.4843678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3429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6397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5207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3171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6098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7363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1755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4846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29854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2976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11336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5745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10333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4785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32303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24416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11293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4765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4382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1920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6083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2859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1968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4838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3389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3643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5009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1332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7594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9880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3540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36054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8152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16426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947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9639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14875.2238728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45993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4417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16358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16959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6981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10298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2578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4855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4033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3921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8815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1939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6885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5592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2561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5943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1810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4542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22288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5173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4768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9565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6137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1638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7438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5665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3704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4166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13032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5734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5698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7127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5771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5992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25344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3248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4855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5001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7331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3674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2667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8486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4262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1701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3783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5274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22083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5204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4456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4515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8200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12255.9999725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