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/home/cserv1_a/soc_msc/ml16m6y/Downloads/schooling_S9.py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5214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25544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1159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15407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11269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9662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3247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13408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7274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12311.6550901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3649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22552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8995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8881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4497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4794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3028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7889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4159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4297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32789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17465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2175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5905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2835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21648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3987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7171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12062.5300479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5505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4287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41022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6242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3256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2557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1578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5525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3847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26107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5978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2465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33450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1954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2645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3501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4155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4294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3718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9213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9028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4525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13582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8122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48286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2992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8023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19463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6144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8704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14404.7491969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11099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3952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19288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3973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4308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12847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2494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4712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2121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21125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4857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3342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5756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1678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3214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4433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5226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13790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7213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34680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6233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3124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9981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4608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4599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11792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4994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2398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9630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6114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10309.6605533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2082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6587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2251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6379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2911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3627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4112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3978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1168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2852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7961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4073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24635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14074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16556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3186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33670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13849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3982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5262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3953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4277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2398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24136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3812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7429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20230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3719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8640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1612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6759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23578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5072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16315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7561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11420.992741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17046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4498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25862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7139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1614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13643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1522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4918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8641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5958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12953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3193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2998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6681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2123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5505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10288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3812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3736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2553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5224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7882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4634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17208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1311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3474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3595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5813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5384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2444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5158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20641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8592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10023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4946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17878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4067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7863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12808.7219923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6174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7121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5930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3954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3925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4361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10093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1821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4514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19088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9674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5885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4024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10257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4595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8538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3463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3077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5224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2900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2894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1984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2284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4035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10565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6500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2097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2488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2742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3326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4367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17892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4471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3720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2857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3828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7528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6712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3951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2685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4697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2539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6229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5125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1232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4677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4632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21644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7550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12279.3029732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