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222222"/>
          <w:sz w:val="45"/>
          <w:szCs w:val="45"/>
          <w:highlight w:val="white"/>
          <w:rtl w:val="0"/>
        </w:rPr>
        <w:t xml:space="preserve">2238.4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module add anaconda3/4.4.0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2673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1732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1391.61220979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1359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1505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5819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5455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2291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4448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3705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2033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2006.23579148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5641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2547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11991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14158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5889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1947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2266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2797.23440132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1227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1494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3429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923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1484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1104.74706016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9083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5281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917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1931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3731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1349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1709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1541.41808139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1919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1607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2213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3561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3285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2846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2170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3901.89826691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1253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970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993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5300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2482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5294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1988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2757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5794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32650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2825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5264.05322491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7721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2630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6351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1461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11265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1221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3848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2051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14073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3887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2708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3194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7238.27801046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25733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12892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3357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3931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6024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3792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5447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10196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2945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2907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4057.24656085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3378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1322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9809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4489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4203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3287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1209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3591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1433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2678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2064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1697.73996531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