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python schooling_repul_5.py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49730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10482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4397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5107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3363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3686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14507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5094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6617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17276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12238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5388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1319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7586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2605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49889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8776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6587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3264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1636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26891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3304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2509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9725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3354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2413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3879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5.0 is 15731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18884.8849006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5.0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19214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2426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9257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44111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11166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45031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34335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2336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5775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12884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1906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3858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5401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4214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4106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2792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7826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4126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5115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2549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1346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4017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5209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4623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7026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2223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14110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4789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5976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2645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5.0 is 17612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19595.6236609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5.0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2335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16653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6404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4657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3404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25067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8326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11729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6764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1191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2844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39052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5573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1976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14634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17209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3782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10173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3101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9281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15840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44512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3642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45013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10528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3623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4320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3375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4996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7805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2062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4471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8483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2984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5.0 is 14654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17504.963708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5.0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2744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4393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8989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6838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6418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45725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36485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23475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4259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10979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21618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6526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10999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14875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17419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3793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30428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49776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11331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8271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45501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3506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7123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20338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10128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7421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5487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3222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6748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5.0 is 19634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19136.2367814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5.0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8316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8211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1677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3059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45356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46451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3306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4761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3646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3256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32368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13662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2509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5023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23834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7027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11064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1595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5494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11642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6813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6568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28634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14724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6827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46109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5879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33101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37323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3067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8935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8264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3295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33300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10431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1836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5.0 is 14620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16438.2509199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5.0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6056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20557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11728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24758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2426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2706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26423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6436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2423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2611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9269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15409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6404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8572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27934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10810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15859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32194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23032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8507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5295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3133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1766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1708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7163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4475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6055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2719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6363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7541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8709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8335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27664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5343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6360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16086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3378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27775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10603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5.0 is 16602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